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0C395B5-6DFF-4204-B96D-5F740AEB9162"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Rekomendacija</w:t>
      </w:r>
    </w:p>
    <w:p>
      <w:pPr>
        <w:pStyle w:val="Typedudocument"/>
        <w:rPr>
          <w:noProof/>
        </w:rPr>
      </w:pPr>
      <w:r>
        <w:rPr>
          <w:noProof/>
        </w:rPr>
        <w:t>TARYBOS REKOMENDACIJA</w:t>
      </w:r>
    </w:p>
    <w:p>
      <w:pPr>
        <w:pStyle w:val="Titreobjet"/>
        <w:rPr>
          <w:noProof/>
        </w:rPr>
      </w:pPr>
      <w:r>
        <w:rPr>
          <w:noProof/>
        </w:rPr>
        <w:t xml:space="preserve">dėl 2019 m. Čekijos nacionalinės reformų programos su Tarybos nuomone dėl 2019 m. Čekijos konvergencijos programos </w:t>
      </w:r>
      <w:r>
        <w:rPr>
          <w:noProof/>
        </w:rPr>
        <w:br/>
      </w:r>
      <w:r>
        <w:rPr>
          <w:noProof/>
        </w:rPr>
        <w:br/>
      </w:r>
    </w:p>
    <w:p>
      <w:pPr>
        <w:pStyle w:val="Institutionquiagit"/>
        <w:rPr>
          <w:noProof/>
        </w:rPr>
      </w:pPr>
      <w:r>
        <w:rPr>
          <w:noProof/>
        </w:rPr>
        <w:t>EUROPOS SĄJUNGOS TARYBA,</w:t>
      </w:r>
    </w:p>
    <w:p>
      <w:pPr>
        <w:rPr>
          <w:noProof/>
        </w:rPr>
      </w:pPr>
      <w:r>
        <w:rPr>
          <w:noProof/>
        </w:rPr>
        <w:t>atsižvelgdama į Sutartį dėl Europos Sąjungos veikimo, ypač į jos 121 straipsnio 2 dalį ir 148 straipsnio 4 dalį,</w:t>
      </w:r>
    </w:p>
    <w:p>
      <w:pPr>
        <w:rPr>
          <w:noProof/>
        </w:rPr>
      </w:pPr>
      <w:r>
        <w:rPr>
          <w:noProof/>
        </w:rPr>
        <w:t>atsižvelgdama į 1997 m. liepos 7 d. Tarybos reglamentą (EB) Nr. 1466/97 dėl biudžeto būklės priežiūros stiprinimo ir ekonominės politikos priežiūros bei koordinavimo</w:t>
      </w:r>
      <w:r>
        <w:rPr>
          <w:rStyle w:val="FootnoteReference"/>
          <w:noProof/>
        </w:rPr>
        <w:footnoteReference w:id="1"/>
      </w:r>
      <w:r>
        <w:rPr>
          <w:noProof/>
        </w:rPr>
        <w:t>, ypač į jo 9 straipsnio 2 dalį,</w:t>
      </w:r>
    </w:p>
    <w:p>
      <w:pPr>
        <w:rPr>
          <w:noProof/>
        </w:rPr>
      </w:pPr>
      <w:r>
        <w:rPr>
          <w:noProof/>
        </w:rPr>
        <w:t>atsižvelgdama į Europos Komisijos rekomendaciją,</w:t>
      </w:r>
    </w:p>
    <w:p>
      <w:pPr>
        <w:rPr>
          <w:noProof/>
        </w:rPr>
      </w:pPr>
      <w:r>
        <w:rPr>
          <w:noProof/>
        </w:rPr>
        <w:t>atsižvelgdama į Europos Parlamento rezoliucijas,</w:t>
      </w:r>
    </w:p>
    <w:p>
      <w:pPr>
        <w:outlineLvl w:val="0"/>
        <w:rPr>
          <w:noProof/>
        </w:rPr>
      </w:pPr>
      <w:r>
        <w:rPr>
          <w:noProof/>
        </w:rPr>
        <w:t>atsižvelgdama į Europos Vadovų Tarybos išvadas,</w:t>
      </w:r>
    </w:p>
    <w:p>
      <w:pPr>
        <w:rPr>
          <w:noProof/>
        </w:rPr>
      </w:pPr>
      <w:r>
        <w:rPr>
          <w:noProof/>
        </w:rPr>
        <w:t>atsižvelgdama į Užimtumo komiteto nuomonę,</w:t>
      </w:r>
    </w:p>
    <w:p>
      <w:pPr>
        <w:rPr>
          <w:noProof/>
        </w:rPr>
      </w:pPr>
      <w:r>
        <w:rPr>
          <w:noProof/>
        </w:rPr>
        <w:t>atsižvelgdama į Ekonomikos ir finansų komiteto nuomonę,</w:t>
      </w:r>
    </w:p>
    <w:p>
      <w:pPr>
        <w:rPr>
          <w:noProof/>
        </w:rPr>
      </w:pPr>
      <w:r>
        <w:rPr>
          <w:noProof/>
        </w:rPr>
        <w:t>atsižvelgdama į Socialinės apsaugos komiteto nuomonę,</w:t>
      </w:r>
    </w:p>
    <w:p>
      <w:pPr>
        <w:rPr>
          <w:noProof/>
        </w:rPr>
      </w:pPr>
      <w:r>
        <w:rPr>
          <w:noProof/>
        </w:rPr>
        <w:t>atsižvelgdama į Ekonominės politikos komiteto nuomonę,</w:t>
      </w:r>
    </w:p>
    <w:p>
      <w:pPr>
        <w:rPr>
          <w:noProof/>
        </w:rPr>
      </w:pPr>
      <w:r>
        <w:rPr>
          <w:noProof/>
        </w:rPr>
        <w:t>kadangi:</w:t>
      </w:r>
    </w:p>
    <w:p>
      <w:pPr>
        <w:pStyle w:val="ManualConsidrant"/>
        <w:rPr>
          <w:noProof/>
        </w:rPr>
      </w:pPr>
      <w:r>
        <w:t>(1)</w:t>
      </w:r>
      <w:r>
        <w:tab/>
      </w:r>
      <w:r>
        <w:rPr>
          <w:noProof/>
        </w:rPr>
        <w:t xml:space="preserve">2018 m. lapkričio 21 d. Komisija priėmė metinę augimo apžvalgą, kuria pradedamas 2019 m. Europos ekonominės politikos koordinavimo semestras. Ji tinkamai atsižvelgė į 2017 m. lapkričio 17 d. Europos Parlamento, Tarybos ir Komisijos paskelbtą Europos socialinių teisių ramstį. 2019 m. kovo 21 d. Europos Vadovų Taryba patvirtino metinėje augimo apžvalgoje nustatytus prioritetus. 2018 m. lapkričio 21 d. Komisija pagal Reglamentą (ES) Nr. 1176/2011 taip pat priėmė ir įspėjimo mechanizmo ataskaitą – joje Čekija nenurodyta kaip viena iš valstybių narių, dėl kurių reikės parengti nuodugnią apžvalgą; </w:t>
      </w:r>
    </w:p>
    <w:p>
      <w:pPr>
        <w:pStyle w:val="ManualConsidrant"/>
        <w:rPr>
          <w:noProof/>
        </w:rPr>
      </w:pPr>
      <w:r>
        <w:t>(2)</w:t>
      </w:r>
      <w:r>
        <w:tab/>
      </w:r>
      <w:r>
        <w:rPr>
          <w:noProof/>
        </w:rPr>
        <w:t>2019 m. vasario 27 d. paskelbta 2019 m. Čekijos ataskaita</w:t>
      </w:r>
      <w:r>
        <w:rPr>
          <w:rStyle w:val="FootnoteReference"/>
          <w:noProof/>
        </w:rPr>
        <w:footnoteReference w:id="2"/>
      </w:r>
      <w:r>
        <w:rPr>
          <w:noProof/>
        </w:rPr>
        <w:t>. Joje įvertinta Čekijos pažanga, padaryta įgyvendinant</w:t>
      </w:r>
      <w:r>
        <w:rPr>
          <w:noProof/>
          <w:color w:val="FF0000"/>
        </w:rPr>
        <w:t xml:space="preserve"> </w:t>
      </w:r>
      <w:r>
        <w:rPr>
          <w:noProof/>
        </w:rPr>
        <w:t xml:space="preserve">2018 m. liepos 13 d. Tarybos priimtas konkrečiai šaliai skirtas rekomendacijas, veiksmai, kurių Čekija ėmėsi atsižvelgdama į ankstesniais metais priimtas rekomendacijas, ir Čekijos pažanga siekiant nacionalinių tikslų pagal strategiją „Europa 2020“; </w:t>
      </w:r>
    </w:p>
    <w:p>
      <w:pPr>
        <w:pStyle w:val="ManualConsidrant"/>
        <w:rPr>
          <w:noProof/>
        </w:rPr>
      </w:pPr>
      <w:r>
        <w:lastRenderedPageBreak/>
        <w:t>(3)</w:t>
      </w:r>
      <w:r>
        <w:tab/>
      </w:r>
      <w:r>
        <w:rPr>
          <w:noProof/>
        </w:rPr>
        <w:t>2019 m. balandžio 30 d. Čekija pateikė 2019 m. nacionalinę reformų programą ir 2019 m. konvergencijos programą. Siekiant atsižvelgti į jų tarpusavio sąsajas, abi programos vertintos vienu metu;</w:t>
      </w:r>
    </w:p>
    <w:p>
      <w:pPr>
        <w:pStyle w:val="ManualConsidrant"/>
        <w:rPr>
          <w:noProof/>
        </w:rPr>
      </w:pPr>
      <w:r>
        <w:t>(4)</w:t>
      </w:r>
      <w:r>
        <w:tab/>
      </w:r>
      <w:r>
        <w:rPr>
          <w:noProof/>
        </w:rPr>
        <w:t>į atitinkamas konkrečioms šalims skirtas rekomendacijas atsižvelgta sudarant 2014–2020 m. Europos struktūrinių ir investicijų fondų (toliau – ESI fondai) programas. Kaip numatyta Europos Parlamento ir Tarybos reglamento (ES) Nr. 1303/2013</w:t>
      </w:r>
      <w:r>
        <w:rPr>
          <w:rStyle w:val="FootnoteReference"/>
          <w:noProof/>
        </w:rPr>
        <w:footnoteReference w:id="3"/>
      </w:r>
      <w:r>
        <w:rPr>
          <w:noProof/>
        </w:rPr>
        <w:t xml:space="preserve"> 23 straipsnyje, Komisija, jei tai būtina siekiant remti atitinkamų Tarybos rekomendacijų įgyvendinimą, gali paprašyti valstybės narės peržiūrėti savo partnerystės sutartį ir susijusias programas bei pasiūlyti jų pakeitimų. Kaip naudotųsi šia nuostata, Komisija išsamiau nurodė priemonių, kuriomis ESI fondų veiksmingumas siejamas su patikimu ekonomikos valdymu, taikymo gairėse</w:t>
      </w:r>
      <w:r>
        <w:rPr>
          <w:rStyle w:val="FootnoteReference"/>
          <w:noProof/>
        </w:rPr>
        <w:footnoteReference w:id="4"/>
      </w:r>
      <w:r>
        <w:rPr>
          <w:noProof/>
        </w:rPr>
        <w:t>;</w:t>
      </w:r>
    </w:p>
    <w:p>
      <w:pPr>
        <w:pStyle w:val="ManualConsidrant"/>
        <w:rPr>
          <w:noProof/>
        </w:rPr>
      </w:pPr>
      <w:r>
        <w:t>(5)</w:t>
      </w:r>
      <w:r>
        <w:tab/>
      </w:r>
      <w:r>
        <w:rPr>
          <w:noProof/>
        </w:rPr>
        <w:t>šiuo metu Čekijai taikoma Stabilumo ir augimo pakto prevencinė dalis. 2019 m. konvergencijos programoje Vyriausybė numato, kad 2019 m. 0,3 % BVP biudžeto perteklių 2020 m. pakeis 0,2 % BVP deficitas, ir numatoma, kad iki 2022 m. jis laipsniškai didės iki 0,5 % BVP. Remiantis perskaičiuotu struktūriniu balansu</w:t>
      </w:r>
      <w:r>
        <w:rPr>
          <w:rStyle w:val="FootnoteReference"/>
          <w:noProof/>
        </w:rPr>
        <w:footnoteReference w:id="5"/>
      </w:r>
      <w:r>
        <w:rPr>
          <w:noProof/>
        </w:rPr>
        <w:t>, vidutinio laikotarpio biudžeto tikslas, kuris buvo pakeistas iš 1 % BVP struktūrinio deficito 2019 m. į 0,75 % BVP struktūrinį deficitą nuo 2020 m., ir toliau bus viršijamas visą programos laikotarpį. 2019 m. konvergencijos programoje numatoma, kad valdžios sektoriaus skolos santykis su BVP laipsniškai mažės ir 2022 m. sieks 29,7 %. Makroekonominis scenarijus, kuriuo grindžiamos tos biudžeto projekcijos, yra tikėtinas. Rizika siekiant biudžeto tikslų atrodo iš esmės subalansuota; numatomas tolesnis viešojo sektoriaus darbo užmokesčio ir socialinių pervedimų augimas, nepaisant nedidelio bendrų pajamų, kaip BVP dalies, sumažėjimo. Remiantis Komisijos 2019 m. pavasario prognoze, numatoma, kad struktūrinis balansas 2019 m. sumažės iki maždaug −0,1 % BVP, o 2020 m. – iki −0,4 % BVP, taigi toliau viršys vidutinio laikotarpio biudžeto tikslą. Apskritai Taryba mano, kad pagal prognozę 2019 ir 2020 m. Čekija turėtų atitikti Stabilumo ir augimo pakto nuostatas;</w:t>
      </w:r>
    </w:p>
    <w:p>
      <w:pPr>
        <w:pStyle w:val="ManualConsidrant"/>
        <w:rPr>
          <w:noProof/>
        </w:rPr>
      </w:pPr>
      <w:r>
        <w:t>(6)</w:t>
      </w:r>
      <w:r>
        <w:tab/>
      </w:r>
      <w:r>
        <w:rPr>
          <w:noProof/>
        </w:rPr>
        <w:t xml:space="preserve">Čekija susiduria su vidutine ilgalaikio viešųjų finansų fiskalinio tvarumo rizika, daugiausia dėl visuomenės senėjimo išlaidų. Pensijų išlaidos yra pagrindinis veiksnys, darantis neigiamą poveikį ilgalaikiam tvarumui, nes numatoma, kad iki 2070 m. jos padidės maždaug 2 procentiniais punktais BVP. Ilgalaikė rizika kyla dėl nepalankios demografinės padėties ir dėl teisės aktais nustatytos pensinio amžiaus ribos, kuri yra 65 metai. Todėl senėjimo indeksas, pagal kurį palyginamas pagyvenusių asmenų ir aktyvių gyventojų skaičius, beveik padvigubėjo ir 2070 m. bus maždaug 50 %. Neseniai priimtomis priemonėmis didinamas pensijų adekvatumas. Be dosnesnio pensijų išmokų indeksavimo, Vyriausybė padidino bazinės pensijos dydį ir padidino pensijas vyresniems pensininkams. Tačiau šie veiksmai nėra vykdomi kartu su politika, kuri padidintų tvarumą. Pavyzdžiui, ilgesnė vidutinė tikėtina gyvenimo trukmė ir teisės aktais nustatytas pensinis amžius nėra automatiškai derinami. Dabar visus (teisės aktais nustatyto ir ankstyvo išėjimo į pensiją) pensinio amžiaus pakeitimus turi pasiūlyti Vyriausybė ir patvirtinti Parlamentas. Tokios priemonės taip </w:t>
      </w:r>
      <w:r>
        <w:rPr>
          <w:noProof/>
        </w:rPr>
        <w:lastRenderedPageBreak/>
        <w:t>pat gali būti derinamos su darbo rinkos politika, kuria remiama ilgesnė karjera ir nepakankamai atstovaujamų grupių dalyvavimas. Numatomas su senėjimu susijusių viešųjų išlaidų sveikatos priežiūrai didėjimas iki 2070 m. sudarys 1,1 procentinio punkto BVP, dėl to taip pat sumažės ilgalaikis fiskalinis tvarumas. Šiomis aplinkybėmis sveikatos priežiūros sistemos ekonominį efektyvumą galėtų padidinti tolesnis ligoninių sektoriaus konsolidavimas ir investicijos į pirminę ir integruotą sveikatos priežiūrą bei socialinę rūpybą;</w:t>
      </w:r>
    </w:p>
    <w:p>
      <w:pPr>
        <w:pStyle w:val="ManualConsidrant"/>
        <w:rPr>
          <w:noProof/>
        </w:rPr>
      </w:pPr>
      <w:r>
        <w:t>(7)</w:t>
      </w:r>
      <w:r>
        <w:tab/>
      </w:r>
      <w:r>
        <w:rPr>
          <w:noProof/>
        </w:rPr>
        <w:t>Čekijos nacionalinis bankas gali nustatyti rekomenduojamus makroprudencinius hipotekinio skolinimo apribojimus, tačiau, remiantis dabartiniais teisės aktais, jo įgaliojimai skirti sankcijas yra riboti, kadangi jis neturi oficialių įgaliojimų užtikrinti sankcijų vykdymą. Nors apskritai Čekijos bankai laikosi rekomendacijų, tikėtina, kad teisės aktais nustačius privalomus apribojimus bankai geriau laikytųsi reikalavimų, o tai užtikrintų finansinį stabilumą ir mažesnę riziką skolininkams. Pasiūlymas dėl teisės akto, kuriuo iš dalies keičiamas Čekijos nacionalinio banko įstatymas, vis dar svarstomas;</w:t>
      </w:r>
    </w:p>
    <w:p>
      <w:pPr>
        <w:pStyle w:val="ManualConsidrant"/>
        <w:rPr>
          <w:noProof/>
        </w:rPr>
      </w:pPr>
      <w:r>
        <w:t>(8)</w:t>
      </w:r>
      <w:r>
        <w:tab/>
      </w:r>
      <w:r>
        <w:rPr>
          <w:noProof/>
        </w:rPr>
        <w:t>nepaisant nedidelio pagerėjimo, korupcija tebekelia susirūpinimą įmonėms ir gali trukdyti ekonominei veiklai. Kalbant apie teigiamus aspektus, dabar įgyvendinamos 2017 m. pradėtos reformos, be kita ko, viešųjų pirkimų reforma, ir Vyriausybė galiausiai priėmė kai kurias dar nepatvirtintas priemones ir jas pateikė Parlamentui toliau svarstyti. Tos priemonės, be kita ko, apima pasiūlymus į aukščiausiosios audito institucijos kompetenciją įtraukti regionus ir savivaldybes, taip pat pasiūlymus dėl paskyrimų valstybės valdomose įmonėse, nes šioje srityje kyla interesų konfliktų ir reglamentavimas yra labai svarbus. Tačiau pasiūlymai dėl informatorių apsaugos ir dėl lobizmo dar nepriimti;</w:t>
      </w:r>
    </w:p>
    <w:p>
      <w:pPr>
        <w:pStyle w:val="ManualConsidrant"/>
        <w:rPr>
          <w:rFonts w:eastAsia="Times New Roman"/>
          <w:noProof/>
          <w:szCs w:val="24"/>
        </w:rPr>
      </w:pPr>
      <w:r>
        <w:t>(9)</w:t>
      </w:r>
      <w:r>
        <w:tab/>
      </w:r>
      <w:r>
        <w:rPr>
          <w:noProof/>
        </w:rPr>
        <w:t>Čekijos darbo rinkos rezultatai yra geri. Per pastaruosius septynerius metus užimtumas nuolat augo, o nedarbas smarkiai sumažėjo. Tačiau moterų su mažais vaikais, žemos kvalifikacijos asmenų ir neįgaliųjų darbo rinkos potencialas ir toliau išlieka nepakankamai išnaudojamas. Atsižvelgiant į tai, kad darbo jėgos trūksta, akivaizdu, kad pirmiau minėtų grupių dalyvavimą darbo rinkoje įmanoma didinti. Užimtumo lygių, taip pat moterų ir vyrų darbo užmokesčio skirtumai tebėra dideli, nors pastaruoju metu imtasi priemonių, dėl kurių vaiko priežiūros atostogos tapo lankstesnės ir padaugėjo vaikų priežiūros įstaigų. Moterų užimtumo lygis tebėra daug žemesnis už vyrų. Vis dar didelį poveikį dalyvavimui darbo rinkoje daro tai, kad įperkamų vaiko priežiūros paslaugų pasiūla nėra didelė, suteikiama teisė į ilgas vaiko priežiūros atostogas, retai naudojamasi lanksčiu darbo grafiku ir trūksta ilgalaikės priežiūros įstaigų. 2017 m. oficialios vaiko priežiūros paslaugos buvo teikiamos tik 6,5 % vaikų iki trejų metų (palyginti su 34,2 % ES vidurkiu). Nors žemos kvalifikacijos darbuotojai sudaro nedidelę gyventojų dalį, jų užimtumo lygis yra gerokai žemesnis už vidutinės ir aukštos kvalifikacijos darbuotojų užimtumo lygį. Žemas išlieka ir neįgaliųjų užimtumo lygis. Valstybinės užimtumo tarnybos dėl riboto pajėgumo šiuo metu neišgali teikti individualios tęstinės paramos darbo ieškantiems asmenims. Padidinti palankių sąlygų neturinčių grupių dalyvavimą padėtų geresni valstybinių užimtumo tarnybų informavimo ir aktyvumo skatinimo gebėjimai, taip pat efektyvi ir labai tikslingai vykdoma aktyvi darbo rinkos politika;</w:t>
      </w:r>
    </w:p>
    <w:p>
      <w:pPr>
        <w:pStyle w:val="ManualConsidrant"/>
        <w:rPr>
          <w:rFonts w:eastAsia="Times New Roman"/>
          <w:noProof/>
          <w:szCs w:val="24"/>
        </w:rPr>
      </w:pPr>
      <w:r>
        <w:t>(10)</w:t>
      </w:r>
      <w:r>
        <w:tab/>
      </w:r>
      <w:r>
        <w:rPr>
          <w:noProof/>
        </w:rPr>
        <w:t xml:space="preserve">dėl darbo jėgos ir demografinių apribojimų ekonomikoje, kurioje intensyviai vykdoma gamyba, reikia daugiau investuoti į, be kita ko, dirbančių suaugusiųjų švietimą ir mokymą, siekiant užtikrinti, kad šalyje būtų sprendžiami dėl struktūrinių ekonomikos pokyčių, pavyzdžiui, būsimų technologinių pokyčių, iškilę uždaviniai. Visų pirma skaitmeniniame sektoriuje galėtų atsirasti kokybinių įgūdžių pasiūlos ir paklausos </w:t>
      </w:r>
      <w:r>
        <w:rPr>
          <w:noProof/>
        </w:rPr>
        <w:lastRenderedPageBreak/>
        <w:t xml:space="preserve">neatitikčių, be kita ko, dėl būsimo automatizavimo ir robotizavimo. Naujoms darbo vietoms reikės naujų gebėjimų ir didelių investicijų, visų pirma į aukštesnio lygio profesinius techninius įgūdžius ir skaitmeninius įgūdžius, kurių, kaip numatoma, prireiks automatizavus dabartines mechaninio darbo vietas. Nors pastaruoju metu imtasi įvairių iniciatyvų, kuriomis siekiama įgyvendinti išsamią įgūdžių strategiją, jos dar nėra tapusios tikra visapusiška sistema; </w:t>
      </w:r>
    </w:p>
    <w:p>
      <w:pPr>
        <w:pStyle w:val="ManualConsidrant"/>
        <w:rPr>
          <w:noProof/>
        </w:rPr>
      </w:pPr>
      <w:r>
        <w:t>(11)</w:t>
      </w:r>
      <w:r>
        <w:tab/>
      </w:r>
      <w:r>
        <w:rPr>
          <w:noProof/>
        </w:rPr>
        <w:t xml:space="preserve">mokymosi rezultatams vis dar daug įtakos turi mokinių socialinė ir ekonominė padėtis. 2016 m. su Europos socialinio fondo parama pradėta įgyvendinti reforma, kuria siekiama, kad švietimas taptų įtraukesnis. Jos sėkmė priklausys nuo to, ar bus skiriama pakankamai tvaraus nacionalinio finansavimo, ar bus vykdomas tolesnis mokytojų ir mokytojų padėjėjų mokymas ir didinamas visuomenės informuotumas apie įtraukaus švietimo naudą. Nors apskritai įtraukaus švietimo reformos poveikis yra teigiamas, jos poveikis romų vaikų dalyvavimui bendrojo švietimo sistemoje vis dar išlieka nedidelis. Įgyjamo išsilavinimo lygį mažina nedidelės investicijos, menkas mokytojo profesijos patrauklumas ir socialinė bei ekonominė nelygybė. Mokytojų trūksta dėl žemo darbo prestižo, mažo darbo užmokesčio, palyginti su kitų profesijų atstovų darbo užmokesčiu, nors pastaruoju metu jis padidėjo, ir dėl ribotų karjeros raidos galimybių. Mokytojo profesija talentingam jaunimui vis dar lieka palyginti nepatraukli. Atsižvelgiant į tai, kvalifikuotų mokytojų trūkumas ir numatomi nepalankūs demografiniai pokyčiai reiškia, kad gali būti vis sunkiau įdarbinti mokytojų ir juos išlaikyti; </w:t>
      </w:r>
    </w:p>
    <w:p>
      <w:pPr>
        <w:pStyle w:val="ManualConsidrant"/>
        <w:rPr>
          <w:noProof/>
        </w:rPr>
      </w:pPr>
      <w:r>
        <w:t>(12)</w:t>
      </w:r>
      <w:r>
        <w:tab/>
      </w:r>
      <w:r>
        <w:rPr>
          <w:noProof/>
        </w:rPr>
        <w:t>nors Čekija yra tranzito šalis, Europos transporto tinklai, įskaitant TEN-T koridorius, dar toli gražu neužbaigti. Vis dar trūksta ir priemiestinio transporto infrastruktūros, dėl to mažėja būsto įperkamumas ir žmonių galimybės važinėti į darbą. Silpnos transporto jungtys taip pat stabdo verslo veiklą, ypač atokiuose regionuose. Nors miestų zonose vyksta priemiesčių plėtra, priemiestinio transporto tinklų, ypač geležinkelių infrastruktūros, plėtra atsilieka. Šalis nedaug pažengė diegdama mažo anglies dioksido kiekio technologijas, visų pirma vertinant pagal atsinaujinančiųjų energijos išteklių procentinę dalį transporto sektoriuje ir elektra varomų transporto priemonių naudojimą. Be to, planuojamo įkrovimo infrastruktūros augimo gali nepakakti, kad būtų patenkinta būsima paklausa. Daugiau investuojant į darnųjį transportą taip pat būtų galima sumažinti oro ir akustinę taršą, švelninant jos poveikį visuomenės sveikatai, ypač miesto vietovėse. Skaitmeninė infrastruktūra gerėja, tačiau atotrūkis tarp miesto ir kaimo vietovių išlieka, nes tik 59 % kaimo namų ūkių turi prieigą prie sparčiojo plačiajuosčio ryšio tinklų. Kad būtų pasiekti 2025 m. junglumo tikslai, nepakaks atnaujinti senesnių tinklų, kurie grindžiami vario infrastruktūra ir fiksuotos belaidės prieigos sprendimais. Siekiant patenkinti būsimus junglumo poreikius, reikia investuoti į itin didelio pralaidumo tinklus (t. y. optinę skaidulą) ir atitinkamas paklausą atitinkančias priemones;</w:t>
      </w:r>
    </w:p>
    <w:p>
      <w:pPr>
        <w:pStyle w:val="ManualConsidrant"/>
        <w:rPr>
          <w:noProof/>
        </w:rPr>
      </w:pPr>
      <w:r>
        <w:t>(13)</w:t>
      </w:r>
      <w:r>
        <w:tab/>
      </w:r>
      <w:r>
        <w:rPr>
          <w:noProof/>
        </w:rPr>
        <w:t xml:space="preserve">Čekijos ekonomikos energijos suvartojimo intensyvumas ir toliau išlieka vienas didžiausių ES, nes energijos vartojimo efektyvumas didėja labai lėtai, ypač pastatų sektoriuje. Energijos suvartojimo intensyvumas didžiausias pramonės ir gyvenamųjų namų sektoriuose. Energijos vartojimo efektyvumo didinimas – tai galimybė padidinti Čekijos konkurencingumą, mažinant namų ūkių ir įmonių energijos išlaidas, kuriant švaresnes pramonės šakas ir didinant vertės grandinę. Elektros gamybos sektoriuje dominuoja akmens anglis ir ji yra didžiausias išmetamo anglies dioksido šaltinis, keliantis didelę grėsmę vietos oro kokybei. Per pastaruosius penkerius metus kelių transporto išmetamas šiltnamio efektą sukeliančių dujų kiekis labai išaugo. </w:t>
      </w:r>
      <w:r>
        <w:rPr>
          <w:noProof/>
        </w:rPr>
        <w:lastRenderedPageBreak/>
        <w:t xml:space="preserve">Prisitaikymo prie klimato kaitos ir rizikos prevencijos klausimais trūksta deramų veiksmų, susijusių su tinkama prevencija, pasirengimu ir atsparumu nelaimėms; </w:t>
      </w:r>
    </w:p>
    <w:p>
      <w:pPr>
        <w:pStyle w:val="ManualConsidrant"/>
        <w:rPr>
          <w:noProof/>
        </w:rPr>
      </w:pPr>
      <w:r>
        <w:t>(14)</w:t>
      </w:r>
      <w:r>
        <w:tab/>
      </w:r>
      <w:r>
        <w:rPr>
          <w:noProof/>
        </w:rPr>
        <w:t>investicijoms gali trukdyti administracinė ir reguliavimo našta. Ją didžiausia kliūtimi investicijoms laiko daugelis Čekijos įmonių. Užsiimti verslu ir toliau labai trukdo greitai keičiami teisės aktai ir sudėtingos administracinės procedūros. Sutarčių vykdymo užtikrinimo išlaidos, dažni mokesčių ir darbo teisės reglamentavimo pakeitimai ir sunkumai gauti statybos leidimus gali atgrasyti nuo investicijų šalyje. Administracinė našta taip pat labai skiriasi atskiruose regionuose. Neseniai pateiktais pasiūlymais siekiama sumažinti sudėtingas, visų pirma dideliems infrastruktūros projektams skirtas, planavimo procedūras. Be to, Vyriausybė, dalyvaujant socialiniams partneriams, planuoja iki 2021 m. parengti naują statybos įstatymą. Už gaminių rinkos priežiūrą atsako įvairios organizacijos, todėl ji dubliuojama ir tampa sunku užtikrinti rezultatyvų koordinavimą ir veiksmingą bendradarbiavimą;</w:t>
      </w:r>
    </w:p>
    <w:p>
      <w:pPr>
        <w:pStyle w:val="ManualConsidrant"/>
        <w:rPr>
          <w:noProof/>
        </w:rPr>
      </w:pPr>
      <w:r>
        <w:t>(15)</w:t>
      </w:r>
      <w:r>
        <w:tab/>
      </w:r>
      <w:r>
        <w:rPr>
          <w:noProof/>
        </w:rPr>
        <w:t>nors ir patobulėjusi skaidrumo ir teikiamo mokymo aspektais viešųjų pirkimų praktika vis dar atsilieka pagal konkurencingumą dėl procedūrų, kuriose pateikiamas tik vienas pasiūlymas, dalies didumo, kokybės kriterijų naudojimo ir pasitikėjimo viešosiomis institucijomis. Didžioji dauguma viešųjų pirkimų sprendimų ir toliau grindžiami mažiausia kaina, nes vis dar nepriimtas strateginis požiūris. Daugiau dėmesio skiriama centralizuotiems pirkimams ir naudojimuisi bendromis ekspertinėmis žiniomis, tačiau tokios praktikos diegimas yra gana lėtas, nepaisant jos įrodyto potencialo;</w:t>
      </w:r>
    </w:p>
    <w:p>
      <w:pPr>
        <w:pStyle w:val="ManualConsidrant"/>
        <w:rPr>
          <w:noProof/>
        </w:rPr>
      </w:pPr>
      <w:r>
        <w:t>(16)</w:t>
      </w:r>
      <w:r>
        <w:tab/>
      </w:r>
      <w:r>
        <w:rPr>
          <w:noProof/>
        </w:rPr>
        <w:t>Čekija dar nėra sukūrusi visapusiškai veikiančios inovacijų ekosistemos, grindžiamos vidaus moksliniais tyrimais ir technologine plėtra. Nors mokslinių tyrimų ir technologinės plėtros intensyvumas padidėjo, šalis ES lygmeniu išlieka nuosaikia inovacijų kūrėja. Šie veiklos rezultatai gali būti susiję su viešosiomis investicijomis, kurioms trūksta visiškai nuoseklios strategijos, kad padidintų kuklius mokslinių tyrimų veiklos rezultatus ir pagerintų privačiojo sektoriaus ir akademinės bendruomenės bendradarbiavimą. Našumo padidėjimą daugiausia lemia didelės užsienio bendrovės, o vidaus įmonės atsilieka pridėtinės vertės kūrimo požiūriu. Be to, gana lėtai auga bendras gamybos veiksnių našumas, o šis rodiklis rodo, kaip veiksmingai gamyboje naudojamas kapitalas ir darbo jėga. Didesnis dėmesys vidaus inovacijoms galėtų padidinti visų verslo subjektų, įskaitant mažąsias ir vidutines įmones, našumą;</w:t>
      </w:r>
    </w:p>
    <w:p>
      <w:pPr>
        <w:pStyle w:val="ManualConsidrant"/>
        <w:rPr>
          <w:rFonts w:eastAsia="Times New Roman"/>
          <w:noProof/>
          <w:szCs w:val="24"/>
        </w:rPr>
      </w:pPr>
      <w:r>
        <w:t>(17)</w:t>
      </w:r>
      <w:r>
        <w:tab/>
      </w:r>
      <w:r>
        <w:rPr>
          <w:noProof/>
        </w:rPr>
        <w:t>pašalinti tam tikrus rekomendacijose nustatytus trūkumus, visų pirma šalies ataskaitos</w:t>
      </w:r>
      <w:r>
        <w:rPr>
          <w:rStyle w:val="FootnoteReference"/>
          <w:noProof/>
        </w:rPr>
        <w:footnoteReference w:id="6"/>
      </w:r>
      <w:r>
        <w:rPr>
          <w:noProof/>
        </w:rPr>
        <w:t xml:space="preserve"> D priede nurodytose srityse, galėtų padėti 2021–2027 m. laikotarpio ES fondų programavimas. Tai suteiktų Čekijai galimybę atsižvelgiant į regioninius skirtumus panaudoti šiuos fondus nustatytuose sektoriuose. Norint, kad šios investicijos būtų sėkmingos, svarbus veiksnys – stiprinti šalies administracinius šių fondų valdymo gebėjimus;</w:t>
      </w:r>
    </w:p>
    <w:p>
      <w:pPr>
        <w:pStyle w:val="ManualConsidrant"/>
        <w:rPr>
          <w:noProof/>
        </w:rPr>
      </w:pPr>
      <w:r>
        <w:t>(18)</w:t>
      </w:r>
      <w:r>
        <w:tab/>
      </w:r>
      <w:r>
        <w:rPr>
          <w:noProof/>
        </w:rPr>
        <w:t xml:space="preserve">per 2019 m. Europos semestrą Komisija atliko išsamią Čekijos ekonominės politikos analizę ir ją paskelbė 2019 m. šalies ataskaitoje. Be to, ji įvertino 2019 m. konvergencijos programą, 2019 m. nacionalinę reformų programą ir veiksmus, kurių Čekija ėmėsi atsižvelgdama į ankstesniais metais jai skirtas rekomendacijas. Komisija įvertino ne tik jų svarbą tvariai fiskalinei ir socialinei bei ekonominei Čekijos politikai, bet ir tai, kaip jie atitinka Sąjungos taisykles ir gaires, nes būtina stiprinti bendrą Sąjungos ekonomikos valdymą Sąjungos lygio priemonėmis prisidedant prie būsimų nacionalinių sprendimų; </w:t>
      </w:r>
    </w:p>
    <w:p>
      <w:pPr>
        <w:pStyle w:val="ManualConsidrant"/>
        <w:rPr>
          <w:noProof/>
        </w:rPr>
      </w:pPr>
      <w:r>
        <w:lastRenderedPageBreak/>
        <w:t>(19)</w:t>
      </w:r>
      <w:r>
        <w:tab/>
      </w:r>
      <w:r>
        <w:rPr>
          <w:noProof/>
        </w:rPr>
        <w:t>atsižvelgdama į šį vertinimą, Taryba išnagrinėjo 2019 m. konvergencijos programą ir laikosi nuomonės</w:t>
      </w:r>
      <w:r>
        <w:rPr>
          <w:rStyle w:val="FootnoteReference"/>
          <w:noProof/>
        </w:rPr>
        <w:footnoteReference w:id="7"/>
      </w:r>
      <w:r>
        <w:rPr>
          <w:noProof/>
        </w:rPr>
        <w:t>, kad Čekija turėtų laikytis Stabilumo ir augimo pakto,</w:t>
      </w:r>
    </w:p>
    <w:p>
      <w:pPr>
        <w:pStyle w:val="Formuledadoption"/>
        <w:rPr>
          <w:noProof/>
        </w:rPr>
      </w:pPr>
      <w:r>
        <w:rPr>
          <w:noProof/>
        </w:rPr>
        <w:t>REKOMENDUOJA Čekijai 2019 ir 2020 m. imtis šių veiksmų:</w:t>
      </w:r>
    </w:p>
    <w:p>
      <w:pPr>
        <w:pStyle w:val="ManualNumPar1"/>
        <w:rPr>
          <w:noProof/>
          <w:szCs w:val="24"/>
        </w:rPr>
      </w:pPr>
      <w:r>
        <w:t>1.</w:t>
      </w:r>
      <w:r>
        <w:tab/>
      </w:r>
      <w:r>
        <w:rPr>
          <w:noProof/>
        </w:rPr>
        <w:t xml:space="preserve">Gerinti ilgalaikį pensijų ir sveikatos priežiūros sistemų fiskalinį tvarumą. Priimti dar nepatvirtintas kovos su korupcija priemones. </w:t>
      </w:r>
    </w:p>
    <w:p>
      <w:pPr>
        <w:pStyle w:val="ManualNumPar1"/>
        <w:rPr>
          <w:noProof/>
        </w:rPr>
      </w:pPr>
      <w:r>
        <w:t>2.</w:t>
      </w:r>
      <w:r>
        <w:tab/>
      </w:r>
      <w:r>
        <w:rPr>
          <w:noProof/>
        </w:rPr>
        <w:t>Skatinti moterų su mažais vaikais užimtumą, be kita ko, didinant galimybes gauti įperkamų vaiko priežiūros paslaugų, ir palankių sąlygų neturinčių grupių užimtumą. Didinti švietimo ir mokymo sistemų kokybę ir įtraukumą, be kita ko, puoselėjant techninius ir skaitmeninius įgūdžius ir populiarinant mokytojo profesiją.</w:t>
      </w:r>
    </w:p>
    <w:p>
      <w:pPr>
        <w:pStyle w:val="ManualNumPar1"/>
        <w:rPr>
          <w:noProof/>
        </w:rPr>
      </w:pPr>
      <w:r>
        <w:t>3.</w:t>
      </w:r>
      <w:r>
        <w:tab/>
      </w:r>
      <w:r>
        <w:rPr>
          <w:noProof/>
        </w:rPr>
        <w:t xml:space="preserve">Vykdant su investicijomis susijusią ekonominę politiką sutelkti dėmesį į transportą, ypač į jo darnumą, skaitmeninę infrastruktūrą ir perėjimą prie mažo anglies dioksido kiekio energetikos, įskaitant energijos vartojimo efektyvumą, atsižvelgiant į regioninius skirtumus. Mažinti su investicijomis susijusią administracinę naštą ir sudaryti sąlygas labiau į kokybę orientuotai konkurencijai vykdant viešuosius pirkimus. Šalinti kliūtis, trukdančias kurti visapusiškai veikiančią inovacijų ekosistemą. </w:t>
      </w:r>
    </w:p>
    <w:p>
      <w:pPr>
        <w:pStyle w:val="Fait"/>
        <w:rPr>
          <w:noProof/>
        </w:rPr>
      </w:pPr>
      <w:bookmarkStart w:id="1" w:name="_CopyToNewDocument_"/>
      <w:bookmarkEnd w:id="1"/>
      <w:r>
        <w:t>Priimta Briuselyje</w:t>
      </w:r>
    </w:p>
    <w:p>
      <w:pPr>
        <w:pStyle w:val="Institutionquisigne"/>
        <w:rPr>
          <w:noProof/>
        </w:rPr>
      </w:pPr>
      <w:r>
        <w:rPr>
          <w:noProof/>
        </w:rPr>
        <w:tab/>
        <w:t>Tarybos vardu</w:t>
      </w:r>
    </w:p>
    <w:p>
      <w:pPr>
        <w:pStyle w:val="Personnequisigne"/>
        <w:rPr>
          <w:noProof/>
        </w:rPr>
      </w:pPr>
      <w:r>
        <w:rPr>
          <w:noProof/>
        </w:rPr>
        <w:tab/>
        <w:t>Pirmininkas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209, 1997 8 2, p. 1.</w:t>
      </w:r>
    </w:p>
  </w:footnote>
  <w:footnote w:id="2">
    <w:p>
      <w:pPr>
        <w:pStyle w:val="FootnoteText"/>
      </w:pPr>
      <w:r>
        <w:rPr>
          <w:rStyle w:val="FootnoteReference"/>
        </w:rPr>
        <w:footnoteRef/>
      </w:r>
      <w:r>
        <w:tab/>
        <w:t xml:space="preserve">SWD(2019) 1002 </w:t>
      </w:r>
      <w:r>
        <w:rPr>
          <w:i/>
        </w:rPr>
        <w:t>final</w:t>
      </w:r>
      <w:r>
        <w:t>.</w:t>
      </w:r>
    </w:p>
  </w:footnote>
  <w:footnote w:id="3">
    <w:p>
      <w:pPr>
        <w:pStyle w:val="FootnoteText"/>
        <w:ind w:left="709" w:hanging="709"/>
      </w:pPr>
      <w:r>
        <w:rPr>
          <w:rStyle w:val="FootnoteReference"/>
        </w:rPr>
        <w:footnoteRef/>
      </w:r>
      <w:r>
        <w:tab/>
        <w:t>2013 m. gruodžio 17 d.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L 347, 2013 12 20, p. 320).</w:t>
      </w:r>
    </w:p>
  </w:footnote>
  <w:footnote w:id="4">
    <w:p>
      <w:pPr>
        <w:pStyle w:val="FootnoteText"/>
        <w:ind w:left="709" w:hanging="709"/>
      </w:pPr>
      <w:r>
        <w:rPr>
          <w:rStyle w:val="FootnoteReference"/>
        </w:rPr>
        <w:footnoteRef/>
      </w:r>
      <w:r>
        <w:tab/>
        <w:t xml:space="preserve">COM(2014) 494 </w:t>
      </w:r>
      <w:r>
        <w:rPr>
          <w:i/>
        </w:rPr>
        <w:t>final</w:t>
      </w:r>
      <w:r>
        <w:t>.</w:t>
      </w:r>
    </w:p>
  </w:footnote>
  <w:footnote w:id="5">
    <w:p>
      <w:pPr>
        <w:pStyle w:val="FootnoteText"/>
        <w:ind w:left="709" w:hanging="709"/>
      </w:pPr>
      <w:r>
        <w:rPr>
          <w:rStyle w:val="FootnoteReference"/>
        </w:rPr>
        <w:footnoteRef/>
      </w:r>
      <w:r>
        <w:tab/>
        <w:t>Pagal ciklą pakoreguotas balansas atėmus vienkartines ir laikinąsias priemones, Komisijos perskaičiuotas taikant bendrai sutartą metodiką.</w:t>
      </w:r>
    </w:p>
  </w:footnote>
  <w:footnote w:id="6">
    <w:p>
      <w:pPr>
        <w:pStyle w:val="FootnoteText"/>
      </w:pPr>
      <w:r>
        <w:rPr>
          <w:rStyle w:val="FootnoteReference"/>
        </w:rPr>
        <w:footnoteRef/>
      </w:r>
      <w:r>
        <w:tab/>
        <w:t xml:space="preserve">SWD(2019) 1002 </w:t>
      </w:r>
      <w:r>
        <w:rPr>
          <w:i/>
        </w:rPr>
        <w:t>final</w:t>
      </w:r>
      <w:r>
        <w:t>.</w:t>
      </w:r>
    </w:p>
  </w:footnote>
  <w:footnote w:id="7">
    <w:p>
      <w:pPr>
        <w:pStyle w:val="FootnoteText"/>
      </w:pPr>
      <w:r>
        <w:rPr>
          <w:rStyle w:val="FootnoteReference"/>
        </w:rPr>
        <w:footnoteRef/>
      </w:r>
      <w:r>
        <w:tab/>
        <w:t>Pagal Tarybos reglamento (EB) Nr. 1466/97 9 straipsnio 2 dalį.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n-GB"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09: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0C395B5-6DFF-4204-B96D-5F740AEB9162"/>
    <w:docVar w:name="LW_COVERPAGE_TYPE" w:val="1"/>
    <w:docVar w:name="LW_CROSSREFERENCE" w:val="&lt;UNUSED&gt;"/>
    <w:docVar w:name="LW_DocType" w:val="COM"/>
    <w:docVar w:name="LW_EMISSION" w:val="2019 06 05"/>
    <w:docVar w:name="LW_EMISSION_ISODATE" w:val="2019-06-05"/>
    <w:docVar w:name="LW_EMISSION_LOCATION" w:val="BRX"/>
    <w:docVar w:name="LW_EMISSION_PREFIX" w:val="Briuseli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komendacija"/>
    <w:docVar w:name="LW_SUPERTITRE" w:val="&lt;UNUSED&gt;"/>
    <w:docVar w:name="LW_TITRE.OBJ.CP" w:val="d\u279?l 2019 m. \u268?ekijos nacionalin\u279?s reform\u371? programos su Tarybos nuomone d\u279?l 2019 m. \u268?ekijos konvergencijos programos _x000b__x000b_"/>
    <w:docVar w:name="LW_TYPE.DOC.CP" w:val="TARYBOS REKOMENDACIJA"/>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4163641">
      <w:bodyDiv w:val="1"/>
      <w:marLeft w:val="0"/>
      <w:marRight w:val="0"/>
      <w:marTop w:val="0"/>
      <w:marBottom w:val="0"/>
      <w:divBdr>
        <w:top w:val="none" w:sz="0" w:space="0" w:color="auto"/>
        <w:left w:val="none" w:sz="0" w:space="0" w:color="auto"/>
        <w:bottom w:val="none" w:sz="0" w:space="0" w:color="auto"/>
        <w:right w:val="none" w:sz="0" w:space="0" w:color="auto"/>
      </w:divBdr>
    </w:div>
    <w:div w:id="348457923">
      <w:bodyDiv w:val="1"/>
      <w:marLeft w:val="0"/>
      <w:marRight w:val="0"/>
      <w:marTop w:val="0"/>
      <w:marBottom w:val="0"/>
      <w:divBdr>
        <w:top w:val="none" w:sz="0" w:space="0" w:color="auto"/>
        <w:left w:val="none" w:sz="0" w:space="0" w:color="auto"/>
        <w:bottom w:val="none" w:sz="0" w:space="0" w:color="auto"/>
        <w:right w:val="none" w:sz="0" w:space="0" w:color="auto"/>
      </w:divBdr>
    </w:div>
    <w:div w:id="656803001">
      <w:bodyDiv w:val="1"/>
      <w:marLeft w:val="0"/>
      <w:marRight w:val="0"/>
      <w:marTop w:val="0"/>
      <w:marBottom w:val="0"/>
      <w:divBdr>
        <w:top w:val="none" w:sz="0" w:space="0" w:color="auto"/>
        <w:left w:val="none" w:sz="0" w:space="0" w:color="auto"/>
        <w:bottom w:val="none" w:sz="0" w:space="0" w:color="auto"/>
        <w:right w:val="none" w:sz="0" w:space="0" w:color="auto"/>
      </w:divBdr>
    </w:div>
    <w:div w:id="703292198">
      <w:bodyDiv w:val="1"/>
      <w:marLeft w:val="0"/>
      <w:marRight w:val="0"/>
      <w:marTop w:val="0"/>
      <w:marBottom w:val="0"/>
      <w:divBdr>
        <w:top w:val="none" w:sz="0" w:space="0" w:color="auto"/>
        <w:left w:val="none" w:sz="0" w:space="0" w:color="auto"/>
        <w:bottom w:val="none" w:sz="0" w:space="0" w:color="auto"/>
        <w:right w:val="none" w:sz="0" w:space="0" w:color="auto"/>
      </w:divBdr>
    </w:div>
    <w:div w:id="793715273">
      <w:bodyDiv w:val="1"/>
      <w:marLeft w:val="0"/>
      <w:marRight w:val="0"/>
      <w:marTop w:val="0"/>
      <w:marBottom w:val="0"/>
      <w:divBdr>
        <w:top w:val="none" w:sz="0" w:space="0" w:color="auto"/>
        <w:left w:val="none" w:sz="0" w:space="0" w:color="auto"/>
        <w:bottom w:val="none" w:sz="0" w:space="0" w:color="auto"/>
        <w:right w:val="none" w:sz="0" w:space="0" w:color="auto"/>
      </w:divBdr>
    </w:div>
    <w:div w:id="15083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66FA0C-10BE-4AEF-9941-44AFCB45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2264</Words>
  <Characters>15380</Characters>
  <Application>Microsoft Office Word</Application>
  <DocSecurity>0</DocSecurity>
  <Lines>240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2019-05-03T12:28:00Z</cp:lastPrinted>
  <dcterms:created xsi:type="dcterms:W3CDTF">2019-06-12T09:25:00Z</dcterms:created>
  <dcterms:modified xsi:type="dcterms:W3CDTF">2019-06-12T12:09:00Z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