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C7A008C4-9627-490B-8126-9985424696D9" style="width:450.7pt;height:365.7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</w:p>
    <w:p>
      <w:pPr>
        <w:rPr>
          <w:noProof/>
        </w:rPr>
      </w:pPr>
    </w:p>
    <w:p>
      <w:pPr>
        <w:pStyle w:val="Statut"/>
        <w:rPr>
          <w:noProof/>
        </w:rPr>
      </w:pPr>
      <w:r>
        <w:rPr>
          <w:noProof/>
        </w:rPr>
        <w:t>Ajánlás</w:t>
      </w:r>
    </w:p>
    <w:p>
      <w:pPr>
        <w:pStyle w:val="Typedudocument"/>
        <w:rPr>
          <w:noProof/>
        </w:rPr>
      </w:pPr>
      <w:r>
        <w:rPr>
          <w:noProof/>
        </w:rPr>
        <w:t>A TANÁCS AJÁNLÁSA</w:t>
      </w:r>
    </w:p>
    <w:p>
      <w:pPr>
        <w:pStyle w:val="Titreobjet"/>
        <w:rPr>
          <w:noProof/>
        </w:rPr>
      </w:pPr>
      <w:r>
        <w:rPr>
          <w:noProof/>
        </w:rPr>
        <w:t>a Cseh Köztársaság 2019. évi nemzeti reformprogramjáról, amelyben véleményezi a Cseh Köztársaság 2019. évi konvergenciaprogramját</w:t>
      </w:r>
      <w:r>
        <w:rPr>
          <w:noProof/>
        </w:rPr>
        <w:br/>
      </w:r>
      <w:r>
        <w:rPr>
          <w:noProof/>
        </w:rPr>
        <w:br/>
      </w:r>
    </w:p>
    <w:p>
      <w:pPr>
        <w:pStyle w:val="Institutionquiagit"/>
        <w:rPr>
          <w:noProof/>
        </w:rPr>
      </w:pPr>
      <w:r>
        <w:rPr>
          <w:noProof/>
        </w:rPr>
        <w:t>AZ EURÓPAI UNIÓ TANÁCSA,</w:t>
      </w:r>
    </w:p>
    <w:p>
      <w:pPr>
        <w:rPr>
          <w:noProof/>
        </w:rPr>
      </w:pPr>
      <w:r>
        <w:rPr>
          <w:noProof/>
        </w:rPr>
        <w:t>tekintettel az Európai Unió működéséről szóló szerződésre és különösen annak 121. cikke (2) bekezdésére és 148. cikke (4) bekezdésére,</w:t>
      </w:r>
    </w:p>
    <w:p>
      <w:pPr>
        <w:rPr>
          <w:noProof/>
        </w:rPr>
      </w:pPr>
      <w:r>
        <w:rPr>
          <w:noProof/>
        </w:rPr>
        <w:t>tekintettel a költségvetési egyenleg felügyeletének megerősítéséről és a gazdaságpolitikák felügyeletéről és összehangolásáról szóló, 1997. július 7-i 1466/97/EK tanácsi rendeletre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és különösen annak 9. cikke (2) bekezdésére,</w:t>
      </w:r>
    </w:p>
    <w:p>
      <w:pPr>
        <w:rPr>
          <w:noProof/>
        </w:rPr>
      </w:pPr>
      <w:r>
        <w:rPr>
          <w:noProof/>
        </w:rPr>
        <w:t>tekintettel az Európai Bizottság ajánlására,</w:t>
      </w:r>
    </w:p>
    <w:p>
      <w:pPr>
        <w:rPr>
          <w:noProof/>
        </w:rPr>
      </w:pPr>
      <w:r>
        <w:rPr>
          <w:noProof/>
        </w:rPr>
        <w:t>tekintettel az Európai Parlament állásfoglalásaira,</w:t>
      </w:r>
    </w:p>
    <w:p>
      <w:pPr>
        <w:outlineLvl w:val="0"/>
        <w:rPr>
          <w:noProof/>
        </w:rPr>
      </w:pPr>
      <w:r>
        <w:rPr>
          <w:noProof/>
        </w:rPr>
        <w:t>tekintettel az Európai Tanács következtetéseire,</w:t>
      </w:r>
    </w:p>
    <w:p>
      <w:pPr>
        <w:rPr>
          <w:noProof/>
        </w:rPr>
      </w:pPr>
      <w:r>
        <w:rPr>
          <w:noProof/>
        </w:rPr>
        <w:t>tekintettel a Foglalkoztatási Bizottság véleményére,</w:t>
      </w:r>
    </w:p>
    <w:p>
      <w:pPr>
        <w:rPr>
          <w:noProof/>
        </w:rPr>
      </w:pPr>
      <w:r>
        <w:rPr>
          <w:noProof/>
        </w:rPr>
        <w:t>tekintettel a Gazdasági és Pénzügyi Bizottság véleményére,</w:t>
      </w:r>
    </w:p>
    <w:p>
      <w:pPr>
        <w:rPr>
          <w:noProof/>
        </w:rPr>
      </w:pPr>
      <w:r>
        <w:rPr>
          <w:noProof/>
        </w:rPr>
        <w:t>tekintettel a szociális védelemmel foglalkozó bizottság véleményére,</w:t>
      </w:r>
    </w:p>
    <w:p>
      <w:pPr>
        <w:rPr>
          <w:noProof/>
        </w:rPr>
      </w:pPr>
      <w:r>
        <w:rPr>
          <w:noProof/>
        </w:rPr>
        <w:t>tekintettel a Gazdaságpolitikai Bizottság véleményére,</w:t>
      </w:r>
    </w:p>
    <w:p>
      <w:pPr>
        <w:rPr>
          <w:noProof/>
        </w:rPr>
      </w:pPr>
      <w:r>
        <w:rPr>
          <w:noProof/>
        </w:rPr>
        <w:t>mivel: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A Bizottság 2018. november 21-én elfogadta az éves növekedési jelentést, amely elindította a gazdaságpolitikai koordináció 2019. évi európai szemeszterét. Kellő figyelmet fordított az Európai Parlament, a Tanács és a Bizottság által 2017. november 17-én kihirdetett szociális jogok európai pillérére. Az Európai Tanács 2019. március 21-i ülésén jóváhagyta az éves növekedési jelentés prioritásait. A Bizottság az 1176/2011/EU rendelet alapján 2018. november 21-én elfogadta a riasztási mechanizmus keretében készült jelentést is, amelyben a Cseh Köztársaságot nem sorolta azon tagállamok közé, amelyek vonatkozásában részletes vizsgálatra kerül sor.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A Cseh Köztársaságra vonatkozó 2019. évi országjelentést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2019. február 27-én tették közzé. Az országjelentés értékelte a Tanács által 2018. július 13-án elfogadott országspecifikus ajánlások és az előző években elfogadott ajánlások végrehajtása érdekében hozott intézkedéseket, valamint az Európa 2020 stratégia nemzeti szintre lebontott célkitűzései kapcsán a Cseh Köztársaság által elért eredményeket.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A Cseh Köztársaság 2019. április 30-án benyújtotta 2019. évi nemzeti reformprogramját és 2019. évi konvergenciaprogramját. A kapcsolódási pontok figyelembevétele érdekében a két program értékelésére egyidejűleg került sor.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A 2014 és 2020 közötti időszakra vonatkozó európai strukturális és beruházási alapok programozását a vonatkozó országspecifikus ajánlások figyelembevételével alakították ki. Az 1303/2013/EU európai parlamenti és tanácsi rendelet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23. cikke szerint, amennyiben az a vonatkozó tanácsi ajánlások végrehajtásának elősegítése érdekében szükséges, a Bizottság kérheti egy tagállamtól, hogy vizsgálja felül partnerségi megállapodását és releváns programjait, és javasoljon azokhoz módosításokat. A Bizottság az európai strukturális és beruházási alapok eredményességét és a gondos gazdasági irányítást összekapcsoló intézkedések alkalmazására vonatkozó iránymutatásokban további részletekkel szolgált arról, hogyan alkalmazná az említett rendelkezést.</w:t>
      </w:r>
      <w:r>
        <w:rPr>
          <w:rStyle w:val="FootnoteReference"/>
          <w:noProof/>
        </w:rPr>
        <w:footnoteReference w:id="4"/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A Cseh Köztársaság jelenleg a Stabilitási és Növekedési Paktum prevenciós ágához tartozik. 2019. évi konvergenciaprogramjában a kormány azzal számol, hogy az államháztartási egyenleg a GDP 0,3 %-ának megfelelő 2019-es többletből 2020-ban a GDP 0,2 %-ának megfelelő hiányba fordul át, ami az előrejelzés alapján 2022-ig tovább romlik a GDP 0,5 %-ára. Az újraszámított strukturális egyenleg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alapján a Cseh Köztársaság a programidőszakban továbbra is túlteljesíti középtávú költségvetési célját, amely 2019-ben a GDP 1 %-ának megfelelő, 2020-tól pedig a GDP 0,75 %-át kitevő strukturális hiány. A 2019. évi konvergenciaprogram szerint a GDP-arányos államadósság 2022-re fokozatosan csökken 29,7 %-ra. Az említett költségvetési előrejelzéseket alátámasztó makrogazdasági forgatókönyv megalapozott. A költségvetési célok elérésével kapcsolatos kockázatok nagyjából kiegyensúlyozottnak tűnnek: a közszférabeli bérek és a szociális transzferek várható további növekedésével a GDP-arányos összbevétel kismértékű csökkenése áll szemben. A Bizottság 2019. tavaszi előrejelzése alapján a strukturális egyenleg 2019-ben romlik, és várhatóan a GDP –0,1 %-a körüli hiányt mutat, 2020-ban pedig a GDP –0,4 %-a lesz, vagyis a középtávú költségvetési cél felett marad. Összességében a Tanács véleménye szerint a Cseh Köztársaság 2019-ben és 2020-ban az előrejelzések szerint meg fog felelni a Stabilitási és Növekedési Paktum rendelkezéseinek.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A Cseh Köztársaság hosszú távon az államháztartás fenntarthatóságával kapcsolatos közepes kockázattal szembesül, elsősorban az elöregedéssel összefüggő kiadások miatt. A hosszú távú fenntarthatóságot legfőképpen a nyugdíjkiadások befolyásolják hátrányosan, mivel a várakozások szerint 2070-re GDP-arányosan körülbelül 2 százalékponttal nőnek. Hosszú távú kockázatokkal kell számolni a kedvezőtlen demográfiai fejlemények miatt, amihez társul a törvényben előírt nyugdíjkorhatár felső határának 65 évre történő korlátozása. Ennek következtében közel megduplázódik az időskorú eltartottak aránya, vagyis az idősek száma az aktív népességhez képest, és 2070-ben eléri az 50 %-ot. A közelmúltbeli intézkedések javítják a nyugdíjak megfelelőségét. A nyugellátások nagyvonalúbb indexálása mellett a kormány növelte az alapnyugdíj összegét, és kiegészítette az idősebb nyugdíjasok nyugdíját. Ezekhez a lépésekhez azonban nem kapcsolódnak a fenntarthatóság javítására irányuló szakpolitikák. Például a törvényben előírt nyugdíjkorhatár kiigazítása nem történik meg automatikusan a várható élettartam növekedésével összhangban. Jelenleg (a törvényben előírt és a korengedményes nyugdíj tekintetében is) a nyugdíjkorhatár módosítását a kormánynak kell javasolnia, és azt a Parlamentnek jóvá kell hagynia. Ezek az intézkedések olyan munkaerőpiaci politikákkal is kombinálhatók, amelyek támogatják a hosszabb szakmai pályafutást és az alulreprezentált csoportok bevonását. Az elöregedéssel kapcsolatos állami egészségügyi kiadások előre jelzett növekedése 2070-ig GDP-arányosan 1,1 százalékpontot tesz ki, ami csökkenti a költségvetés hosszú távú fenntarthatóságát is. Ebben az összefüggésben a kórházi ágazat további konszolidációja, valamint az alapellátásba, továbbá az integrált egészségügyi és szociális ellátásba való beruházás javíthatja az egészségügyi rendszer költséghatékonyságát.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Ugyan a Cseh Nemzeti Bank ajánlást tehet a jelzálog-hitelezés makroprudenciális korlátozására, de a jelenlegi jogszabályok alapján szankcionálási jogköre korlátozott, mivel nem rendelkezik hivatalos felhatalmazással a korlátok betartatására. Bár a cseh bankok általánosságban megfelelnek az ajánlásoknak, kötelező erejű, jogszabályban rögzített korlátokkal valószínűleg növelni lehetne a megfelelés szintjét a bankok körében, biztosítva ezáltal a pénzügyi stabilitást, és csökkentve a hitelfelvevők kockázatait. A Cseh Nemzeti Bankról szóló törvényt módosító jogalkotási javaslatról még folynak a tárgyalások.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Mindamellett, hogy történt némi javulás, a korrupció továbbra is komoly problémát jelent a vállalkozások számára, és a gazdasági tevékenység gátját jelentheti. Pozitívum, hogy a 2017-ben bevezetett – többek között a közbeszerzésre vonatkozó – reformok végrehajtása folyamatban van, és a kormány végül elfogadott néhány függőben lévő intézkedést, amelyeket egyeztetésre a Parlament elé terjesztett. Ezek közé tartozik a legfőbb ellenőrző hivatal hatáskörének a régiókra és az önkormányzatokra való kiterjesztésével, valamint az állami vállalatokba történő kinevezésekkel kapcsolatos javaslat, mely terület összeférhetetlenségi problémákat vethet fel, ezért itt elengedhetetlen a szabályozás. A visszaélést bejelentő személyek védelmére és a lobbitevékenységre vonatkozó javaslatokat azonban még nem fogadták el.</w:t>
      </w:r>
    </w:p>
    <w:p>
      <w:pPr>
        <w:pStyle w:val="ManualConsidrant"/>
        <w:rPr>
          <w:rFonts w:eastAsia="Times New Roman"/>
          <w:noProof/>
          <w:szCs w:val="24"/>
        </w:rPr>
      </w:pPr>
      <w:r>
        <w:t>(9)</w:t>
      </w:r>
      <w:r>
        <w:tab/>
      </w:r>
      <w:r>
        <w:rPr>
          <w:noProof/>
        </w:rPr>
        <w:t>A Cseh Köztársaságban a munkaerőpiac jó teljesítményt nyújt. A foglalkoztatás az elmúlt hét évben folyamatosan nőtt, a munkanélküliség pedig jelentősen csökkent. Mindazonáltal a kisgyermekes nők, az alacsony képzettségűek és a fogyatékossággal élők munkaerőpiaci potenciálja továbbra is kihasználatlan. A munkaerőhiány tükrében ezért egyértelműen szükség van a munkaerőpiaci részvételük növelésére. A szülői szabadságot rugalmasabbá tevő közelmúltbeli intézkedések és a gyermekgondozási létesítmények számának emelkedése ellenére a nemek közötti foglalkoztatási egyenlőtlenség és bérszakadék továbbra is jelentős. A nők foglalkoztatási rátája jelentősen elmarad a férfiakétól. A megfizethető gyermekgondozási szolgáltatások szűkössége, a hosszú szülői szabadság, a rugalmas munkafeltételek szűk körű alkalmazása és a hosszú távú ellátást biztosító létesítmények hiánya még mindig nagymértékben befolyásolja a munkaerőpiaci részvételt. 2017-ben a háromévesnél fiatalabb gyermekek mindössze 6,5 %-a járt bölcsődébe (az uniós átlag 34,2 %). Bár a népesség kis hányadát teszik ki, az alacsony képzettségűek foglalkoztatási rátája jóval elmarad a közepesen és magasan képzettek foglalkoztatási rátájától. Hasonlóan, a fogyatékossággal élők foglalkoztatási rátája továbbra is alacsony. Az állami foglalkoztatási szolgálatok – korlátozott kapacitásuk miatt – jelenleg nem tudnak személyre szabott, folyamatos támogatást nyújtani az álláskeresők számára. Az állami foglalkoztatási szolgálat bevonási és aktiválási kapacitásainak növelése hatékony és jól irányzott aktív munkaerőpiaci intézkedésekkel kiegészülve hozzájárulna a hátrányos helyzetű csoportok részvételének növeléséhez.</w:t>
      </w:r>
    </w:p>
    <w:p>
      <w:pPr>
        <w:pStyle w:val="ManualConsidrant"/>
        <w:rPr>
          <w:rFonts w:eastAsia="Times New Roman"/>
          <w:noProof/>
          <w:szCs w:val="24"/>
        </w:rPr>
      </w:pPr>
      <w:r>
        <w:t>(10)</w:t>
      </w:r>
      <w:r>
        <w:tab/>
      </w:r>
      <w:r>
        <w:rPr>
          <w:noProof/>
        </w:rPr>
        <w:t>Egy nagymértékben a feldolgozóiparra épülő gazdaságban a munkaerőpiaci és demográfiai korlátok indokolttá teszik az oktatásra és képzésre fordított beruházások fokozását, beleértve a foglalkoztatott felnőttekre irányulót is, annak biztosításához, hogy az ország kezelni tudja a gazdaság strukturális változásaiból, például a jövőbeli technológiai változásokból eredő kihívásokat. A készségkereslet és -kínálat közötti minőségi eltérések – többek között a jövőbeli automatizálásból és robotizációból eredő strukturális munkaerőhiány – különösen a digitális ágazatban jelentkezhetnek. Az új munkahelyek új kompetenciákat és jelentős beruházást igényelnek, különösen a fejlettebb technikai szakmai készségek és a digitális készségek terén, amelyekre várhatóan a jelenlegi mechanikus tevékenységek automatizálását követően szükség lesz. Bár az elmúlt években számos kezdeményezés indult útjára az átfogó készségstratégia bevezetésére, ezek még nem épültek be egy valódi, átfogó rendszerbe.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Az oktatási teljesítményt továbbra is erősen befolyásolja a diákok társadalmi-gazdasági háttere. 2016-ban az Európai Szociális Alap támogatásával az oktatás inkluzívabbá tételére irányuló reform kezdődött. Sikere a megfelelő és fenntartható nemzeti finanszírozás rendelkezésre állásától, a tanárok és oktatási asszisztensek képzésétől, valamint a közvélemény inkluzív oktatás előnyeivel kapcsolatos tudatosságának növelésétől függ majd. Bár az eredmények összességében pozitívak, az inkluzív oktatási reform hatása a roma gyermekek többségi oktatásban való részvételére még mindig korlátozott. A nem elegendő beruházás, a tanári szakma csekély vonzereje és a társadalmi-gazdasági egyenlőtlenségek visszafogják az elérhető oktatási színvonalat. A szakma alacsony presztízse, a közelmúltbeli béremelés ellenére a más szakmákhoz viszonyítva alacsony bérek, valamint a korlátozott szakmai előmeneteli lehetőségek miatt tanárhiány van. A tanári szakma továbbra is viszonylag kevéssé vonzó a tehetséges fiatalok számára. Következésképpen a képzett tanárok hiánya – figyelemmel a kedvezőtlen demográfiai előrejelzésekre – azt jelzi, hogy a jövőben még nagyobb problémát jelenthet a tanárok felvétele és megtartása.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Annak ellenére, hogy a Cseh Köztársaság tranzitország, még mindig nem fejeződött be az európai közlekedési hálózatok – többek között a TEN-T folyosók – kiépítése. Hiányosságok vannak az elővárosi közlekedési infrastruktúra terén, ami a lakások megfizethetősége és a munkába járás szempontjából is problémát jelent. A gyenge közlekedési kapcsolatok az üzleti tevékenységet is gátolják, különösen a távoli területeken. Bár a nagyvárosi területeken folyamatban van a szuburbanizáció, az elővárosi közlekedési hálózatok fejletlenek, különösen ami a vasúti infrastruktúrát illeti. A szén-dioxid-kibocsátás csökkentése terén az ország teljesítménye gyenge, különösen a közlekedésben felhasznált megújuló energia arányát és az elektromos járművek elterjedtségét tekintve. Emellett előfordulhat, hogy az elektromos töltőállomások infrastruktúrájának tervezett bővítése nem lesz elegendő a jövőbeli kereslet kielégítésére. A fenntartható közlekedésre irányuló beruházások növelése hozzájárulhat a levegő- és zajszennyezés visszaszorításához, és enyhítheti annak közegészségügyi hatását, különösen a városi területeken. A digitális infrastruktúra javul, de a városi és a vidéki területek közötti szakadék továbbra is fennáll, mivel a vidéki háztartások mindössze 59 %-ában érhetők el a gyors széles sávú hálózatok. A rézvezetékes infrastruktúrán alapuló régebbi hálózatok korszerűsítése az állandóhelyű vezeték nélküli hozzáférési megoldásokkal együtt nem lesz elegendő az összekapcsoltságra vonatkozó 2025-re kitűzött célok teljesítéséhez. A jövőbeli összekapcsoltsági igények kezelése érdekében beruházásokra van szükség a nagyon nagy kapacitású (optikai szálas) hálózatok és a megfelelő keresletoldali intézkedések terén.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A cseh gazdaság energiaintenzitása továbbra is a legmagasabbak között van az EU-ban, mivel az energiahatékonyság – különösen az építőiparban – csak lassan javul. Az energiaintenzitás az ipari ágazatokban és a lakóingatlanok ágazatában a legmagasabb. Az energiahatékonyság javítása lehetőséget kínál a Cseh Köztársaság versenyképességének növelésére a háztartások és a vállalkozások energiaköltségeinek csökkentése, a tisztább iparágak fejlesztése és az értéklánc kiteljesítése révén. A villamosenergia-termelésben a szén van túlsúlyban, és a szén-dioxid-kibocsátás legnagyobb forrása, jelentős mértékben veszélyeztetve a helyi levegőminőséget. Az elmúlt 5 évben jelentősen nőtt a közúti közlekedésből származó üvegházhatásúgáz-kibocsátás. Az éghajlatváltozáshoz való alkalmazkodás és a kockázatmegelőzés terén nincsenek megfelelő intézkedések, amelyek a megfelelő megelőzést, a felkészültséget és a katasztrófákkal szembeni ellenálló képesség kialakítását szolgálnák.</w:t>
      </w:r>
    </w:p>
    <w:p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Az adminisztratív és szabályozási terhek hátráltathatják a beruházásokat. Számos cseh vállalkozás tartja a beruházások jelentős akadályának az adminisztratív és szabályozási terheket. A gyorsan változó jogszabályok és az összetett adminisztratív eljárások továbbra is komolyan hátráltatják a vállalkozói tevékenységet. A szerződések érvényesítésének költségei, az adó- és munkaügyi szabályok gyakori változásai, valamint az építési engedélyek megszerzésével kapcsolatos nehézségek potenciálisan visszafogják a befektetéseket az országban. Az adminisztratív terhek mértéke a régiók között is jelentős eltéréseket mutat. A közelmúltban előterjesztett javaslatok célja a tervezési eljárások összetettségének csökkentése, különösen a nagy infrastrukturális projektek esetében. Emellett a kormány 2021-ig új építésitörvény-tervezetet dolgoz ki a szociális partnerek bevonásával. A termékek piacfelügyeletével kapcsolatos hatáskör számos szervezet között oszlik meg, gyakoriak az átfedések, és ez problémát jelent a hatékony koordináció és az eredményes együttműködés szempontjából.</w:t>
      </w:r>
    </w:p>
    <w:p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>A közbeszerzési gyakorlatban, jóllehet az átláthatóság és a biztosított képzés javulóban van, jelentős az elmaradás a versenyképesség terén – az egyetlen pályázós eljárások nagy aránya miatt –, valamint a minőségi kritériumok használata és a közintézményekbe vetett bizalom terén. A közbeszerzési döntések túlnyomó része továbbra is a legalacsonyabb áron alapul, mivel a stratégiai megközelítés elfogadása még függőben van. Nagyobb hangsúlyt kapott a központosított közbeszerzés és a megosztott szakértelem igénybevétele, a gyakorlati megvalósítás azonban – a nyilvánvaló potenciál ellenére – meglehetősen lassú.</w:t>
      </w:r>
    </w:p>
    <w:p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>A Cseh Köztársaság még nem hozott létre a hazai kutatás-fejlesztésen alapuló, teljes mértékben működőképes innovációs ökoszisztémát. A kutatási-fejlesztési intenzitás növekedése ellenére az ország még mindig mérsékelten innovatívnak minősül uniós szinten, ami összefüggésben állhat azzal, hogy a közberuházások terén hiányzik egy teljes mértékben koherens, a gyenge kutatási teljesítmény fokozására, valamint a magánszféra és a tudományos körök közötti együttműködés javítására irányuló stratégia. A termelékenység növekedése főként a nagy külföldi vállalatoktól függ, miközben a hazai vállalkozások a hozzáadottérték-teremtés tekintetében lemaradásban vannak. Emellett viszonylag lassú ütemben nőtt a teljes tényezőtermelékenység, amely a tőke és a munkaerő termelésben való hatékony felhasználását jelző mutató. A hazai innovációra való fokozott összpontosítás a gazdaság egészében fellendítheti a termelékenységet, beleértve a kis- és középvállalkozásokat is.</w:t>
      </w:r>
    </w:p>
    <w:p>
      <w:pPr>
        <w:pStyle w:val="ManualConsidrant"/>
        <w:rPr>
          <w:rFonts w:eastAsia="Times New Roman"/>
          <w:noProof/>
          <w:szCs w:val="24"/>
        </w:rPr>
      </w:pPr>
      <w:r>
        <w:t>(17)</w:t>
      </w:r>
      <w:r>
        <w:tab/>
      </w:r>
      <w:r>
        <w:rPr>
          <w:noProof/>
        </w:rPr>
        <w:t>A 2021–2027 közötti időszakra vonatkozó uniós alapok programozása hozzájárulhat az ajánlásokban azonosított egyes hiányosságok kezeléséhez, különösen az országjelentés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D. mellékletében ismertetett területeken. Ez lehetővé tenné a Cseh Köztársaság számára, hogy az azonosított ágazatok tekintetében a lehető legoptimálisabban használja fel az említett alapokat, a regionális különbségeket is figyelembe véve. E beruházások sikerének egyik fontos tényezője az ezen alapok kezelését biztosító nemzeti igazgatási kapacitás megerősítése.</w:t>
      </w:r>
    </w:p>
    <w:p>
      <w:pPr>
        <w:pStyle w:val="ManualConsidrant"/>
        <w:rPr>
          <w:noProof/>
        </w:rPr>
      </w:pPr>
      <w:r>
        <w:t>(18)</w:t>
      </w:r>
      <w:r>
        <w:tab/>
      </w:r>
      <w:r>
        <w:rPr>
          <w:noProof/>
        </w:rPr>
        <w:t>A 2019. évi európai szemeszter keretében a Bizottság elvégezte a Cseh Köztársaság gazdaságpolitikájának átfogó elemzését, és azt közzétette a 2019. évi országjelentésben. A Bizottság értékelte továbbá a 2019. évi konvergenciaprogramot és a 2019. évi nemzeti reformprogramot, valamint az előző években a Cseh Köztársaságnak címzett ajánlások végrehajtása érdekében hozott intézkedéseket. Figyelembe vette nemcsak a programoknak a Cseh Köztársaság fenntartható költségvetési, valamint társadalom- és gazdaságpolitikája szempontjából mutatott jelentőségét, hanem azt is, hogy azok megfelelnek-e az uniós szabályoknak és iránymutatásoknak, tekintve, hogy az Unió átfogó gazdasági kormányzását az uniós szempontoknak a leendő nemzeti döntésekbe való beépítésével kell megerősíteni.</w:t>
      </w:r>
    </w:p>
    <w:p>
      <w:pPr>
        <w:pStyle w:val="ManualConsidrant"/>
        <w:rPr>
          <w:noProof/>
        </w:rPr>
      </w:pPr>
      <w:r>
        <w:t>(19)</w:t>
      </w:r>
      <w:r>
        <w:tab/>
      </w:r>
      <w:r>
        <w:rPr>
          <w:noProof/>
        </w:rPr>
        <w:t>Ezen értékelés fényében a Tanács megvizsgálta a 2019. évi konvergenciaprogramot, és azt a véleményt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fogalmazta meg, hogy a Cseh Köztársaság várhatóan megfelel majd a Stabilitási és Növekedési Paktum rendelkezéseinek,</w:t>
      </w:r>
    </w:p>
    <w:p>
      <w:pPr>
        <w:pStyle w:val="Formuledadoption"/>
        <w:rPr>
          <w:noProof/>
        </w:rPr>
      </w:pPr>
      <w:r>
        <w:rPr>
          <w:noProof/>
        </w:rPr>
        <w:t>AJÁNLJA, hogy a Cseh Köztársaság 2019-ben és 2020-ban tegyen intézkedéseket a következők érdekében:</w:t>
      </w:r>
    </w:p>
    <w:p>
      <w:pPr>
        <w:pStyle w:val="ManualNumPar1"/>
        <w:rPr>
          <w:noProof/>
          <w:szCs w:val="24"/>
        </w:rPr>
      </w:pPr>
      <w:r>
        <w:t>1.</w:t>
      </w:r>
      <w:r>
        <w:tab/>
      </w:r>
      <w:r>
        <w:rPr>
          <w:noProof/>
        </w:rPr>
        <w:t>Javítsa a nyugdíj- és egészségügyi rendszer hosszú távú költségvetési fenntarthatóságát. Fogadja el a függőben lévő korrupcióellenes intézkedéseket.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Mozdítsa elő a kisgyermekes nők foglalkoztatását, többek között a megfizethető gyermekgondozáshoz való hozzáférés javítása révén, és javítsa a hátrányos helyzetű csoportok foglalkoztatását. Növelje az oktatási és képzési rendszerek minőségét és inkluzivitását, ideértve a technikai és digitális készségek javítását és a tanári szakma presztízsének növelését.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Állítsa a beruházásokkal kapcsolatos gazdaságpolitika középpontjába a közlekedést, különös tekintettel a fenntarthatóságára, a digitális infrastruktúrát, a karbonszegény gazdaságra és energiatermelésre való átállást, ideértve az energiahatékonyságot, figyelembe véve a regionális különbségeket is. Csökkentse a beruházásokra nehezedő adminisztratív terhet, és tegye lehetővé a fokozottabban minőségalapú versenyt a közbeszerzés terén. Szüntesse meg a teljes mértékben működőképes innovációs ökoszisztéma fejlesztésének akadályait.</w:t>
      </w:r>
    </w:p>
    <w:p>
      <w:pPr>
        <w:pStyle w:val="Fait"/>
        <w:rPr>
          <w:noProof/>
        </w:rPr>
      </w:pPr>
      <w:bookmarkStart w:id="1" w:name="_CopyToNewDocument_"/>
      <w:bookmarkEnd w:id="1"/>
      <w:r>
        <w:t>Kelt Brüsszelben, -án/-én.</w:t>
      </w:r>
    </w:p>
    <w:p>
      <w:pPr>
        <w:pStyle w:val="Institutionquisigne"/>
        <w:rPr>
          <w:noProof/>
        </w:rPr>
      </w:pPr>
      <w:r>
        <w:rPr>
          <w:noProof/>
        </w:rPr>
        <w:tab/>
        <w:t>a Tanács részéről</w:t>
      </w:r>
    </w:p>
    <w:p>
      <w:pPr>
        <w:pStyle w:val="Personnequisigne"/>
        <w:rPr>
          <w:noProof/>
        </w:rPr>
      </w:pPr>
      <w:r>
        <w:rPr>
          <w:noProof/>
        </w:rPr>
        <w:tab/>
        <w:t>az elnök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HL L 209., 1997.8.2., 1. o.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SWD(2019) 1002 final.</w:t>
      </w:r>
    </w:p>
  </w:footnote>
  <w:footnote w:id="3">
    <w:p>
      <w:pPr>
        <w:pStyle w:val="FootnoteText"/>
        <w:ind w:left="709" w:hanging="709"/>
      </w:pPr>
      <w:r>
        <w:rPr>
          <w:rStyle w:val="FootnoteReference"/>
        </w:rPr>
        <w:footnoteRef/>
      </w:r>
      <w:r>
        <w:tab/>
        <w:t>Az Európai Parlament és a Tanács 1303/2013/EU rendelete (2013. december 17.) az Európai Regionális Fejlesztési Alapra, az Európai Szociális Alapra, a Kohéziós Alapra, az Európai Mezőgazdasági Vidékfejlesztési Alapra és az Európai Tengerügyi és Halászati Alapra vonatkozó közös rendelkezések megállapításáról, az Európai Regionális Fejlesztési Alapra, az Európai Szociális Alapra és a Kohéziós Alapra és az Európai Tengerügyi és Halászati Alapra vonatkozó általános rendelkezések megállapításáról és az 1083/2006/EK tanácsi rendelet hatályon kívül helyezéséről (HL L 347., 2013.12.20., 320. o.).</w:t>
      </w:r>
    </w:p>
  </w:footnote>
  <w:footnote w:id="4">
    <w:p>
      <w:pPr>
        <w:pStyle w:val="FootnoteText"/>
        <w:ind w:left="709" w:hanging="709"/>
      </w:pPr>
      <w:r>
        <w:rPr>
          <w:rStyle w:val="FootnoteReference"/>
        </w:rPr>
        <w:footnoteRef/>
      </w:r>
      <w:r>
        <w:tab/>
        <w:t>COM(2014) 494 final.</w:t>
      </w:r>
    </w:p>
  </w:footnote>
  <w:footnote w:id="5">
    <w:p>
      <w:pPr>
        <w:pStyle w:val="FootnoteText"/>
        <w:ind w:left="709" w:hanging="709"/>
      </w:pPr>
      <w:r>
        <w:rPr>
          <w:rStyle w:val="FootnoteReference"/>
        </w:rPr>
        <w:footnoteRef/>
      </w:r>
      <w:r>
        <w:tab/>
        <w:t>A Bizottság által a közös módszertannak megfelelően újraszámított, egyszeri és ideiglenes intézkedésektől mentes, ciklikusan kiigazított egyenleg.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SWD(2019) 1002 final.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Az 1466/97/EK tanácsi rendelet 9. cikkének (2) bekezdése értelmében.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AE60E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ABCF7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01CC5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3584A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87C503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A8C12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3F4FD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5F845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6F642730"/>
    <w:multiLevelType w:val="singleLevel"/>
    <w:tmpl w:val="142C218E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2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8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2"/>
  </w:num>
  <w:num w:numId="26">
    <w:abstractNumId w:val="18"/>
  </w:num>
  <w:num w:numId="27">
    <w:abstractNumId w:val="12"/>
  </w:num>
  <w:num w:numId="28">
    <w:abstractNumId w:val="20"/>
  </w:num>
  <w:num w:numId="29">
    <w:abstractNumId w:val="11"/>
  </w:num>
  <w:num w:numId="30">
    <w:abstractNumId w:val="13"/>
  </w:num>
  <w:num w:numId="31">
    <w:abstractNumId w:val="9"/>
  </w:num>
  <w:num w:numId="32">
    <w:abstractNumId w:val="19"/>
  </w:num>
  <w:num w:numId="33">
    <w:abstractNumId w:val="8"/>
  </w:num>
  <w:num w:numId="34">
    <w:abstractNumId w:val="14"/>
  </w:num>
  <w:num w:numId="35">
    <w:abstractNumId w:val="16"/>
  </w:num>
  <w:num w:numId="36">
    <w:abstractNumId w:val="17"/>
  </w:num>
  <w:num w:numId="37">
    <w:abstractNumId w:val="10"/>
  </w:num>
  <w:num w:numId="38">
    <w:abstractNumId w:val="15"/>
  </w:num>
  <w:num w:numId="39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ctiveWritingStyle w:appName="MSWord" w:lang="en-GB" w:vendorID="64" w:dllVersion="131078" w:nlCheck="1" w:checkStyle="0"/>
  <w:activeWritingStyle w:appName="MSWord" w:lang="pt-PT" w:vendorID="64" w:dllVersion="131078" w:nlCheck="1" w:checkStyle="0"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6-12 14:10:1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C7A008C4-9627-490B-8126-9985424696D9"/>
    <w:docVar w:name="LW_COVERPAGE_TYPE" w:val="1"/>
    <w:docVar w:name="LW_CROSSREFERENCE" w:val="&lt;UNUSED&gt;"/>
    <w:docVar w:name="LW_DocType" w:val="COM"/>
    <w:docVar w:name="LW_EMISSION" w:val="2019.6.5."/>
    <w:docVar w:name="LW_EMISSION_ISODATE" w:val="2019-06-05"/>
    <w:docVar w:name="LW_EMISSION_LOCATION" w:val="BRX"/>
    <w:docVar w:name="LW_EMISSION_PREFIX" w:val="Brüsszel, "/>
    <w:docVar w:name="LW_EMISSION_SUFFIX" w:val=" "/>
    <w:docVar w:name="LW_ID_DOCMODEL" w:val="SG-002"/>
    <w:docVar w:name="LW_ID_DOCSIGNATURE" w:val="SG-002"/>
    <w:docVar w:name="LW_ID_DOCSTRUCTURE" w:val="COM/PL/ORG"/>
    <w:docVar w:name="LW_ID_DOCTYPE" w:val="SG-002"/>
    <w:docVar w:name="LW_ID_EXP.MOTIFS.NEW" w:val="EM_PL_"/>
    <w:docVar w:name="LW_ID_STATUT" w:val="SG-002"/>
    <w:docVar w:name="LW_INTERETEEE.CP" w:val="&lt;UNUSED&gt;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50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Ajánlás"/>
    <w:docVar w:name="LW_SUPERTITRE" w:val="&lt;UNUSED&gt;"/>
    <w:docVar w:name="LW_TITRE.OBJ.CP" w:val="a Cseh Köztársaság 2019. évi nemzeti reformprogramjáról, amelyben véleményezi a Cseh Köztársaság 2019. évi konvergenciaprogramját_x000b__x000b_"/>
    <w:docVar w:name="LW_TYPE.DOC.CP" w:val="A TANÁCS AJÁNLÁS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ash2">
    <w:name w:val="Dash 2"/>
    <w:basedOn w:val="Normal"/>
    <w:pPr>
      <w:numPr>
        <w:numId w:val="11"/>
      </w:numPr>
      <w:spacing w:line="360" w:lineRule="auto"/>
      <w:jc w:val="left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ash2">
    <w:name w:val="Dash 2"/>
    <w:basedOn w:val="Normal"/>
    <w:pPr>
      <w:numPr>
        <w:numId w:val="11"/>
      </w:numPr>
      <w:spacing w:line="360" w:lineRule="auto"/>
      <w:jc w:val="left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1FDD06E-2B54-43A5-B9C8-09EC97C5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6</TotalTime>
  <Pages>7</Pages>
  <Words>2384</Words>
  <Characters>17332</Characters>
  <Application>Microsoft Office Word</Application>
  <DocSecurity>0</DocSecurity>
  <Lines>266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cp:lastPrinted>2019-05-03T12:28:00Z</cp:lastPrinted>
  <dcterms:created xsi:type="dcterms:W3CDTF">2019-06-11T08:53:00Z</dcterms:created>
  <dcterms:modified xsi:type="dcterms:W3CDTF">2019-06-12T12:10:00Z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SG-002</vt:lpwstr>
  </property>
  <property fmtid="{D5CDD505-2E9C-101B-9397-08002B2CF9AE}" pid="10" name="DQCStatus">
    <vt:lpwstr>Green (DQC version 03)</vt:lpwstr>
  </property>
</Properties>
</file>