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DD235FC2-D097-4465-BC8C-1DE88978A6C7" style="width:450.75pt;height:36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</w:p>
    <w:p>
      <w:pPr>
        <w:rPr>
          <w:noProof/>
        </w:rPr>
      </w:pPr>
    </w:p>
    <w:p>
      <w:pPr>
        <w:pStyle w:val="Statut"/>
        <w:rPr>
          <w:noProof/>
        </w:rPr>
      </w:pPr>
      <w:r>
        <w:rPr>
          <w:noProof/>
        </w:rPr>
        <w:t>Rakkomandazzjoni għal</w:t>
      </w:r>
    </w:p>
    <w:p>
      <w:pPr>
        <w:pStyle w:val="Typedudocument"/>
        <w:rPr>
          <w:noProof/>
        </w:rPr>
      </w:pPr>
      <w:r>
        <w:rPr>
          <w:noProof/>
        </w:rPr>
        <w:t>RAKKOMANDAZZJONI TAL-KUNSILL</w:t>
      </w:r>
    </w:p>
    <w:p>
      <w:pPr>
        <w:pStyle w:val="Titreobjet"/>
        <w:rPr>
          <w:noProof/>
        </w:rPr>
      </w:pPr>
      <w:r>
        <w:rPr>
          <w:noProof/>
        </w:rPr>
        <w:t>dwar il-Programm Nazzjonali ta’ Riforma tal-Ungerija għall-2019 u li tagħti opinjoni tal-Kunsill dwar il-Programm ta’ Konverġenza tal-Ungerija għall-2019</w:t>
      </w:r>
      <w:r>
        <w:rPr>
          <w:noProof/>
        </w:rPr>
        <w:br/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l-Artikoli 121(2) u 148(4) tiegħu,</w:t>
      </w:r>
    </w:p>
    <w:p>
      <w:pPr>
        <w:rPr>
          <w:noProof/>
        </w:rPr>
      </w:pPr>
      <w:r>
        <w:rPr>
          <w:noProof/>
        </w:rPr>
        <w:t>Wara li kkunsidra r-Regolament tal-Kunsill (KE) Nru 1466/97 tas-7 ta’ Lulju 1997 dwar it-tisħiħ tas-sorveljanza ta’ pożizzjonijiet ta' baġit u s-sorveljanza u l-koordinazzjoni ta’ politika ekonomika</w:t>
      </w:r>
      <w:r>
        <w:rPr>
          <w:rStyle w:val="FootnoteReference"/>
          <w:noProof/>
        </w:rPr>
        <w:footnoteReference w:id="1"/>
      </w:r>
      <w:r>
        <w:rPr>
          <w:noProof/>
        </w:rPr>
        <w:t>, u b’mod partikolari l-Artikolu 9(2) tiegħu,</w:t>
      </w:r>
    </w:p>
    <w:p>
      <w:pPr>
        <w:rPr>
          <w:noProof/>
        </w:rPr>
      </w:pPr>
      <w:r>
        <w:rPr>
          <w:noProof/>
        </w:rPr>
        <w:t>Wara li kkunsidra r-rakkomandazzjoni tal-Kummissjoni Ewropea,</w:t>
      </w:r>
    </w:p>
    <w:p>
      <w:pPr>
        <w:rPr>
          <w:noProof/>
        </w:rPr>
      </w:pPr>
      <w:r>
        <w:rPr>
          <w:noProof/>
        </w:rPr>
        <w:t>Wara li kkunsidra r-riżoluzzjonijiet tal-Parlament Ewropew,</w:t>
      </w:r>
    </w:p>
    <w:p>
      <w:pPr>
        <w:outlineLvl w:val="0"/>
        <w:rPr>
          <w:noProof/>
        </w:rPr>
      </w:pPr>
      <w:r>
        <w:rPr>
          <w:noProof/>
        </w:rPr>
        <w:t>Wara li kkunsidra l-konklużjonijiet tal-Kunsill Ewropew,</w:t>
      </w:r>
    </w:p>
    <w:p>
      <w:pPr>
        <w:rPr>
          <w:noProof/>
        </w:rPr>
      </w:pPr>
      <w:r>
        <w:rPr>
          <w:noProof/>
        </w:rPr>
        <w:t>Wara li kkunsidra l-opinjoni tal-Kumitat tal-Impjiegi,</w:t>
      </w:r>
    </w:p>
    <w:p>
      <w:pPr>
        <w:rPr>
          <w:noProof/>
        </w:rPr>
      </w:pPr>
      <w:r>
        <w:rPr>
          <w:noProof/>
        </w:rPr>
        <w:t>Wara li kkunsidra l-opinjoni tal-Kumitat Ekonomiku u Finanzjarju,</w:t>
      </w:r>
    </w:p>
    <w:p>
      <w:pPr>
        <w:rPr>
          <w:noProof/>
        </w:rPr>
      </w:pPr>
      <w:r>
        <w:rPr>
          <w:noProof/>
        </w:rPr>
        <w:t>Wara li kkunsidra l-opinjoni tal-Kumitat tal-Protezzjoni Soċjali,</w:t>
      </w:r>
    </w:p>
    <w:p>
      <w:pPr>
        <w:rPr>
          <w:noProof/>
        </w:rPr>
      </w:pPr>
      <w:r>
        <w:rPr>
          <w:noProof/>
        </w:rPr>
        <w:t>Wara li kkunsidra l-opinjoni tal-Kumitat tal-Politika Ekonomika,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Fil-</w:t>
      </w:r>
      <w:r>
        <w:rPr>
          <w:noProof/>
          <w:color w:val="000000" w:themeColor="text1"/>
        </w:rPr>
        <w:t>21 ta’ Novembru 2018, il-Kummissjoni adottat l-Istħarriġ Annwali dwar it-Tkabbir, li ta bidu għas-Semestru Ewropew</w:t>
      </w:r>
      <w:r>
        <w:rPr>
          <w:noProof/>
        </w:rPr>
        <w:t xml:space="preserve"> biex tiġi kkoordinata l-politika ekonomika għall-2019. Qieset kif dovut il-Pilastru Ewropew tad-Drittijiet Soċjali, kif ipproklamat mill-Parlament Ewropew, il-Kunsill u l-Kummissjoni fis-17 ta’ Novembru 2017. Il-prijoritajiet tal-Istħarriġ Annwali dwar it-Tkabbir ġew approvati mill-Kunsill Ewropew fil-21 ta’ Marzu 2019. Fil-21 ta’ Novembru 2018, abbażi tar-Regolament (UE) Nru 1176/2011, il-Kummissjoni adottat ukoll ir-Rapport dwar il-Mekkaniżmu ta’ Twissija, li fih ma identifikatx lill-Ungerija bħala wieħed mill-Istati Membri li huwa meħtieġ li ssirlu analiżi fil-fond.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Ir-rapport tal-pajjiż għall-2019 tal-Ungerija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ġie ppubblikat fis-27 ta’ Frar 2019. Dan ir-rapport jivvaluta l-progress tal-Ungerija biex tindirizza r-rakkomandazzjonijiet speċifiċi għall-pajjiż adottati mill-Kunsill fit-13 ta’ Lulju 2018, is-segwitu mogħti għar-rakkomandazzjonijiet adottati fis-snin preċedenti u l-progress tal-Ungerija lejn il-miri nazzjonali tagħha tal-Ewropa 2020.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Fit-30 ta’ April 2019, l-Ungerija ppreżentat il-Programm Nazzjonali ta’ Riforma tal-2019 tagħha u l-Programm ta’ Konverġenza tal-2019 tagħha. Biex jiġu kkunsidrati l-konnessjonijiet ta' bejniethom, iż-żewġ Programmi ġew ivvalutati fl-istess żmien.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Ir-rakkomandazzjonijiet speċifiċi relevanti għall-pajjiż ġew indirizzati waqt l-ipprogrammar tal-Fondi Strutturali u ta’ Investiment Ewropej (“Fondi SIE”) għall-2014-2020. Kif previst fl-Artikolu 23 tar-Regolament (UE) Nru 1303/2013 tal-Parlament Ewropew u tal-Kunsill</w:t>
      </w:r>
      <w:r>
        <w:rPr>
          <w:rStyle w:val="FootnoteReference"/>
          <w:noProof/>
        </w:rPr>
        <w:footnoteReference w:id="3"/>
      </w:r>
      <w:r>
        <w:rPr>
          <w:noProof/>
        </w:rPr>
        <w:t>, fejn ikun meħtieġ li jingħata sostenn għall-implimentazzjoni tar-rakkomandazzjonijiet rilevanti tal-Kunsill, il-Kummissjoni tista’ titlob lil Stat Membru li jirrieżamina l-Ftehim ta’ Sħubija u l-programmi rilevanti tiegħu u jipproponi emendi għalihom. Il-Kummissjoni pprovdiet iktar dettalji dwar kif tista’ tagħmel użu minn din id-dispożizzjoni fil-linji gwida dwar l-applikazzjoni tal-miżuri li jorbtu l-effettività tal-Fondi SIE ma’ governanza ekonomika tajba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Bħalissa l-Ungerija qiegħda fil-parti preventiva tal-Patt ta’ Stabbiltà u Tkabbir u hija soġġetta għar-regola tad-dejn. Fil-programm ta’ Konverġenza tiegħu tal-2019, il-gvern qed jippjana titjib tad-defiċit nominali għal 1,8 % tal-PDG fl-2019 minn 2,2 % fl-2018. Id-defiċit huwa ppjanat li jkompli jitjieb gradwalment minn hemm’ il quddiem għal 1,2 % fl-2021 u li tintlaħaq pożizzjoni baġitarja bilanċjata fl-2023. Abbażi tal-bilanċ strutturali rikalkolat (</w:t>
      </w:r>
      <w:r>
        <w:rPr>
          <w:rStyle w:val="FootnoteReference"/>
          <w:noProof/>
        </w:rPr>
        <w:footnoteReference w:id="5"/>
      </w:r>
      <w:r>
        <w:rPr>
          <w:noProof/>
        </w:rPr>
        <w:t>), l-Ungerija se tkun qrib l-objettiv baġitarju ta’ terminu medju tagħha - li nbidel minn defiċit strutturali ta’ 1,5 % tal-PDG fl-2019 għal 1,0 % tal-PDG mill-2020 - sal-2022, u se tilħqu fis-sena ta’ wara. Skont il-Programm ta’ Konverġenza, id-dejn pubbliku bħala proporzjon tal-PDG huwa mistenni li jonqos gradwalment għal taħt is-60 % sa tmiem l-2022. Ix-xenarju makroekonomiku li jirfed dawn il-projezzjonijiet baġitarji huwa plawżibbli għall-2019 u distintament favorevoli mill-2020, li joħloq riskji għall-implimentazzjoni tal-miri tad-defiċit. Fl-istess ħin, il-miżuri meħtieġa biex jiġu appoġġati l-miri ppjanati tad-defiċit mill-2020 'il quddiem ma ġewx speċifikati biżżejjed.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Fit-22 ta’ Ġunju 2018, il-Kunsill iddeċieda f’konformità mal-Artikolu 121(4) tat-Trattat dwar il-Funzjonament tal-Unjoni Ewropea (“TFUE”) li fl-2017 fl-Ungerija kienet osservata devjazzjoni sinifikanti mill-objettiv baġitarju ta’ terminu medju. Fid-dawl tad-devjazzjoni sinifikanti stabbilita, fit-22 ta’ Ġunju 2018, il-Kunsill irrakkomanda lill-Ungerija biex tieħu l-miżuri neċessarji biex tiżgura li r-rata ta’ tkabbir nominali tan-nefqa pubblika primarja nett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ma taqbiżx it-2,8 % fl-2018, li tikkorrispondi għal aġġustament strutturali annwali ta’ 1,0 % tal-PDG. Fl-4 ta' Diċembru 2018, il-Kunsill osserva li l-Ungerija ma kinitx ħadet azzjoni effettiva skont ir-Rakkomandazzjoni tat-22 ta' Ġunju 2018 u ħareġ rakkomandazzjoni riveduta. Fir-rakkomandazzjoni l-ġdida, il-Kunsill talab lill-Ungerija biex tieħu l-miżuri meħtieġa biex tiżgura li r-rata nominali ta' tkabbir tal-infiq pubbliku primarju nett ma taqbiżx it-3,3 % fl-2019, li tikkorrispondi għal aġġustament strutturali annwali ta' 1,0 % tal-PDG. Fi XX ta’ Ġunju 2019, il-Kunsill osserva li r-Rumanija ma kinitx ħadet azzjoni effettiva skont ir-rakkomandazzjoni tal-Kunsill tal-4 ta’ Diċembru 2018. Barra minn hekk, abbażi tad-</w:t>
      </w:r>
      <w:r>
        <w:rPr>
          <w:i/>
          <w:noProof/>
        </w:rPr>
        <w:t>data</w:t>
      </w:r>
      <w:r>
        <w:rPr>
          <w:noProof/>
        </w:rPr>
        <w:t xml:space="preserve"> tal-eżitu tal-2018, l-Ungerija nstabet li kienet f’devjazzjoni sinifikanti mill-aġġustament rakkomandat fl-2018.</w:t>
      </w:r>
    </w:p>
    <w:p>
      <w:pPr>
        <w:pStyle w:val="ManualConsidrant"/>
        <w:rPr>
          <w:noProof/>
          <w:szCs w:val="20"/>
        </w:rPr>
      </w:pPr>
      <w:r>
        <w:t>(7)</w:t>
      </w:r>
      <w:r>
        <w:tab/>
      </w:r>
      <w:r>
        <w:rPr>
          <w:noProof/>
        </w:rPr>
        <w:t>F’konformità mal-Artikolu 121(4) TFUE u l-Artikolu 10(2) tar-Regolament (KE) Nru 1466/97, il-Kummissjoni ħarġet avviż lill-Ungerija fil-5 ta’ Ġunju 2019 li devjazzjoni sinifikanti mill-perkors ta’ aġġustament lejn l-objettiv baġitarju fit-terminu medju ġiet osservata fl-2018. Fi XX ta’ Ġunju 2019, il-Kunsill adotta Rakkomandazzjoni sussegwenti lill-Ungerija li tikkonferma l-ħtieġa għall-Ungerija li tieħu l-miżuri meħtieġa biex tiżgura li r-rata ta’ tkabbir nominali tal-infiq pubbliku primarju nett ma taqbiżx it-3,3 % fl-2019, li tikkorrispondi għal aġġustament strutturali annwali ta’ 1,0 % tal-PDG. Fuq il-bażi tal-previżjoni tar-rebbiegħa tal-2019 tal-Kummissjoni, hemm riskju ta’ devjazzjoni minn dik ir-rakkomandazzjoni fl-2019.</w:t>
      </w:r>
    </w:p>
    <w:p>
      <w:pPr>
        <w:pStyle w:val="ManualConsidrant"/>
        <w:rPr>
          <w:noProof/>
          <w:szCs w:val="20"/>
        </w:rPr>
      </w:pPr>
      <w:r>
        <w:t>(8)</w:t>
      </w:r>
      <w:r>
        <w:tab/>
      </w:r>
      <w:r>
        <w:rPr>
          <w:noProof/>
        </w:rPr>
        <w:t>Għall-2020, fi XX ta’ Ġunju 2019, il-Kunsill irrakkomanda li l-Ungerija  tieħu l-miżuri meħtieġa biex tiżgura li r-rata ta’ tkabbir nominali tal-infiq pubbliku primarju nett ma taqbiżx l-4,7 %, li tikkorrispondi għal aġġustament strutturali annwali ta’ 0,75 % tal-PDG. Dan iqiegħed lill-Ungerija fil-perkors ta’ aġġustament xieraq lejn l-objettiv baġitarju fuq perjodu medju ta’ żmien. Fuq il-bażi tat-tbassir tar-rebbiegħa tal-2019 tal-Kummissjoni, hemm riskju ta’ devjazzjoni sinifikanti minn dak ir-rekwiżit fl-2020. B’mod ġenerali, il-Kunsill huwa tal-opinjoni li miżuri ulterjuri sinifikanti se jkunu meħtieġa mill-2019 biex ikun hemm konformità mad-dispożizzjonijiet tal-Patt ta’ Stabbiltà u Tkabbir, f’konformità mar-rakkomandazzjoni indirizzata lill-Ungerija fi XX ta’ Ġunju 2019 bil-għan li tikkoreġi d-devjazzjoni sinifikanti osservata mill-perkors ta’ aġġustament lejn l-objettiv baġitarju fit-terminu medju.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Ir-rata ta’ impjiegi kumplessivament tjiebet b’mod sinifikanti fost espansjoni ekonomika qawwija iżda ma kinitx ta' benefiċċju bl-istess mod għall-gruppi kollha. Id-differenzi fl-impjiegi u fil-pagi bejn il-gruppi tal-ħiliet u bejn l-irġiel u n-nisa għadhom wiesgħa meta mqabbla mal-medja tal-UE. Id-differenza bejn is-sessi fl-impjiegi hija dovuta parzjalment għall-provvista limitata ta’ kura tat-tfal ta’ kwalità tajba. L-eżiti tas-suq tax-xogħol għal diversi gruppi vulnerabbli, inklużi r-Rom u l-persuni b’diżabilità, huma dgħajfa. Minkejja t-tnaqqis tagħha, l-Iskema ta’ Xogħlijiet Pubbliċi, li mhijiex effettiva biex twassal il-parteċipanti għall-impjiegi fis-suq tax-xogħol primarju, għadha mdaqqsa. Politiki oħra biex jgħinu lin-nies qiegħda jew inattivi jsibu xogħol jew taħriġ mhumiex immirati biżżejjed. L-iżvilupp tal-ħiliet diġitali jista’ jgħin biex titjieb l-impjegabbiltà. Il-miżuri reċenti tfasslu biex aktar ħaddiema rtirati jerġgħu jsibu xogħol u biex jiżdied l-għadd tagħhom maż-żmien. Is-sitwazzjoni kumplessiva tal-faqar fl-Ungerija ilha titjieb sa mill-2013. Id-durata tal-benefiċċji tal-qgħad hija l-iqsar fl-UE, b’massimu ta’ tliet xhur, li huwa ferm inqas miż-żmien medju meħtieġ biex jinstab impjieg.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Il-proporzjon ta’ nies fir-riskju tal-faqar u l-esklużjoni soċjali qed jonqos. Kien hemm bidla ċara mill-benefiċċji soċjali lejn l-appoġġ tal-familja relatat max-xogħol u l-benefiċċji </w:t>
      </w:r>
      <w:r>
        <w:rPr>
          <w:i/>
          <w:noProof/>
        </w:rPr>
        <w:t>in natura</w:t>
      </w:r>
      <w:r>
        <w:rPr>
          <w:noProof/>
        </w:rPr>
        <w:t>, li madankollu mhumiex immirati biżżejjed għall-foqra. Filwaqt li s-sussidji għas-sjieda tad-djar espandew, ma kien hemm l-ebda titjib fil-provvista tal-akkomodazzjoni soċjali.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L-eżiti tal-edukazzjoni huma taħt il-medja tal-UE u juru disparitajiet territorjali wiesgħa. Ir-rata tat-tluq bikri mill-iskola hija ogħla u r-rata ta’ kisba tal-edukazzjoni terzjarja hija aktar baxxa mill-medja tal-UE. Is-sistema edukattiva xxekkel il-mobbiltà soċjali. L-istudenti jiġu strimjati kmieni f’tipi ta’ skejjel differenti, b’distakki kbar fir-riżultati edukattivi u fil-perkorsi lejn l-impjieg. Il-proporzjon ta’ skejjel b’maġġoranza ta’ parteċipazzjoni tar-Rom żdied minn 10 % fl-2008 għal 15 % fl-2017. L-impatt ta’ miżuri riċenti mmirati lejn id-distribuzzjoni uniformi ta’ studenti żvantaġġati fl-iskejjel huwa limitat minħabba li skejjel mhux statali huma eżentati mir-rekwiżit li jieħdu studenti żvantaġġati. Tfal żvantaġġati għandhom it-tendenza li jkunu kkonċentrati fl-iskejjel sekondarji vokazzjonali fejn livelli ifqar ta’ ħiliet bażiċi, rati ogħla ta’ tluq bikri mill-iskola u pagi u prospetti ta’ karriera aktar baxxi huma aktar prevalenti. Il-parteċipazzjoni baxxa ta’ gruppi żvantaġġati, b’mod partikolari r-Rom, f’edukazzjoni ta’ kwalità hija opportunità mitlufa biex jinbena l-kapital uman. In-nuqqas ta’ għalliema jibqa’ wkoll sfida. Is-salarji tal-għalliema żdiedu f’dawn l-aħħar snin iżda għadhom relattivament baxxi, meta mqabbla ma’ gradwati oħrajn fl-edukazzjoni terzjarja. L-għadd baxx ta’ studenti li jipparteċipaw fl-edukazzjoni għolja mhuwiex konformi mad-domanda qawwija għal ħaddiema b’ħiliet għolja u l-primjum tal-pagi tal-gradwati terzjarji, li huwa l-ogħla fl-UE. L-istituzzjonijiet Ungeriżi tal-edukazzjoni għolja għandhom l-aktar awtonomija finanzjarja baxxa fl-UE. Barra minn hekk, l-emenda ta’ April 2017 tal-Att dwar l-Edukazzjoni Għolja, li stabbilixxiet rekwiżiti addizzjonali għall-universitajiet internazzjonali biex joperaw fl-Ungerija, qajmet aktar tħassib dwar il-libertà akkademika. Fl-2018, l-università Ungeriża kklassifikata internazzjonalment uriet l-intenzjoni tagħha li tħalli l-pajjiż minħabba l-inċertezza regolatorja maħluqa minn din l-emenda.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Ir-riżultati tas-saħħa għadhom lura meta mqabbla ma’ ħafna mill-pajjiżi l-oħra tal-UE, u dan jirrifletti kemm stili ta’ ħajja li mhumiex tajbin għas-saħħa kif ukoll l-effikaċja limitata tal-provvediment tal-kura tas-saħħa. Il-prevalenza tat-tipjip, tal-użu tal-alkoħol u tal-obeżità hija waħda mill-ogħla fl-UE. L-Ungeriżi huma fost dawk li l-aktar probabbli fl-UE li jsofru minn mewt prematura minħabba l-kwalità ħażina tal-arja. L-għadd ta’ mwiet li jistgħu jiġu evitati huwa wieħed mill-ogħla fl-UE parzjalment minħabba kontroll u ġestjoni tal-kura primarja inadegwati. Hemm differenzi soċjoekonomiċi sinifikanti fl-aċċess għall-kura ta’ kwalità. In-nefqa pubblika fuq il-kura tas-saħħa hija taħt il-medja tal-UE u ċ-ċittadini jiddependu fuq ħlasijiet mill-but biex jaċċessaw provvista ta’ kwalità, li qed tirriskja li tkompli twessa’ d-distakk soċjoekonomiku . Is-sistema għadha wisq iddur mal-isptar, b’nuqqasijiet fil-kura primarja, b’mod partikolari d-detezzjoni bikrija u l-prevenzjoni ta’ mard kroniku. Nuqqas kbir ta’ persunal tal-kura tas-saħħa jfixkel l-aċċess għall-kura f’żoni ifqar.</w:t>
      </w:r>
    </w:p>
    <w:p>
      <w:pPr>
        <w:pStyle w:val="ManualConsidrant"/>
        <w:rPr>
          <w:noProof/>
          <w:szCs w:val="24"/>
        </w:rPr>
      </w:pPr>
      <w:r>
        <w:t>(13)</w:t>
      </w:r>
      <w:r>
        <w:tab/>
      </w:r>
      <w:r>
        <w:rPr>
          <w:noProof/>
        </w:rPr>
        <w:t>Iż-żieda fil-kapaċitajiet tar-riċerka u l-innovazzjoni tista’ ttejjeb il-prestazzjoni modesta tal-innovazzjoni tal-Ungerija u żżid il-produttività. Il-livell baxx ta’ akkumulazzjoni ta’ assi intellettwali huwa rifless fl-għadd baxx ta’ applikazzjonijiet għal privattivi, trademarks u disinn, l-għadd żgħir ta’ negozji innovattivi u l-livell baxx ta’ internazzjonalizzazzjoni minn intrapriżi żgħar u ta’ daqs medju. Kumpaniji iżgħar qegħdin isibuha bi tqila biex jinnovaw, u dan ixekkel l-involviment tagħhom fil-ktajjen tal-valur globali. Ir-R&amp;Ż tan-negozju huma kkonċentrati fi ftit kumpaniji kbar, prinċipalment b’sjieda barranija, u jibbenefikaw minn appoġġ ġeneruż mill-gvern. L-appoġġ għall-kooperazzjoni bejn ix-xjenza u n-negozju jikkontribwixxi għal prestazzjoni aħjar fl-innovazzjoni u għat-trasferiment tat-teknoloġija. Il-kwalità tax-xjenza pubblika qed issofri minn politiki ineffiċjenti tar-R&amp;Ż u minn nuqqas ta’ finanzjament minħabba li n-nefqa tas-settur pubbliku fuq ir-R&amp;Ż hija ferm inqas mill-medja tal-UE. Miżuri ta’ politika riċenti, li għandhom l-għan li jnaqqsu l-finanzjament u li jillimitaw l-indipendenza ta’ fora akkademiċi u ta’ riċerka qed joħolqu inċertezza fil-fora akkademiċi u ta’ riċerka, u jistgħu jirriżultaw fl-emigrazzjoni tal-aqwa talent ta’ riċerka u fir-riskju ta’ tnaqqis persistenti fil-kwalità tar-riċerka.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 xml:space="preserve">Konnettività tat-trasport pubbliku lokali dgħajfa u kostijiet għolja għall-ivvjaġġar qed jikkontribwixxu għall-qgħad f’żoni żvantaġġati. Il-kundizzjoni ħażina tan-netwerks tat-toroq u tal-ferroviji xxekkel il-mobilità u tnaqqas is-sikurezza tal-ivvjaġġar, b’aktar minn nofs in-netwerk tat-toroq f’kundizzjoni ħażina, speċjalment f’reġjuni żvantaġġati. In-netwerks tat-trasport huma ċċentrati fuq Budapest, filwaqt li netwerks lokali u konnessjonijiet trasversali madwar il-pajjiż mhumiex żviluppati sew. Il-konġestjoni tat-toroq hija sfida li qiegħda dejjem tikber u ostaklu għall-produttività fiż-żoni urbani tal-Ungerija. Barra minn hekk, l-emissjonijiet tal-gassijiet serra mit-trasport bit-triq żdiedu ħafna dawn l-aħħar ħames snin. In-navigazzjoni interna fuq id-Danubju, li tbati minn kundizzjonijiet tal-ilma baxx, tista’ tittejjeb permezz ta’ regolamentazzjoni inqas restrittiva. 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L-effiċjenza enerġetika fis-settur residenzjali għadha dgħajfa. In-netwerk tal-ġenerazzjoni tal-elettriku jeħtieġ li jiġi ppreparat għar-rwol dejjem jikber tal-ġenerazzjoni tal-elettriku rinnovabbli deċentralizzata. Nofs it-territorju tal-Ungerija huwa espost b’mod sinifikanti għar-riskji tat-tibdil fil-klima inklużi n-nixfa u l-għargħar, li joħolqu l-ħtieġa għal investiment fil-ġestjoni tal-ilma fix-xmajjar ewlenin. It-tniġġis tal-arja u l-kwalità tal-ilma għadhom ta’ tħassib. Is-sorsi ewlenin ta’ tniġġis huma l-kombustjoni residenzjali ta’ fjuwil solidu, l-emissjonijiet mill-agrikoltura u mit-trasport. L-ekonomija ċirkolari għadha f’fażi inizjali, ir-riċiklaġġ tal-iskart muniċipali huwa sottożviluppat u l-istrumenti ekonomiċi mhumiex biżżejjed biex jindirizzaw l-isfidi ambjentali Ungeriżi.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 xml:space="preserve">Għad hemm tħassib dwar il-prevenzjoni u l-prosekuzzjoni tal-korruzzjoni. Diversi indikaturi jissuġġerixxu li l-esponiment tal-Ungerija għall-korruzzjoni żdied f’dawn l-aħħar snin. Ir-riskji ta’ korruzzjoni u l-favoritiżmu jfixklu l-allokazzjoni tar-riżorsi peress li dawn mhumiex mgħoddija lejn l-aktar ditti produttivi. Il-funzjonament tas-servizz tal-prosekuzzjoni huwa ta’ importanza kruċjali għall-ġlieda kontra l-korruzzjoni. Filwaqt li miżuri biex tiġi miġġielda l-korruzzjoni ta’ livell baxx jidhru li ġew applikati b’xi suċċess, għad m’hemm l-ebda sinjal ta’ azzjoni determinata biex issir prosekuzzjoni tal-korruzzjoni li tinvolvi uffiċjali ta’ livell għoli jew iċ-ċirku immedjat tagħhom meta jirriżultaw allegazzjonijiet serji. Ir-responsabbiltà għad-deċiżjonijiet biex jingħalqu l-investigazzjonijiet hija kwistjoni ta’ tħassib, peress li ma hemm l-ebda rimedju effettiv </w:t>
      </w:r>
      <w:r>
        <w:rPr>
          <w:noProof/>
          <w:color w:val="000000"/>
        </w:rPr>
        <w:t>biex jiġu kkontestati tali deċiżjonijiet</w:t>
      </w:r>
      <w:r>
        <w:rPr>
          <w:noProof/>
        </w:rPr>
        <w:t xml:space="preserve">. Il-prevenzjoni tal-korruzzjoni hija mxekkla ulterjorment mill-istituzzjonijiet pubbliċi li japplikaw </w:t>
      </w:r>
      <w:r>
        <w:rPr>
          <w:noProof/>
          <w:color w:val="000000"/>
        </w:rPr>
        <w:t>restrizzjonijiet, inklużi</w:t>
      </w:r>
      <w:r>
        <w:rPr>
          <w:noProof/>
        </w:rPr>
        <w:t xml:space="preserve"> miżati dissważivi fuq l-aċċess għall-informazzjoni. 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Il-kontrolli u l-bilanċi, li huma kruċjali biex tiġi żgurata l-indipendenza ġudizzjarja, komplew jiddgħajfu fi ħdan is-sistema tal-qrati ta’ ġudikatura ordinarja. Il-Kunsill Ġudizzjarju Nazzjonali qed iħabbat wiċċu ma’ diffikultajiet dejjem akbar biex jibbilanċja s-setgħat tal-President tal-Uffiċċju Nazzjonali għall-Ġudikatura. Dan jagħti lok għal tħassib dwar l-indipendenza ġudizzjarja. Fir-rigward tal-Liġi tal-Qrati Amministrattivi, huwa nnotat li l-gvern ippreżenta abbozz ta’ liġi li tirtira l-Att dwar ir-regoli għad-dħul fis-seħħ u r-regoli tranżizzjonali għall-qrati amministrattivi fit-30 ta’ Mejju 2019.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 xml:space="preserve">Il-qafas tal-akkwist pubbliku tjieb f’dawn l-aħħar snin iżda għad hemm ostakli għall-kompetizzjoni. Dawn jinkludu l-użu ta’ proċeduri speċjali b’pubbliċità limitata, u irregolaritajiet sistemiċi fil-proċessi tal-offerti, b’ mod partikolari relatati ma’ kriterji tal-għażla u tal-għoti inadegwati u trattament mhux ugwali tal-offerenti. Filwaqt li xi indikaturi juru titjib, l-għadd ta’ proċeduri b’offerent wieħed għadu għoli. L-użu usa’ tal-akkwist elettroniku jista’ jkompli jżid l-effiċjenza u t-trasparenza. 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L-istrutturi u l-proċessi Ungeriżi tad-djalogu soċjali għadhom sottożviluppati u ma jippermettux involviment sinifikanti tas-sħab soċjali fit-tfassil u l-implimentazzjoni tal-politika. In-nuqqasijiet fl-impenn tal-partijiet ikkonċernati u t-trasparenza limitata jimminaw il-bażi ta’ evidenza għat-tfassil ta’ politika u l-kwalità tiegħu. Dan jirriżulta f’bidliet frekwenti u imprevedibbli fir-regolamenti u jiskoraġġixxi l-investimenti ta’ valur miżjud għoli.</w:t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 xml:space="preserve">Ittieħdu miżuri biex tkompli titjieb is-sistema tat-taxxa, iżda għad hemm xi sfidi. Il-piż tat-taxxa fuq ix-xogħol naqas iżda għadu għoli għal dawk bi dħul baxx. Taxxi speċifiċi għas-settur u għadd kbir ta’ taxxi żgħar jikkomplikaw is-sistema tat-taxxa u jgħollu l-kostijiet ta’ konformità, b’mod partikolari għal ditti iżgħar. </w:t>
      </w:r>
    </w:p>
    <w:p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 xml:space="preserve">L-ostakli regolatorji u l-involviment tal-istat fis-swieq tal-prodotti jfixklu l-għażla tal-intrapriżi effiċjenti u jillimitaw il-kompetizzjoni. L-awtoritajiet qed ikomplu jafdaw ċerti servizzi lil ditti tal-istat jew ditti privati maħluqa speċifikament għal dawn l-għanijiet. Ċerta leġiżlazzjoni u ċerti miżuri mfassla apposta u eżenzjonijiet </w:t>
      </w:r>
      <w:r>
        <w:rPr>
          <w:i/>
          <w:noProof/>
        </w:rPr>
        <w:t>ad hoc</w:t>
      </w:r>
      <w:r>
        <w:rPr>
          <w:noProof/>
        </w:rPr>
        <w:t xml:space="preserve"> mill-iskrutinju tal-kompetizzjoni, ifixklu l-funzjonament tas-suq u jxekklu l-investiment. In-nuqqas ta’ prevedibbiltà tal-qafas legali huwa problema ulterjuri, speċjalment fis-settur tal-bejgħ bl-imnut, li fis-snin riċenti ħabbat wiċċu ma’ bidliet frekwenti fir-regolamenti. Il-leġiżlazzjoni li timponi awtorizzazzjoni speċjali addizzjonali għal modifiki fl-użu jew disinn ta’ postijiet għall-bejgħ bl-imnut ġiet introdotta s-sena li għaddiet. Ir-regolamentazzjoni tal-professjonijiet għadha restrittiva wkoll. In-nuqqas ta’ kompetizzjoni f’dawn is-setturi jista’ jkun detrimentali għall-innovazzjoni u l-effiċjenza.</w:t>
      </w:r>
    </w:p>
    <w:p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>Il-ġlieda kontra l-ippjanar aggressiv tat-taxxa hija essenzjali biex is-sistemi tat-taxxa jsiru aktar effiċjenti u ġusti. L-effetti sekondarji tal-istrateġiji ta’ ppjanar aggressiv tat-taxxa mill-kontribwenti bejn l-Istati Membri jirrikjedu azzjoni kkoordinata ta’ politiki nazzjonali biex jikkomplimentaw il-leġiżlazzjoni tal-UE. L-Ungerija ħadet miżuri kontra l-ippjanar aggressiv tat-taxxa, iżda l-Ungerija tirreġistra dħul u ħruġ ta’ kapital relattivament għoljin permezz ta’ entitajiet bi skop speċjali, li l-effett tagħhom fuq l-ekonomija reali hu ftit li xejn jew xejn. In-nuqqas ta’ taxxi minn ras il-għajn fuq pagamenti ta’ dividend, ta’ interessi u ta’ royalties li joħorġu mill-pajjiż (jiġifieri minn residenti tal-UE għal residenti ta’ pajjiżi terzi), li jsiru minn kumpaniji bbażati fl-Ungerija jista’ jwassal biex dawk il-pagamenti jaħarbu t-taxxa għalkollox, jekk ma jkunux soġġetti għal taxxa fil-ġurisdizzjoni reċipjenti.</w:t>
      </w:r>
    </w:p>
    <w:p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L-ipprogrammar tal-fondi tal-UE għall-perjodu 2021-2027 jista’ jgħin biex jiġu indirizzati xi wħud mil-lakuni identifikati fir-rakkomandazzjonijiet, b’mod partikolari fl-oqsma koperti mill-Anness D tar-rapport tal-pajjiż</w:t>
      </w:r>
      <w:r>
        <w:rPr>
          <w:rStyle w:val="FootnoteReference"/>
          <w:noProof/>
        </w:rPr>
        <w:footnoteReference w:id="7"/>
      </w:r>
      <w:r>
        <w:rPr>
          <w:noProof/>
        </w:rPr>
        <w:t>. Dan jippermetti li l-Ungerija tagħmel l-aqwa użu ta’ dawn il-fondi fir-rigward tas-setturi identifikati, waqt li tikkunsidra d-disparitajiet reġjonali.</w:t>
      </w:r>
    </w:p>
    <w:p>
      <w:pPr>
        <w:pStyle w:val="ManualConsidrant"/>
        <w:rPr>
          <w:noProof/>
        </w:rPr>
      </w:pPr>
      <w:r>
        <w:t>(24)</w:t>
      </w:r>
      <w:r>
        <w:tab/>
      </w:r>
      <w:r>
        <w:rPr>
          <w:noProof/>
        </w:rPr>
        <w:t xml:space="preserve">Fil-kuntest tas-Semestru Ewropew tal-2019, il-Kummissjoni wettqet analiżi komprensiva tal-politika ekonomika tal-Ungerija u ppubblikatha fir-rapport tal-pajjiż għall-2019. Hija vvalutat ukoll il-Programm ta’ Konverġenza għall-2019, il-Programm Nazzjonali ta’ Riforma għall-2019 u s-segwitu mogħti għar-rakkomandazzjonijiet indirizzati lill-Ungerija fis-snin preċedenti. Hija mhux biss qieset ir-rilevanza tagħhom għall-politika fiskali u soċjoekonomika sostenibbli fl-Ungerija iżda qieset ukoll il-konformità tagħhom mar-regoli u mal-gwida tal-Unjoni, fid-dawl tal-ħtieġa li tissaħħaħ il-governanza ekonomika kumplessiva tal-Unjoni billi jingħata kontribut fil-livell tal-Unjoni għad-deċiżjonijiet nazzjonali fil-futur. </w:t>
      </w:r>
    </w:p>
    <w:p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>Fid-dawl ta’ din il-valutazzjoni, il-Kunsill eżamina l-Programm ta’ Konverġenza tal-2019 u l-opinjoni tiegħu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hija riflessa b’mod partikolari fir-rakkomandazzjoni (1) hawn taħt,</w:t>
      </w:r>
    </w:p>
    <w:p>
      <w:pPr>
        <w:pStyle w:val="Formuledadoption"/>
        <w:rPr>
          <w:noProof/>
        </w:rPr>
      </w:pPr>
      <w:r>
        <w:rPr>
          <w:noProof/>
        </w:rPr>
        <w:t>B’DAN JIRRAKKOMANDA li l-Ungerija tieħu azzjoni fl-2019 u l-2020 biex: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Tiżgura konformità mar-rakkomandazzjoni tal-Kunsill ta’ XX ta’ Ġunju 2019, bil-ħsieb li tiġi korretta d-devjazzjoni sinifikanti osservata mill-perkors ta’ aġġustament lejn l-objettiv baġitarju fit-terminu medju.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Tkompli l-integrazzjoni tal-aktar gruppi vulnerabbli fis-suq tax-xogħol b’mod partikolari permezz tat-titjib tal-ħiliet, u ttejjeb l-adegwatezza tal-assistenza soċjali u l-benefiċċji tal-qgħad.</w:t>
      </w:r>
      <w:r>
        <w:rPr>
          <w:noProof/>
          <w:color w:val="000000"/>
        </w:rPr>
        <w:t xml:space="preserve"> </w:t>
      </w:r>
      <w:r>
        <w:rPr>
          <w:noProof/>
        </w:rPr>
        <w:t>Ittejjeb ir-riżultati edukattivi u żżid il-parteċipazzjoni tal-gruppi żvantaġġati, b’mod partikolari r-Rom, f'edukazzjoni formali inklużiva ta’ kwalità. Ittejjeb ir-riżultati fil-qasam tas-saħħa billi tappoġġa miżuri sanitarji preventivi u ssaħħaħ il-kura tas-saħħa primarja.</w:t>
      </w:r>
    </w:p>
    <w:p>
      <w:pPr>
        <w:pStyle w:val="ManualNumPar1"/>
        <w:rPr>
          <w:noProof/>
          <w:sz w:val="22"/>
        </w:rPr>
      </w:pPr>
      <w:r>
        <w:t>3.</w:t>
      </w:r>
      <w:r>
        <w:tab/>
      </w:r>
      <w:r>
        <w:rPr>
          <w:noProof/>
        </w:rPr>
        <w:t>Tiffoka l-politika ekonomika relatata mal-investiment fuq ir-riċerka u l-innovazzjoni, l-enerġija u t-trasport b’livell baxx ta’ karbonju, l-infrastruttura tal-iskart u l-effiċjenza fl-użu tal-enerġija u tar-riżorsi, filwaqt li jitqiesu d-disparitajiet reġjonali. Ittejjeb il-kompetizzjoni fl-akkwist pubbliku.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Issaħħaħ il-qafas kontra l-korruzzjoni, anki billi ttejjeb l-isforzi tal-prosekuzzjoni u l-aċċess għall-informazzjoni pubblika, u ssaħħaħ l-indipendenza ġudizzjarja. Ittejjeb il-kwalità u t-trasparenza tal-proċess tat-teħid ta’ deċiżjonijiet permezz ta’ djalogu soċjali effettiv u impenn ma’ partijiet interessati oħrajn u permezz ta’ valutazzjonijiet tal-impatt regolari u xierqa. Tkompli tissimplifika s-sistema tat-taxxa, filwaqt li ssaħħaħha kontra r-riskju ta’ ppjanar aggressiv tat-taxxa. Ittejjeb il-kompetizzjoni u l-prevedibbiltà regolatorja fis-settur tas-servizzi. </w:t>
      </w:r>
    </w:p>
    <w:p>
      <w:pPr>
        <w:pStyle w:val="Fait"/>
        <w:rPr>
          <w:noProof/>
        </w:rPr>
      </w:pPr>
      <w:bookmarkStart w:id="1" w:name="_CopyToNewDocument_"/>
      <w:bookmarkEnd w:id="1"/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ĠU L 209, 2.8.1997, p.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SWD(2019) 1016 final.</w:t>
      </w:r>
    </w:p>
  </w:footnote>
  <w:footnote w:id="3">
    <w:p>
      <w:pPr>
        <w:pStyle w:val="FootnoteText"/>
        <w:rPr>
          <w:rStyle w:val="FootnoteReference"/>
        </w:rPr>
      </w:pPr>
      <w:r>
        <w:rPr>
          <w:rStyle w:val="FootnoteReference"/>
        </w:rPr>
        <w:footnoteRef/>
      </w:r>
      <w:r>
        <w:tab/>
        <w:t>Ir-Regolament (UE) Nru 1303/2013 tal-Parlament Ewropew u tal-Kunsill tas-17 ta’ Diċembru 2013 li jistabbilixxi dispożizzjonijiet komuni dwar il-Fond Ewropew għall-Iżvilupp Reġjonali, il-Fond Soċjali Ewropew, il-Fond ta’ Koeżjoni, il-Fond Agrikolu Ewropew għall-Iżvilupp Rurali u l-Fond Marittimu u tas-Sajd Ewropew u li jistabbilixxi d-dispożizzjonijiet ġenerali dwar il-Fond Ewropew għall-Iżvilupp Reġjonali, il-Fond Soċjali Ewropew, il-Fond ta’ Koeżjoni u l-Fond Ewropew għall-Affarijiet Marittimi u s-Sajd u li jħassar ir-Regolament tal-Kunsill (KE) Nru 1083/2006 (ĠU L 347, 20.12.2013, p. 320).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COM(2014) 494 final.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Il-bilanċ aġġustat b’mod ċikliku nett għal miżuri ta’ darba u temporanji, kif ikkalkulat mill-ġdid mill-Kummissjoni bl-użu tal-metodoloġija maqbula b’mod komuni.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In-nefqa primarja nett tal-gvern hi magħmula min-nefqa totali tal-gvern mingħajr in-nefqa marbuta mal-imgħax, in-nefqa marbuta mal-programmi tal-Unjoni kompletament koperti mid-dħul tal-fondi tal-Unjoni u mill-bidliet mhux diskrezzjonali fin-nefqa marbuta mal-benefiċċju tal-qgħad. Il-formazzjoni grossa tal-kapital fiss iffinanzjata fuq livell nazzjonali hija mifruxa fuq perjodu ta’ erba’ snin. Miżuri ta’ dħul diskrezzjonali jew żidiet fid-dħul mitluba mil-liġi huma meqjusa. Miżuri ta’ darba fuq in-naħa kemm tad-dħul kif ukoll tan-nefqa huma mnaqqsa.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SWD(2019) 1016 final.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Skont l-Artikolu 9(2) tar-Regolament tal-Kunsill (KE) Nru 1466/97.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AE60E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ABCF7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01CC5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3584A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87C50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A8C12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3F4FD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5F845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ACF124E"/>
    <w:multiLevelType w:val="hybridMultilevel"/>
    <w:tmpl w:val="58A8BFDE"/>
    <w:lvl w:ilvl="0" w:tplc="44B8DD18">
      <w:start w:val="1"/>
      <w:numFmt w:val="decimal"/>
      <w:pStyle w:val="JRCTextnumberedlist1"/>
      <w:lvlText w:val="%1."/>
      <w:lvlJc w:val="left"/>
      <w:pPr>
        <w:ind w:left="720" w:hanging="360"/>
      </w:pPr>
    </w:lvl>
    <w:lvl w:ilvl="1" w:tplc="4F049BF6">
      <w:start w:val="1"/>
      <w:numFmt w:val="lowerLetter"/>
      <w:pStyle w:val="JRCTextnumberedlist2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3"/>
    <w:lvlOverride w:ilvl="0">
      <w:startOverride w:val="1"/>
    </w:lvlOverride>
  </w:num>
  <w:num w:numId="10">
    <w:abstractNumId w:val="2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21"/>
  </w:num>
  <w:num w:numId="16">
    <w:abstractNumId w:val="12"/>
  </w:num>
  <w:num w:numId="17">
    <w:abstractNumId w:val="14"/>
  </w:num>
  <w:num w:numId="18">
    <w:abstractNumId w:val="9"/>
  </w:num>
  <w:num w:numId="19">
    <w:abstractNumId w:val="20"/>
  </w:num>
  <w:num w:numId="20">
    <w:abstractNumId w:val="8"/>
  </w:num>
  <w:num w:numId="21">
    <w:abstractNumId w:val="15"/>
  </w:num>
  <w:num w:numId="22">
    <w:abstractNumId w:val="17"/>
  </w:num>
  <w:num w:numId="23">
    <w:abstractNumId w:val="18"/>
  </w:num>
  <w:num w:numId="24">
    <w:abstractNumId w:val="11"/>
  </w:num>
  <w:num w:numId="25">
    <w:abstractNumId w:val="16"/>
  </w:num>
  <w:num w:numId="26">
    <w:abstractNumId w:val="23"/>
  </w:num>
  <w:num w:numId="27">
    <w:abstractNumId w:val="19"/>
  </w:num>
  <w:num w:numId="28">
    <w:abstractNumId w:val="13"/>
  </w:num>
  <w:num w:numId="29">
    <w:abstractNumId w:val="21"/>
  </w:num>
  <w:num w:numId="30">
    <w:abstractNumId w:val="12"/>
  </w:num>
  <w:num w:numId="31">
    <w:abstractNumId w:val="14"/>
  </w:num>
  <w:num w:numId="32">
    <w:abstractNumId w:val="9"/>
  </w:num>
  <w:num w:numId="33">
    <w:abstractNumId w:val="20"/>
  </w:num>
  <w:num w:numId="34">
    <w:abstractNumId w:val="8"/>
  </w:num>
  <w:num w:numId="35">
    <w:abstractNumId w:val="15"/>
  </w:num>
  <w:num w:numId="36">
    <w:abstractNumId w:val="17"/>
  </w:num>
  <w:num w:numId="37">
    <w:abstractNumId w:val="18"/>
  </w:num>
  <w:num w:numId="38">
    <w:abstractNumId w:val="11"/>
  </w:num>
  <w:num w:numId="39">
    <w:abstractNumId w:val="16"/>
  </w:num>
  <w:num w:numId="40">
    <w:abstractNumId w:val="23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STNA Petra (SG)">
    <w15:presenceInfo w15:providerId="None" w15:userId="STASTNA Petra (SG)"/>
  </w15:person>
  <w15:person w15:author="DEWISPELAERE Sophie (SG)">
    <w15:presenceInfo w15:providerId="None" w15:userId="DEWISPELAERE Sophie (S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12 14:32:2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D235FC2-D097-4465-BC8C-1DE88978A6C7"/>
    <w:docVar w:name="LW_COVERPAGE_TYPE" w:val="1"/>
    <w:docVar w:name="LW_CROSSREFERENCE" w:val="&lt;UNUSED&gt;"/>
    <w:docVar w:name="LW_DocType" w:val="COM"/>
    <w:docVar w:name="LW_EMISSION" w:val="5.6.2019"/>
    <w:docVar w:name="LW_EMISSION_ISODATE" w:val="2019-06-05"/>
    <w:docVar w:name="LW_EMISSION_LOCATION" w:val="BRX"/>
    <w:docVar w:name="LW_EMISSION_PREFIX" w:val="Brussell, "/>
    <w:docVar w:name="LW_EMISSION_SUFFIX" w:val=" "/>
    <w:docVar w:name="LW_ID_DOCMODEL" w:val="SG-002"/>
    <w:docVar w:name="LW_ID_DOCSIGNATURE" w:val="SG-002"/>
    <w:docVar w:name="LW_ID_DOCSTRUCTURE" w:val="COM/PL/ORG"/>
    <w:docVar w:name="LW_ID_DOCTYPE" w:val="SG-002"/>
    <w:docVar w:name="LW_ID_EXP.MOTIFS.NEW" w:val="EM_PL_"/>
    <w:docVar w:name="LW_ID_STATUT" w:val="SG-002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5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Rakkomandazzjoni g\u295?al"/>
    <w:docVar w:name="LW_SUPERTITRE" w:val="&lt;UNUSED&gt;"/>
    <w:docVar w:name="LW_TITRE.OBJ.CP" w:val="dwar il-Programm Nazzjonali ta\u8217? Riforma tal-Ungerija g\u295?all-2019 u li tag\u295?ti opinjoni tal-Kunsill dwar il-Programm ta\u8217? Konver\u289?enza tal-Ungerija g\u295?all-2019_x000b__x000b_"/>
    <w:docVar w:name="LW_TYPE.DOC.CP" w:val="RAKKOMANDAZZ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2">
    <w:name w:val="Dash 2"/>
    <w:basedOn w:val="Normal"/>
    <w:pPr>
      <w:numPr>
        <w:numId w:val="10"/>
      </w:numPr>
      <w:spacing w:line="360" w:lineRule="auto"/>
      <w:jc w:val="left"/>
    </w:pPr>
  </w:style>
  <w:style w:type="paragraph" w:customStyle="1" w:styleId="JRCTextnumberedlist1">
    <w:name w:val="JRC_Text_numbered_list1"/>
    <w:basedOn w:val="Normal"/>
    <w:autoRedefine/>
    <w:qFormat/>
    <w:pPr>
      <w:numPr>
        <w:numId w:val="11"/>
      </w:numPr>
      <w:spacing w:line="276" w:lineRule="auto"/>
    </w:pPr>
    <w:rPr>
      <w:rFonts w:ascii="Verdana" w:hAnsi="Verdana" w:cstheme="minorBidi"/>
      <w:sz w:val="22"/>
    </w:rPr>
  </w:style>
  <w:style w:type="paragraph" w:customStyle="1" w:styleId="JRCTextnumberedlist2">
    <w:name w:val="JRC_Text_numbered_list2"/>
    <w:basedOn w:val="Normal"/>
    <w:qFormat/>
    <w:pPr>
      <w:numPr>
        <w:ilvl w:val="1"/>
        <w:numId w:val="11"/>
      </w:numPr>
      <w:spacing w:line="276" w:lineRule="auto"/>
    </w:pPr>
    <w:rPr>
      <w:rFonts w:ascii="Verdana" w:hAnsi="Verdana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2">
    <w:name w:val="Dash 2"/>
    <w:basedOn w:val="Normal"/>
    <w:pPr>
      <w:numPr>
        <w:numId w:val="10"/>
      </w:numPr>
      <w:spacing w:line="360" w:lineRule="auto"/>
      <w:jc w:val="left"/>
    </w:pPr>
  </w:style>
  <w:style w:type="paragraph" w:customStyle="1" w:styleId="JRCTextnumberedlist1">
    <w:name w:val="JRC_Text_numbered_list1"/>
    <w:basedOn w:val="Normal"/>
    <w:autoRedefine/>
    <w:qFormat/>
    <w:pPr>
      <w:numPr>
        <w:numId w:val="11"/>
      </w:numPr>
      <w:spacing w:line="276" w:lineRule="auto"/>
    </w:pPr>
    <w:rPr>
      <w:rFonts w:ascii="Verdana" w:hAnsi="Verdana" w:cstheme="minorBidi"/>
      <w:sz w:val="22"/>
    </w:rPr>
  </w:style>
  <w:style w:type="paragraph" w:customStyle="1" w:styleId="JRCTextnumberedlist2">
    <w:name w:val="JRC_Text_numbered_list2"/>
    <w:basedOn w:val="Normal"/>
    <w:qFormat/>
    <w:pPr>
      <w:numPr>
        <w:ilvl w:val="1"/>
        <w:numId w:val="11"/>
      </w:numPr>
      <w:spacing w:line="276" w:lineRule="auto"/>
    </w:pPr>
    <w:rPr>
      <w:rFonts w:ascii="Verdana" w:hAnsi="Verdana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06BF1E9-DB38-4397-B60A-8F46AF9B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6</TotalTime>
  <Pages>8</Pages>
  <Words>2755</Words>
  <Characters>20252</Characters>
  <Application>Microsoft Office Word</Application>
  <DocSecurity>0</DocSecurity>
  <Lines>297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cp:lastPrinted>2019-06-04T18:20:00Z</cp:lastPrinted>
  <dcterms:created xsi:type="dcterms:W3CDTF">2019-06-07T09:01:00Z</dcterms:created>
  <dcterms:modified xsi:type="dcterms:W3CDTF">2019-06-12T12:32:00Z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SG-002</vt:lpwstr>
  </property>
  <property fmtid="{D5CDD505-2E9C-101B-9397-08002B2CF9AE}" pid="10" name="DQCStatus">
    <vt:lpwstr>Green (DQC version 03)</vt:lpwstr>
  </property>
</Properties>
</file>