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0CAB643-0350-427D-A75D-3F1E00EC164B" style="width:450.7pt;height:351.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rPr>
          <w:noProof/>
        </w:rPr>
      </w:pPr>
      <w:r>
        <w:rPr>
          <w:noProof/>
        </w:rPr>
        <w:t>V skladu s členom 395(1) Direktive 2006/112/ES z dne 28. novembra 2006 o skupnem sistemu davka na dodano vrednost (v nadaljnjem besedilu: direktiva o DDV</w:t>
      </w:r>
      <w:r>
        <w:rPr>
          <w:rStyle w:val="FootnoteReference"/>
          <w:noProof/>
        </w:rPr>
        <w:footnoteReference w:id="1"/>
      </w:r>
      <w:r>
        <w:rPr>
          <w:noProof/>
        </w:rPr>
        <w:t>) lahko Svet na predlog Komisije soglasno dovoli kateri koli državi članici, da uvede posebne ukrepe, ki odstopajo od določb navedene direktive, za poenostavitev postopka obračunavanja DDV ali za preprečevanje nekaterih vrst davčnih utaj ali izogibanja davkom.</w:t>
      </w:r>
    </w:p>
    <w:p>
      <w:pPr>
        <w:rPr>
          <w:noProof/>
        </w:rPr>
      </w:pPr>
      <w:r>
        <w:rPr>
          <w:noProof/>
        </w:rPr>
        <w:t xml:space="preserve">V dopisu, ki ga je Komisija evidentirala 2. julija 2018, je Portugalska zaprosila za dovoljenje, da uvede ukrep, ki odstopa od člena 193 direktive o DDV, v katerem je določena oseba, ki je dolžna plačati DDV. V dopisu, ki ga je Komisija evidentirala 27. novembra 2018, je Portugalska predložila podrobnejše informacije o ukrepu, ki ga želi uvesti. Komisija je 18. decembra 2018 poslala dopis, v katerem je Portugalsko pozvala k dvostranskemu sestanku, da bi pojasnila zahtevo. Sestanek je potekal 27. februarja 2019. Portugalska je potrdila svoj zahtevek za odstopanje in v dopisu, ki ga je Komisija evidentirala 19. marca 2019, predložila dodatne informacije. </w:t>
      </w:r>
    </w:p>
    <w:p>
      <w:pPr>
        <w:rPr>
          <w:noProof/>
        </w:rPr>
      </w:pPr>
      <w:r>
        <w:rPr>
          <w:noProof/>
        </w:rPr>
        <w:t>V skladu s členom 395(2) direktive o DDV je Komisija z dopisi z dne 27. marca 2019 o zahtevi Portugalske obvestila druge države članice. Z dopisom z dne 28. marca 2019 je Komisija uradno obvestila Portugalsko, da ima vse informacije, potrebne za presojo zahteve.</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rFonts w:eastAsia="Arial Unicode MS"/>
          <w:noProof/>
        </w:rPr>
      </w:pPr>
      <w:r>
        <w:rPr>
          <w:noProof/>
        </w:rPr>
        <w:t>Člen 193 direktive o DDV določa splošno pravilo, po katerem je davčni zavezanec, ki dobavlja blago ali opravlja storitve, dolžan plačati DDV.</w:t>
      </w:r>
    </w:p>
    <w:p>
      <w:pPr>
        <w:pBdr>
          <w:top w:val="nil"/>
          <w:left w:val="nil"/>
          <w:bottom w:val="nil"/>
          <w:right w:val="nil"/>
          <w:between w:val="nil"/>
          <w:bar w:val="nil"/>
        </w:pBdr>
        <w:spacing w:before="0" w:after="240"/>
        <w:rPr>
          <w:noProof/>
        </w:rPr>
      </w:pPr>
      <w:r>
        <w:rPr>
          <w:noProof/>
        </w:rPr>
        <w:t>V skladu s členom 395 direktive o DDV lahko države članice uvedejo ukrepe, ki odstopajo od določb direktive o DDV, za poenostavitev postopka obračunavanja DDV ali za preprečevanje nekaterih vrst davčnih utaj ali izogibanja davkom, če jih je odobril Svet.</w:t>
      </w:r>
    </w:p>
    <w:p>
      <w:pPr>
        <w:pBdr>
          <w:top w:val="nil"/>
          <w:left w:val="nil"/>
          <w:bottom w:val="nil"/>
          <w:right w:val="nil"/>
          <w:between w:val="nil"/>
          <w:bar w:val="nil"/>
        </w:pBdr>
        <w:spacing w:before="0" w:after="240"/>
        <w:rPr>
          <w:noProof/>
        </w:rPr>
      </w:pPr>
      <w:r>
        <w:rPr>
          <w:noProof/>
        </w:rPr>
        <w:t xml:space="preserve">Portugalska je zaprosila za uporabo mehanizma obrnjene davčne obveznosti za dobavo plute, lesa, borovih storžev in neoluščenih pinjol, če je oseba, ki ji je to blago dobavljeno, davčni zavezanec, ki ima sedež, stalno poslovno enoto ali prebivališče na Portugalskem in izvaja transakcije, za katere ima pravico v celoti ali delno odbiti vstopni DDV. </w:t>
      </w:r>
    </w:p>
    <w:p>
      <w:pPr>
        <w:pBdr>
          <w:top w:val="nil"/>
          <w:left w:val="nil"/>
          <w:bottom w:val="nil"/>
          <w:right w:val="nil"/>
          <w:between w:val="nil"/>
          <w:bar w:val="nil"/>
        </w:pBdr>
        <w:spacing w:before="0" w:after="240"/>
        <w:rPr>
          <w:noProof/>
        </w:rPr>
      </w:pPr>
      <w:r>
        <w:rPr>
          <w:noProof/>
        </w:rPr>
        <w:t>Portugalska meni, da je gozdarski sektor eden od sektorjev gospodarske dejavnosti, v katerem so goljufije in davčne utaje izjemno pogoste. Razlog za to je dejstvo, da v tem sektorju prevladuje veliko število malih proizvajalcev in pridelovalcev, ki prodajajo surovine naprej predelovalnim družbam, ne da bi prijavili in plačali DDV za navedeno prodajo. Predelovalne družbe pa so srednji ali veliki davčni zavezanci, ki jih je mogoče zlahka opredelili. Zaradi narave trga in zadevnih podjetij je prišlo do goljufije na področju DDV, ki je portugalski davčni organi kljub okrepljenemu nadzoru in že sprejetim ukrepom niso uspeli preprečiti. Za boj proti tej zlorabi bi Portugalska rada uvedla mehanizem obrnjene davčne obveznosti za dobavo plute, lesa, borovih storžev in neoluščenih pinjol, kar bi odgovornost za plačilo DDV preneslo na majhno število zlahka opredeljivih predelovalnih družb. Po mnenju Portugalske bi to odpravilo tovrstno goljufijo na področju DDV in preprečilo posledične izgube prihodka iz DDV.</w:t>
      </w:r>
    </w:p>
    <w:p>
      <w:pPr>
        <w:pBdr>
          <w:top w:val="nil"/>
          <w:left w:val="nil"/>
          <w:bottom w:val="nil"/>
          <w:right w:val="nil"/>
          <w:between w:val="nil"/>
          <w:bar w:val="nil"/>
        </w:pBdr>
        <w:spacing w:before="0" w:after="240"/>
        <w:rPr>
          <w:noProof/>
        </w:rPr>
      </w:pPr>
      <w:r>
        <w:rPr>
          <w:noProof/>
        </w:rPr>
        <w:t xml:space="preserve">Odstopanja so na splošno odobrena za omejeno časovno obdobje, da se oceni, ali je posebni ukrep primeren in učinkovit, državam članicam pa daje čas za uvedbo drugih običajnih </w:t>
      </w:r>
      <w:r>
        <w:rPr>
          <w:noProof/>
        </w:rPr>
        <w:lastRenderedPageBreak/>
        <w:t xml:space="preserve">ukrepov za odpravo zadevne težave do izteka odstopanja, tako da podaljšanje odstopanja postane nepotrebno. Odstopanje, ki dovoljuje uporabo mehanizma obrnjene davčne obveznosti, je odobreno samo izjemoma za določena področja goljufij in pomeni sredstvo v skrajni sili. </w:t>
      </w:r>
    </w:p>
    <w:p>
      <w:pPr>
        <w:pBdr>
          <w:top w:val="nil"/>
          <w:left w:val="nil"/>
          <w:bottom w:val="nil"/>
          <w:right w:val="nil"/>
          <w:between w:val="nil"/>
          <w:bar w:val="nil"/>
        </w:pBdr>
        <w:spacing w:before="0" w:after="240"/>
        <w:rPr>
          <w:rFonts w:eastAsia="Arial Unicode MS"/>
          <w:noProof/>
        </w:rPr>
      </w:pPr>
      <w:r>
        <w:rPr>
          <w:noProof/>
        </w:rPr>
        <w:t>Zaradi goljufij v zgoraj navedenem sektorju se zato predlaga uvedba ukrepa odstopanja, ki bi Portugalski omogočil uporabo tega ukrepa do 31. decembra 2022. Portugalska bi morala do izteka tega odstopanja izvajati druge običajne ukrepe za boj proti goljufijam na področju DDV in njihovo preprečevanje v sektorju plute, lesa, borovih storžev in neoluščenih pinjol. Zaradi tega ne bi smelo biti več potrebe po odstopanju od člena 193 Direktive 2006/112/ES v zvezi s temi dobavami.</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rFonts w:eastAsia="Arial Unicode MS"/>
          <w:noProof/>
        </w:rPr>
      </w:pPr>
      <w:r>
        <w:rPr>
          <w:noProof/>
        </w:rPr>
        <w:t>Podobna odstopanja v zvezi s členom 193 direktive o DDV so bila odobrena drugim državam članicam.</w:t>
      </w:r>
    </w:p>
    <w:p>
      <w:pPr>
        <w:pBdr>
          <w:top w:val="nil"/>
          <w:left w:val="nil"/>
          <w:bottom w:val="nil"/>
          <w:right w:val="nil"/>
          <w:between w:val="nil"/>
          <w:bar w:val="nil"/>
        </w:pBdr>
        <w:spacing w:before="0" w:after="240"/>
        <w:rPr>
          <w:rFonts w:eastAsia="Arial Unicode MS"/>
          <w:noProof/>
        </w:rPr>
      </w:pPr>
      <w:r>
        <w:rPr>
          <w:noProof/>
        </w:rPr>
        <w:t>Predlagani ukrep je torej v skladu z obstoječimi določbami direktive o DDV.</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Člen 395 direktive o DDV.</w:t>
      </w:r>
    </w:p>
    <w:p>
      <w:pPr>
        <w:pStyle w:val="ManualHeading2"/>
        <w:rPr>
          <w:rFonts w:eastAsia="Arial Unicode MS"/>
          <w:noProof/>
          <w:u w:color="000000"/>
          <w:bdr w:val="nil"/>
        </w:rPr>
      </w:pPr>
      <w:r>
        <w:rPr>
          <w:noProof/>
        </w:rPr>
        <w:t>•</w:t>
      </w:r>
      <w:r>
        <w:rPr>
          <w:noProof/>
        </w:rPr>
        <w:tab/>
        <w:t xml:space="preserve">Subsidiarnost (za neizključno pristojnost) </w:t>
      </w:r>
    </w:p>
    <w:p>
      <w:pPr>
        <w:pBdr>
          <w:top w:val="nil"/>
          <w:left w:val="nil"/>
          <w:bottom w:val="nil"/>
          <w:right w:val="nil"/>
          <w:between w:val="nil"/>
          <w:bar w:val="nil"/>
        </w:pBdr>
        <w:spacing w:before="0" w:after="240"/>
        <w:rPr>
          <w:noProof/>
        </w:rPr>
      </w:pPr>
      <w:r>
        <w:rPr>
          <w:noProof/>
        </w:rPr>
        <w:t xml:space="preserve">Glede na določbo direktive o DDV, na kateri temelji predlog, se načelo subsidiarnosti ne uporablja. </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noProof/>
        </w:rPr>
      </w:pPr>
      <w:r>
        <w:rPr>
          <w:noProof/>
        </w:rPr>
        <w:t xml:space="preserve">Ta sklep se nanaša na dovoljenje, izdano državi članici na njeno prošnjo, in ne pomeni nobene obveznosti. </w:t>
      </w:r>
    </w:p>
    <w:p>
      <w:pPr>
        <w:rPr>
          <w:rFonts w:eastAsia="Arial Unicode MS"/>
          <w:noProof/>
        </w:rPr>
      </w:pPr>
      <w:r>
        <w:rPr>
          <w:noProof/>
        </w:rPr>
        <w:t>Zaradi omejenega obsega odstopanja je posebni ukrep sorazmeren z želenim ciljem.</w:t>
      </w:r>
    </w:p>
    <w:p>
      <w:pPr>
        <w:pStyle w:val="ManualHeading2"/>
        <w:rPr>
          <w:rFonts w:eastAsia="Arial Unicode MS"/>
          <w:noProof/>
          <w:u w:color="000000"/>
          <w:bdr w:val="nil"/>
        </w:rPr>
      </w:pPr>
      <w:r>
        <w:rPr>
          <w:noProof/>
        </w:rPr>
        <w:t>•</w:t>
      </w:r>
      <w:r>
        <w:rPr>
          <w:noProof/>
        </w:rPr>
        <w:tab/>
        <w:t>Izbira instrumenta</w:t>
      </w:r>
    </w:p>
    <w:p>
      <w:pPr>
        <w:spacing w:before="0" w:after="240"/>
        <w:rPr>
          <w:rFonts w:eastAsia="Arial Unicode MS"/>
          <w:noProof/>
        </w:rPr>
      </w:pPr>
      <w:r>
        <w:rPr>
          <w:noProof/>
        </w:rPr>
        <w:t>Predlagani instrument: izvedbeni sklep Sveta.</w:t>
      </w:r>
    </w:p>
    <w:p>
      <w:pPr>
        <w:spacing w:before="0" w:after="240"/>
        <w:rPr>
          <w:rFonts w:eastAsia="Arial Unicode MS"/>
          <w:noProof/>
        </w:rPr>
      </w:pPr>
      <w:r>
        <w:rPr>
          <w:noProof/>
        </w:rPr>
        <w:t>V skladu s členom 395 Direktive Sveta 2006/112/ES lahko samo Svet na predlog Komisije soglasno odobri odstopanje od skupnih določb o DDV. Izvedbeni sklep Sveta je najustreznejši instrument, saj se lahko naslovi na posamezno državo članico.</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Ta predlog temelji na zahtevi Portugalske in zadeva le to državo članico.</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rFonts w:eastAsia="Arial Unicode MS"/>
          <w:noProof/>
        </w:rPr>
      </w:pPr>
      <w:r>
        <w:rPr>
          <w:noProof/>
        </w:rPr>
        <w:t>Strokovno mnenje ni bilo potrebno</w:t>
      </w:r>
    </w:p>
    <w:p>
      <w:pPr>
        <w:pStyle w:val="ManualHeading2"/>
        <w:rPr>
          <w:rFonts w:eastAsia="Arial Unicode MS"/>
          <w:noProof/>
          <w:u w:color="000000"/>
          <w:bdr w:val="nil"/>
        </w:rPr>
      </w:pPr>
      <w:r>
        <w:rPr>
          <w:noProof/>
        </w:rPr>
        <w:lastRenderedPageBreak/>
        <w:t>•</w:t>
      </w:r>
      <w:r>
        <w:rPr>
          <w:noProof/>
        </w:rPr>
        <w:tab/>
        <w:t>Ocena učinka</w:t>
      </w:r>
    </w:p>
    <w:p>
      <w:pPr>
        <w:pBdr>
          <w:top w:val="nil"/>
          <w:left w:val="nil"/>
          <w:bottom w:val="nil"/>
          <w:right w:val="nil"/>
          <w:between w:val="nil"/>
          <w:bar w:val="nil"/>
        </w:pBdr>
        <w:spacing w:before="0" w:after="240"/>
        <w:rPr>
          <w:noProof/>
        </w:rPr>
      </w:pPr>
      <w:r>
        <w:rPr>
          <w:noProof/>
        </w:rPr>
        <w:t>Cilj predloga izvedbenega sklepa Sveta je preprečiti nekatere oblike davčnih utaj ali izogibanja davkom v sektorju dobave plute, lesa, borovih storžev in neoluščenih pinjol. Mehanizem obrnjene davčne obveznosti bi moral Portugalski pomagati v nadaljnjem boju proti goljufijam na področju DDV v tem sektorju. Zato bo imel ukrep odstopanja potencialno pozitiven učinek.</w:t>
      </w:r>
    </w:p>
    <w:p>
      <w:pPr>
        <w:rPr>
          <w:noProof/>
        </w:rPr>
      </w:pPr>
      <w:r>
        <w:rPr>
          <w:noProof/>
        </w:rPr>
        <w:t>Zaradi majhnega področja uporabe odstopanja in časovno omejene uporabe bo njegov učinek v vsakem primeru omejen.</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Predlog ne vpliva na proračun EU.</w:t>
      </w:r>
    </w:p>
    <w:p>
      <w:pPr>
        <w:pStyle w:val="ManualHeading1"/>
        <w:rPr>
          <w:noProof/>
        </w:rPr>
      </w:pPr>
      <w:r>
        <w:rPr>
          <w:noProof/>
        </w:rPr>
        <w:t>5.</w:t>
      </w:r>
      <w:r>
        <w:rPr>
          <w:noProof/>
        </w:rPr>
        <w:tab/>
        <w:t>DRUGI ELEMENTI</w:t>
      </w:r>
    </w:p>
    <w:p>
      <w:pPr>
        <w:rPr>
          <w:b/>
          <w:noProof/>
        </w:rPr>
      </w:pPr>
      <w:r>
        <w:rPr>
          <w:noProof/>
        </w:rPr>
        <w:t>Predlog je časovno omejen.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2019/0136 (NLE)</w:t>
      </w:r>
    </w:p>
    <w:p>
      <w:pPr>
        <w:pStyle w:val="Statut"/>
        <w:rPr>
          <w:noProof/>
        </w:rPr>
      </w:pPr>
      <w:r>
        <w:rPr>
          <w:noProof/>
        </w:rPr>
        <w:t>Predlog</w:t>
      </w:r>
    </w:p>
    <w:p>
      <w:pPr>
        <w:pStyle w:val="Typedudocument"/>
        <w:rPr>
          <w:noProof/>
        </w:rPr>
      </w:pPr>
      <w:r>
        <w:rPr>
          <w:noProof/>
        </w:rPr>
        <w:t>IZVEDBENI SKLEP SVETA</w:t>
      </w:r>
    </w:p>
    <w:p>
      <w:pPr>
        <w:pStyle w:val="Titreobjet"/>
        <w:rPr>
          <w:noProof/>
        </w:rPr>
      </w:pPr>
      <w:r>
        <w:rPr>
          <w:noProof/>
        </w:rPr>
        <w:t>o dovoljenju Portugalski, da uvede posebni ukrep, ki odstopa od člena 193 Direktive 2006/112/ES o skupnem sistemu davka na dodano vrednost</w:t>
      </w:r>
    </w:p>
    <w:p>
      <w:pPr>
        <w:pStyle w:val="Institutionquiagit"/>
        <w:rPr>
          <w:noProof/>
        </w:rPr>
      </w:pPr>
      <w:r>
        <w:rPr>
          <w:noProof/>
        </w:rPr>
        <w:t>SVET EVROPSKE UNIJE JE –</w:t>
      </w:r>
    </w:p>
    <w:p>
      <w:pPr>
        <w:rPr>
          <w:noProof/>
        </w:rPr>
      </w:pPr>
      <w:r>
        <w:rPr>
          <w:noProof/>
        </w:rPr>
        <w:t xml:space="preserve">ob upoštevanju Pogodbe o delovanju Evropske unije, </w:t>
      </w:r>
    </w:p>
    <w:p>
      <w:pPr>
        <w:rPr>
          <w:noProof/>
        </w:rPr>
      </w:pPr>
      <w:r>
        <w:rPr>
          <w:noProof/>
        </w:rPr>
        <w:t>ob upoštevanju Direktive Sveta 2006/112/ES z dne 28. novembra 2006 o skupnem sistemu davka na dodano vrednost</w:t>
      </w:r>
      <w:r>
        <w:rPr>
          <w:rStyle w:val="FootnoteReference"/>
          <w:noProof/>
        </w:rPr>
        <w:footnoteReference w:id="2"/>
      </w:r>
      <w:r>
        <w:rPr>
          <w:noProof/>
        </w:rPr>
        <w:t xml:space="preserve"> in zlasti člena 395(1) Direktive, </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Portugalska je v dopisu, ki ga je Komisija evidentirala 2. julija 2018, zaprosila za dovoljenje, da uvede posebni ukrep, ki odstopa od člena 193 Direktive 2006/112/ES, za dobavo plute, lesa, borovih storžev in neoluščenih pinjol, če je oseba, ki ji je navedeno blago dobavljeno, davčni zavezanec, ki ima sedež, stalno poslovno enoto ali prebivališče na Portugalskem in izvaja transakcije, za katere ima pravico v celoti ali delno odbiti vstopni davek na dodano vrednost (v nadaljnjem besedilu: DDV). V dopisih, ki ju je Komisija evidentirala 27. novembra 2018 in 19. marca 2019, je Portugalska Komisiji predložila več informacij.</w:t>
      </w:r>
    </w:p>
    <w:p>
      <w:pPr>
        <w:pStyle w:val="ManualConsidrant"/>
        <w:rPr>
          <w:noProof/>
        </w:rPr>
      </w:pPr>
      <w:r>
        <w:t>(2)</w:t>
      </w:r>
      <w:r>
        <w:tab/>
      </w:r>
      <w:r>
        <w:rPr>
          <w:noProof/>
        </w:rPr>
        <w:t>V skladu z drugim pododstavkom člena 395(2) Direktive 2006/112/ES je Komisija z dopisom z dne 27. marca 2019 o zahtevi Portugalske obvestila druge države članice. Z dopisom z dne 28. marca 2019 je Komisija uradno obvestila Portugalsko, da ima vse informacije, potrebne za presojo zahteve.</w:t>
      </w:r>
    </w:p>
    <w:p>
      <w:pPr>
        <w:pStyle w:val="ManualConsidrant"/>
        <w:rPr>
          <w:noProof/>
        </w:rPr>
      </w:pPr>
      <w:r>
        <w:t>(3)</w:t>
      </w:r>
      <w:r>
        <w:tab/>
      </w:r>
      <w:r>
        <w:rPr>
          <w:noProof/>
        </w:rPr>
        <w:t>Portugalska meni, da je gozdarski sektor na Portugalskem eden od sektorjev gospodarske dejavnosti, v katerem so goljufije in davčne utaje izjemno visoke. Razlog za to je dejstvo, da v tem sektorju prevladuje veliko število malih proizvajalcev in pridelovalcev, ki prodajajo surovine naprej predelovalnim družbam, ne da bi prijavili in plačali DDV za navedeno prodajo. Zaradi narave trga in zadevnih podjetij je prišlo do goljufije na področju DDV, ki je portugalski davčni organi kljub okrepljenemu nadzoru in že sprejetim ukrepom niso uspeli preprečiti. Za boj proti zlorabi bi Portugalska rada uvedla mehanizem obrnjene davčne obveznosti za dobavo plute, lesa, borovih storžev in neoluščenih pinjol, kar bi odgovornost za plačilo DDV preneslo na majhno število zlahka opredeljivih predelovalnih družb. Po mnenju Portugalske bi to odpravilo tovrstno goljufijo na področju DDV in preprečilo posledične izgube prihodka iz DDV.</w:t>
      </w:r>
    </w:p>
    <w:p>
      <w:pPr>
        <w:pStyle w:val="ManualConsidrant"/>
        <w:rPr>
          <w:noProof/>
        </w:rPr>
      </w:pPr>
      <w:r>
        <w:t>(4)</w:t>
      </w:r>
      <w:r>
        <w:tab/>
      </w:r>
      <w:r>
        <w:rPr>
          <w:noProof/>
        </w:rPr>
        <w:t xml:space="preserve">Portugalski bi bilo zato treba dovoliti, da ukrep odstopanja uvede za omejeno obdobje do 31. decembra 2022. </w:t>
      </w:r>
    </w:p>
    <w:p>
      <w:pPr>
        <w:pStyle w:val="ManualConsidrant"/>
        <w:rPr>
          <w:noProof/>
        </w:rPr>
      </w:pPr>
      <w:r>
        <w:t>(5)</w:t>
      </w:r>
      <w:r>
        <w:tab/>
      </w:r>
      <w:r>
        <w:rPr>
          <w:noProof/>
        </w:rPr>
        <w:t xml:space="preserve">Odstopanja se običajno odobrijo za omejeno obdobje, da se lahko oceni, ali je ukrep odstopanja ustrezen in učinkovit. Odstopanja dajejo državam članicam čas za uvedbo </w:t>
      </w:r>
      <w:r>
        <w:rPr>
          <w:noProof/>
        </w:rPr>
        <w:lastRenderedPageBreak/>
        <w:t>drugih običajnih ukrepov za reševanje zadevnega problema do izteka ukrepa odstopanja, tako da postane podaljšanje odstopanja nepotrebno. Odstopanje, ki dovoljuje uporabo mehanizma obrnjene davčne obveznosti, je odobreno samo izjemoma za določena področja goljufij in pomeni sredstvo v skrajni sili. Portugalska bi zato morala uvesti druge običajne ukrepe za boj proti goljufijam na področju DDV in njihovo preprečevanje v sektorju plute, lesa, borovih storžev in pinjol do poteka veljavnosti tega odstopanja, zato bi moralo postati odstopanje od člena 193 Direktive 2006/112/ES v zvezi z navedeno dobavo nepotrebno.</w:t>
      </w:r>
    </w:p>
    <w:p>
      <w:pPr>
        <w:pStyle w:val="ManualConsidrant"/>
        <w:rPr>
          <w:noProof/>
        </w:rPr>
      </w:pPr>
      <w:r>
        <w:t>(6)</w:t>
      </w:r>
      <w:r>
        <w:tab/>
      </w:r>
      <w:r>
        <w:rPr>
          <w:noProof/>
        </w:rPr>
        <w:t>Odstopanje nima negativnega učinka na lastna sredstva Unije iz DDV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Portugalski se z odstopanjem od člena 193 Direktive 2006/112/ES dovoli, da določi davčnega zavezanca, ki se mu dobavi pluta, les, borovi storži ali neoluščene pinjole, kot osebo, ki je dolžna plačati DDV, če je to davčni zavezanec, ki ima sedež, stalno poslovno enoto ali prebivališče na Portugalskem in izvaja transakcije, za katere ima pravico v celoti ali delno odbiti vstopni DDV.</w:t>
      </w:r>
    </w:p>
    <w:p>
      <w:pPr>
        <w:pStyle w:val="Titrearticle"/>
        <w:rPr>
          <w:noProof/>
        </w:rPr>
      </w:pPr>
      <w:r>
        <w:rPr>
          <w:noProof/>
        </w:rPr>
        <w:t>Člen 2</w:t>
      </w:r>
    </w:p>
    <w:p>
      <w:pPr>
        <w:rPr>
          <w:noProof/>
        </w:rPr>
      </w:pPr>
      <w:r>
        <w:rPr>
          <w:noProof/>
        </w:rPr>
        <w:t>Ta sklep se uporablja od 1. januarja 2020 in preneha veljati 31. decembra 2022.</w:t>
      </w:r>
    </w:p>
    <w:p>
      <w:pPr>
        <w:pStyle w:val="Titrearticle"/>
        <w:rPr>
          <w:noProof/>
        </w:rPr>
      </w:pPr>
      <w:r>
        <w:rPr>
          <w:noProof/>
        </w:rPr>
        <w:t>Člen 3</w:t>
      </w:r>
    </w:p>
    <w:p>
      <w:pPr>
        <w:rPr>
          <w:noProof/>
        </w:rPr>
      </w:pPr>
      <w:r>
        <w:rPr>
          <w:noProof/>
        </w:rPr>
        <w:t>Ta sklep je naslovljen na Portugalsko republiko.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rPr>
          <w:lang w:val="pl-PL"/>
        </w:rPr>
        <w:tab/>
        <w:t>UL L 347, 11.12.2006, str. 1.</w:t>
      </w:r>
    </w:p>
  </w:footnote>
  <w:footnote w:id="2">
    <w:p>
      <w:pPr>
        <w:pStyle w:val="FootnoteText"/>
        <w:rPr>
          <w:lang w:val="pl-PL"/>
        </w:rPr>
      </w:pPr>
      <w:r>
        <w:rPr>
          <w:rStyle w:val="FootnoteReference"/>
        </w:rPr>
        <w:footnoteRef/>
      </w:r>
      <w:r>
        <w:rPr>
          <w:lang w:val="pl-PL"/>
        </w:rPr>
        <w:tab/>
        <w:t>UL L 347, 11.12.2006,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A2D7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B64C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1CCCB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F78B6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78C0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82F30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A8B1A0"/>
    <w:lvl w:ilvl="0">
      <w:start w:val="1"/>
      <w:numFmt w:val="decimal"/>
      <w:pStyle w:val="ListNumber"/>
      <w:lvlText w:val="%1."/>
      <w:lvlJc w:val="left"/>
      <w:pPr>
        <w:tabs>
          <w:tab w:val="num" w:pos="360"/>
        </w:tabs>
        <w:ind w:left="360" w:hanging="360"/>
      </w:pPr>
    </w:lvl>
  </w:abstractNum>
  <w:abstractNum w:abstractNumId="7">
    <w:nsid w:val="FFFFFF89"/>
    <w:multiLevelType w:val="singleLevel"/>
    <w:tmpl w:val="756C3D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6 12:37: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0CAB643-0350-427D-A75D-3F1E00EC164B"/>
    <w:docVar w:name="LW_COVERPAGE_TYPE" w:val="1"/>
    <w:docVar w:name="LW_CROSSREFERENCE" w:val="&lt;UNUSED&gt;"/>
    <w:docVar w:name="LW_DocType" w:val="COM"/>
    <w:docVar w:name="LW_EMISSION" w:val="14.6.2019"/>
    <w:docVar w:name="LW_EMISSION_ISODATE" w:val="2019-06-14"/>
    <w:docVar w:name="LW_EMISSION_LOCATION" w:val="BRX"/>
    <w:docVar w:name="LW_EMISSION_PREFIX" w:val="Bruselj,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36"/>
    <w:docVar w:name="LW_REF.II.NEW.CP_YEAR" w:val="2019"/>
    <w:docVar w:name="LW_REF.INST.NEW" w:val="COM"/>
    <w:docVar w:name="LW_REF.INST.NEW_ADOPTED" w:val="final"/>
    <w:docVar w:name="LW_REF.INST.NEW_TEXT" w:val="(2019)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dovoljenju Portugalski, da uvede posebni ukrep, ki odstopa od \u269?lena 193 Direktive 2006/112/ES o skupnem sistemu davka na dodano vrednost"/>
    <w:docVar w:name="LW_TYPE.DOC.CP" w:val="IZVEDBENI 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cs="Times New Roman"/>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cs="Times New Roman"/>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24C720-B0C4-4938-9B46-14075AFB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1473</Words>
  <Characters>8397</Characters>
  <Application>Microsoft Office Word</Application>
  <DocSecurity>0</DocSecurity>
  <Lines>155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2019-05-28T08:02:00Z</dcterms:created>
  <dcterms:modified xsi:type="dcterms:W3CDTF">2019-06-06T10:37:00Z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