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232B6DE-62F1-45D0-993D-7635D6C6E5F5"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ANHANG </w:t>
      </w:r>
    </w:p>
    <w:p>
      <w:pPr>
        <w:pStyle w:val="Titrearticle"/>
        <w:jc w:val="both"/>
        <w:rPr>
          <w:b/>
          <w:i w:val="0"/>
          <w:noProof/>
          <w:u w:val="single"/>
        </w:rPr>
      </w:pPr>
      <w:r>
        <w:rPr>
          <w:b/>
          <w:i w:val="0"/>
          <w:noProof/>
          <w:u w:val="single"/>
        </w:rPr>
        <w:t>Verhandlungsrichtlinien</w:t>
      </w:r>
    </w:p>
    <w:p>
      <w:pPr>
        <w:pStyle w:val="Tiret0"/>
        <w:numPr>
          <w:ilvl w:val="0"/>
          <w:numId w:val="1"/>
        </w:numPr>
        <w:rPr>
          <w:noProof/>
        </w:rPr>
      </w:pPr>
      <w:r>
        <w:rPr>
          <w:noProof/>
        </w:rPr>
        <w:t>Ziel der Verhandlungen ist der Abschluss eines partnerschaftlichen Abkommens über nachhaltige Fischerei und des dazugehörigen Protokolls zwischen der Europäischen Union und der Republik Seychellen im Einklang mit der Verordnung (EU) Nr. 1380/2013 über die Gemeinsame Fischereipolitik und den Schlussfolgerungen des Rates vom 19. März 2012 zu der Mitteilung der Kommission vom 13. Juli 2011 über die externe Dimension der Gemeinsamen Fischereipolitik.</w:t>
      </w:r>
    </w:p>
    <w:p>
      <w:pPr>
        <w:pStyle w:val="Tiret0"/>
        <w:numPr>
          <w:ilvl w:val="0"/>
          <w:numId w:val="1"/>
        </w:numPr>
        <w:rPr>
          <w:noProof/>
        </w:rPr>
      </w:pPr>
      <w:r>
        <w:rPr>
          <w:noProof/>
        </w:rPr>
        <w:t>In dem partnerschaftlichen Abkommen über nachhaltige Fischerei sollten daher der allgemeine Rahmen, die allgemeinen Grundsätze und die Ziele für diese Partnerschaft mit der Republik Seychellen festgelegt werden. Das Abkommen sollte eine Klausel enthalten, die das derzeitige partnerschaftliche Fischereiabkommen zwischen der Europäischen Gemeinschaft und der Republik Seychellen</w:t>
      </w:r>
      <w:r>
        <w:rPr>
          <w:rStyle w:val="FootnoteReference"/>
          <w:noProof/>
        </w:rPr>
        <w:footnoteReference w:id="1"/>
      </w:r>
      <w:r>
        <w:rPr>
          <w:noProof/>
        </w:rPr>
        <w:t xml:space="preserve"> aufhebt.</w:t>
      </w:r>
    </w:p>
    <w:p>
      <w:pPr>
        <w:pStyle w:val="Tiret0"/>
        <w:rPr>
          <w:noProof/>
        </w:rPr>
      </w:pPr>
      <w:r>
        <w:rPr>
          <w:noProof/>
        </w:rPr>
        <w:t xml:space="preserve">Um eine nachhaltige und verantwortungsvolle Fischerei zu fördern und gleichzeitig durch dieses neue Abkommen Vorteile sowohl für die EU als auch für die Republik Seychellen zu gewährleisten, zielen die Verhandlungen der Kommission auf Folgendes ab: </w:t>
      </w:r>
    </w:p>
    <w:p>
      <w:pPr>
        <w:pStyle w:val="Bullet1"/>
        <w:numPr>
          <w:ilvl w:val="0"/>
          <w:numId w:val="2"/>
        </w:numPr>
        <w:rPr>
          <w:noProof/>
        </w:rPr>
      </w:pPr>
      <w:r>
        <w:rPr>
          <w:noProof/>
        </w:rPr>
        <w:t xml:space="preserve">Gewährleistung des Zugangs zur Fischereizone der Republik Seychellen und der erforderlichen Genehmigungen zur Fischerei in dieser Zone für Schiffe der EU-Flotte, wodurch unter anderem das Netz der für EU-Wirtschaftsteilnehmer verfügbaren partnerschaftlichen Abkommen über nachhaltige Fischerei im Indischen Ozean ausgebaut wird;  </w:t>
      </w:r>
    </w:p>
    <w:p>
      <w:pPr>
        <w:pStyle w:val="Bullet1"/>
        <w:rPr>
          <w:noProof/>
          <w:sz w:val="22"/>
        </w:rPr>
      </w:pPr>
      <w:r>
        <w:rPr>
          <w:noProof/>
        </w:rPr>
        <w:t>Berücksichtigung der besten verfügbaren wissenschaftlichen Gutachten und der einschlägigen von den regionalen Fischereiorganisationen festgelegten Bewirtschaftungspläne, um die ökologische Nachhaltigkeit der Fischereitätigkeiten zu gewährleisten und die Meerespolitik auf internationaler Ebene zu fördern. Die Fischereitätigkeiten sollten ausschließlich auf verfügbare Ressourcen ausgerichtet werden, wobei den Fangkapazitäten der lokalen Flotten Rechnung zu tragen und besonderes Augenmerk auf das ausgeprägte Wanderverhalten der betroffenen Bestände zu legen ist;</w:t>
      </w:r>
    </w:p>
    <w:p>
      <w:pPr>
        <w:pStyle w:val="Bullet1"/>
        <w:rPr>
          <w:noProof/>
          <w:szCs w:val="24"/>
        </w:rPr>
      </w:pPr>
      <w:r>
        <w:rPr>
          <w:noProof/>
        </w:rPr>
        <w:t>Anstreben eines angemessenen, mit den Interessen der EU-Flotten umfassend übereinstimmenden Anteils an den Fischereiressourcen, wenn andere ausländische Flotten ebenfalls an diesen Beständen interessiert sind, sowie Anwendung derselben technischen Bedingungen für alle ausländischen Flotten;</w:t>
      </w:r>
    </w:p>
    <w:p>
      <w:pPr>
        <w:pStyle w:val="Bullet1"/>
        <w:rPr>
          <w:noProof/>
        </w:rPr>
      </w:pPr>
      <w:r>
        <w:rPr>
          <w:noProof/>
        </w:rPr>
        <w:t>Gewährleistung, dass der Zugang zu den Fischereiressourcen auf der Grundlage der historischen und der erwarteten künftigen Fischereitätigkeit der EU-Flotte in der Region erfolgt, wobei den neuesten und besten vorliegenden wissenschaftlichen Gutachten sowie den Interessen der Regionen in äußerster Randlage der EU Rechnung zu tragen ist;</w:t>
      </w:r>
    </w:p>
    <w:p>
      <w:pPr>
        <w:pStyle w:val="Bullet1"/>
        <w:rPr>
          <w:noProof/>
        </w:rPr>
      </w:pPr>
      <w:r>
        <w:rPr>
          <w:noProof/>
        </w:rPr>
        <w:t xml:space="preserve">Einrichtung eines Dialogs zur Verstärkung der sektorbezogenen Politik, um die Verwirklichung einer verantwortungsvollen Fischereipolitik im Einklang mit den Entwicklungszielen des Landes voranzutreiben, insbesondere hinsichtlich der Fischereipolitik, der Bekämpfung der illegalen, ungemeldeten und unregulierten Fischerei, der Kontrolle und der Überwachung von Fischereitätigkeiten sowie der Bereitstellung wissenschaftlicher Gutachten; und Förderung der Wirtschaftstätigkeit; </w:t>
      </w:r>
    </w:p>
    <w:p>
      <w:pPr>
        <w:pStyle w:val="Bullet1"/>
        <w:rPr>
          <w:noProof/>
        </w:rPr>
      </w:pPr>
      <w:r>
        <w:rPr>
          <w:noProof/>
        </w:rPr>
        <w:t>Gewährleistung, dass das Protokoll zur Förderung von nachhaltigem Wachstum und menschenwürdiger Arbeit im Zusammenhang mit Fischereitätigkeiten beiträgt, wobei die einschlägigen Übereinkommen der Internationalen Arbeitsorganisation (IAO) zu berücksichtigen sind;</w:t>
      </w:r>
    </w:p>
    <w:p>
      <w:pPr>
        <w:pStyle w:val="Bullet1"/>
        <w:rPr>
          <w:noProof/>
        </w:rPr>
      </w:pPr>
      <w:r>
        <w:rPr>
          <w:noProof/>
        </w:rPr>
        <w:t>Aufnahme einer Klausel über die Folgen etwaiger Verletzungen der Menschenrechte und der Grundsätze der Demokratie.</w:t>
      </w:r>
    </w:p>
    <w:p>
      <w:pPr>
        <w:pStyle w:val="Tiret0"/>
        <w:rPr>
          <w:noProof/>
        </w:rPr>
      </w:pPr>
      <w:r>
        <w:rPr>
          <w:noProof/>
        </w:rPr>
        <w:t>In dem Protokoll sollte insbesondere Folgendes festgelegt werden:</w:t>
      </w:r>
    </w:p>
    <w:p>
      <w:pPr>
        <w:pStyle w:val="Bullet1"/>
        <w:rPr>
          <w:noProof/>
        </w:rPr>
      </w:pPr>
      <w:r>
        <w:rPr>
          <w:noProof/>
        </w:rPr>
        <w:t>die den Schiffen der Europäischen Union einzuräumenden Fangmöglichkeiten;</w:t>
      </w:r>
    </w:p>
    <w:p>
      <w:pPr>
        <w:pStyle w:val="Bullet1"/>
        <w:rPr>
          <w:noProof/>
        </w:rPr>
      </w:pPr>
      <w:r>
        <w:rPr>
          <w:noProof/>
        </w:rPr>
        <w:t>die finanzielle Gegenleistung und die Bedingungen für deren Auszahlung und</w:t>
      </w:r>
    </w:p>
    <w:p>
      <w:pPr>
        <w:pStyle w:val="Bullet1"/>
        <w:rPr>
          <w:noProof/>
        </w:rPr>
      </w:pPr>
      <w:r>
        <w:rPr>
          <w:noProof/>
        </w:rPr>
        <w:t>die Mechanismen zur Unterstützung des Fischereisektors.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ABl. L 290 vom 20.10.2006, S.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1AA9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142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C8F6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3A77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14090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CD6E7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56512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C252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6"/>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35: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er"/>
    <w:docVar w:name="LW_ACCOMPAGNANT.CP" w:val="der"/>
    <w:docVar w:name="LW_ANNEX_NBR_FIRST" w:val="1"/>
    <w:docVar w:name="LW_ANNEX_NBR_LAST" w:val="1"/>
    <w:docVar w:name="LW_ANNEX_UNIQUE" w:val="1"/>
    <w:docVar w:name="LW_CORRIGENDUM" w:val="&lt;UNUSED&gt;"/>
    <w:docVar w:name="LW_COVERPAGE_EXISTS" w:val="True"/>
    <w:docVar w:name="LW_COVERPAGE_GUID" w:val="3232B6DE-62F1-45D0-993D-7635D6C6E5F5"/>
    <w:docVar w:name="LW_COVERPAGE_TYPE" w:val="1"/>
    <w:docVar w:name="LW_CROSSREFERENCE" w:val="{SWD(2019) 209 final} - {SWD(2019) 210 final}"/>
    <w:docVar w:name="LW_DocType" w:val="ANNEX"/>
    <w:docVar w:name="LW_EMISSION" w:val="18.6.2019"/>
    <w:docVar w:name="LW_EMISSION_ISODATE" w:val="2019-06-18"/>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für einen Beschluss des Rates zur Ermächtigung der Kommission, im Namen der Europäischen Union Verhandlungen über den Abschluss eines partnerschaftlichen Abkommens über nachhaltige Fischerei und eines dazugehörigen Protokolls mit der Republik Seychellen aufzunehmen_x000b_"/>
    <w:docVar w:name="LW_OBJETACTEPRINCIPAL.CP" w:val="für einen Beschluss des Rates zur Ermächtigung der Kommission, im Namen der Europäischen Union Verhandlungen über den Abschluss eines partnerschaftlichen Abkommens über nachhaltige Fischerei und eines dazugehörigen Protokolls mit der Republik Seychellen aufzunehmen_x000b_"/>
    <w:docVar w:name="LW_PART_NBR" w:val="1"/>
    <w:docVar w:name="LW_PART_NBR_TOTAL" w:val="1"/>
    <w:docVar w:name="LW_REF.INST.NEW" w:val="COM"/>
    <w:docVar w:name="LW_REF.INST.NEW_ADOPTED" w:val="final"/>
    <w:docVar w:name="LW_REF.INST.NEW_TEXT" w:val="(2019)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Empfehlung"/>
    <w:docVar w:name="LW_TYPEACTEPRINCIPAL.CP" w:val="Empfehlu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31B996-740B-4AF7-A7E5-9A403896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449</Words>
  <Characters>3330</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dcterms:created xsi:type="dcterms:W3CDTF">2019-06-04T10:13:00Z</dcterms:created>
  <dcterms:modified xsi:type="dcterms:W3CDTF">2019-06-11T12:35:00Z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