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D4F42861-AD96-4B70-8C54-32B7CDFEF9C9" style="width:450.75pt;height:36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PASKAIDROJUMA RAKSTS</w:t>
      </w:r>
    </w:p>
    <w:p>
      <w:pPr>
        <w:pStyle w:val="ManualHeading1"/>
        <w:rPr>
          <w:noProof/>
        </w:rPr>
      </w:pPr>
      <w:r>
        <w:rPr>
          <w:noProof/>
        </w:rPr>
        <w:t>1.</w:t>
      </w:r>
      <w:r>
        <w:rPr>
          <w:noProof/>
        </w:rPr>
        <w:tab/>
        <w:t>IETEIKUMA KONTEKSTS</w:t>
      </w:r>
    </w:p>
    <w:p>
      <w:pPr>
        <w:pStyle w:val="ManualHeading2"/>
        <w:rPr>
          <w:rFonts w:eastAsia="Arial Unicode MS"/>
          <w:noProof/>
        </w:rPr>
      </w:pPr>
      <w:r>
        <w:rPr>
          <w:noProof/>
          <w:color w:val="000000"/>
          <w:u w:color="000000"/>
          <w:bdr w:val="nil"/>
        </w:rPr>
        <w:t>•</w:t>
      </w:r>
      <w:r>
        <w:rPr>
          <w:noProof/>
        </w:rPr>
        <w:tab/>
        <w:t>Priekšlikuma pamatojums un mērķi</w:t>
      </w:r>
    </w:p>
    <w:p>
      <w:pPr>
        <w:spacing w:before="60" w:after="60"/>
        <w:rPr>
          <w:rFonts w:eastAsia="Arial Unicode MS"/>
          <w:noProof/>
        </w:rPr>
      </w:pPr>
      <w:r>
        <w:rPr>
          <w:noProof/>
        </w:rPr>
        <w:t>Komisija ierosina sarunās apspriest jaunu protokolu, kuru pievieno ar Senegālas Republiku noslēgtajam ilgtspējīgas zivsaimniecības partnerattiecību nolīgumam, kas atbilst Savienības flotes vajadzībām un ir saskaņā ar Regulu (ES) Nr. 1380/2013 par kopējo zivsaimniecības politiku (KZP) un Padomes 2012. gada 19. marta secinājumiem par Komisijas paziņojumu par kopējās zivsaimniecības politikas ārējo dimensiju.</w:t>
      </w:r>
    </w:p>
    <w:p>
      <w:pPr>
        <w:pStyle w:val="ManualHeading2"/>
        <w:rPr>
          <w:rFonts w:eastAsia="Arial Unicode MS"/>
          <w:noProof/>
          <w:u w:color="000000"/>
          <w:bdr w:val="nil"/>
        </w:rPr>
      </w:pPr>
      <w:r>
        <w:rPr>
          <w:noProof/>
        </w:rPr>
        <w:t>•</w:t>
      </w:r>
      <w:r>
        <w:rPr>
          <w:noProof/>
        </w:rPr>
        <w:tab/>
        <w:t>Saskanība ar pašreizējiem noteikumiem konkrētajā rīcībpolitikas jomā</w:t>
      </w:r>
    </w:p>
    <w:p>
      <w:pPr>
        <w:pBdr>
          <w:top w:val="nil"/>
          <w:left w:val="nil"/>
          <w:bottom w:val="nil"/>
          <w:right w:val="nil"/>
          <w:between w:val="nil"/>
          <w:bar w:val="nil"/>
        </w:pBdr>
        <w:spacing w:before="0" w:after="240"/>
        <w:rPr>
          <w:rFonts w:eastAsia="Arial Unicode MS"/>
          <w:noProof/>
          <w:szCs w:val="24"/>
        </w:rPr>
      </w:pPr>
      <w:r>
        <w:rPr>
          <w:noProof/>
        </w:rPr>
        <w:t>Pašreizējais Eiropas Savienības un Senegālas Ilgtspējīgas zivsaimniecības partnerattiecību nolīgums (IZPN)</w:t>
      </w:r>
      <w:r>
        <w:rPr>
          <w:rStyle w:val="FootnoteReference"/>
          <w:noProof/>
        </w:rPr>
        <w:footnoteReference w:id="1"/>
      </w:r>
      <w:r>
        <w:rPr>
          <w:noProof/>
        </w:rPr>
        <w:t xml:space="preserve"> ir parakstīts 2014. gada 20. novembrī</w:t>
      </w:r>
      <w:r>
        <w:rPr>
          <w:rStyle w:val="FootnoteReference"/>
          <w:noProof/>
        </w:rPr>
        <w:footnoteReference w:id="2"/>
      </w:r>
      <w:r>
        <w:rPr>
          <w:noProof/>
        </w:rPr>
        <w:t>. Pašreizējo piecu gadu protokolu</w:t>
      </w:r>
      <w:r>
        <w:rPr>
          <w:rStyle w:val="FootnoteReference"/>
          <w:noProof/>
        </w:rPr>
        <w:footnoteReference w:id="3"/>
      </w:r>
      <w:r>
        <w:rPr>
          <w:noProof/>
        </w:rPr>
        <w:t>, kas pievienots IZPN, sāka piemērot 2014. gada 20. novembrī</w:t>
      </w:r>
      <w:r>
        <w:rPr>
          <w:rStyle w:val="FootnoteReference"/>
          <w:noProof/>
        </w:rPr>
        <w:footnoteReference w:id="4"/>
      </w:r>
      <w:r>
        <w:rPr>
          <w:noProof/>
        </w:rPr>
        <w:t xml:space="preserve">, un tā termiņš beigsies 2019. gada 19. novembrī. Šajā protokolā noteiktas Savienības flotei piešķirtās zvejas iespējas un atbilstošais finansiālais ieguldījums, ko maksā Savienība un kuģu īpašnieki. </w:t>
      </w:r>
    </w:p>
    <w:p>
      <w:pPr>
        <w:pBdr>
          <w:top w:val="nil"/>
          <w:left w:val="nil"/>
          <w:bottom w:val="nil"/>
          <w:right w:val="nil"/>
          <w:between w:val="nil"/>
          <w:bar w:val="nil"/>
        </w:pBdr>
        <w:spacing w:before="0" w:after="240"/>
        <w:rPr>
          <w:rFonts w:eastAsia="Arial Unicode MS"/>
          <w:noProof/>
          <w:szCs w:val="24"/>
        </w:rPr>
      </w:pPr>
      <w:r>
        <w:rPr>
          <w:noProof/>
        </w:rPr>
        <w:t>Ikgadējais ES publiskais finansiālais ieguldījums, kas pienākas Senegālai, ir 1 058 000 EUR pirmajā gadā, 988 000 EUR otrajā, trešajā un ceturtajā gadā un 918 000 EUR piektajā gadā un atbilst atsauces daudzumam 14 000 tonnu gadā. Turklāt šajā piecu gadu laikposmā 750 000 EUR gadā ir paredzēti nozariskajam atbalstam.</w:t>
      </w:r>
    </w:p>
    <w:p>
      <w:pPr>
        <w:spacing w:before="60" w:after="240"/>
        <w:rPr>
          <w:rFonts w:eastAsia="Arial Unicode MS"/>
          <w:noProof/>
        </w:rPr>
      </w:pPr>
      <w:r>
        <w:rPr>
          <w:noProof/>
        </w:rPr>
        <w:t>Ar Senegālu noslēgtais IZPN paredz tunzivju un tālu migrējošo sugu zvejas iespējas dažiem divu ES dalībvalstu (Spānijas un Francijas) kuģiem un demersālo sugu zvejas iespējas diviem (Spānijas) kuģiem. Eiropas Savienībai jau ir labi attīstīts divpusēju ilgtspējīgas zivsaimniecības partnerattiecību nolīgumu tīkls Atlantijas okeānā pie Rietumāfrikas krastiem – IZPN ir noslēgti ar Maroku, Mauritāniju, Gambiju, Gvineju-Bisavu, Libēriju un Kotdivuāru.</w:t>
      </w:r>
    </w:p>
    <w:p>
      <w:pPr>
        <w:pBdr>
          <w:top w:val="nil"/>
          <w:left w:val="nil"/>
          <w:bottom w:val="nil"/>
          <w:right w:val="nil"/>
          <w:between w:val="nil"/>
          <w:bar w:val="nil"/>
        </w:pBdr>
        <w:spacing w:before="0" w:after="240"/>
        <w:rPr>
          <w:rFonts w:eastAsia="Arial Unicode MS"/>
          <w:noProof/>
        </w:rPr>
      </w:pPr>
      <w:r>
        <w:rPr>
          <w:noProof/>
        </w:rPr>
        <w:t>IZPN palīdz popularizēt KZP mērķus starptautiskā mērogā, nodrošinot to, ka Savienības zvejas darbības ārpus Savienības ūdeņiem ir balstītas uz tiem pašiem principiem un standartiem kā tie, kas piemērojami saskaņā ar Savienības tiesību aktiem. Turklāt, atbalstot nacionālo un ārvalstu flotu darbību uzraudzību, kontroli un pārraudzību un nodrošinot finansējumu cīņai pret nelegālu, nereģistrētu un neregulētu (NNN) zveju, lai šādi veicinātu ilgtspējīgu vietējās zvejniecības nozares attīstību, IZPN veicina zinātnisko sadarbību starp ES un tās partnervalstīm, labākas zvejas resursu pārvaldības nolūkā sekmē pārredzamību un ilgtspējību un sekmē arī pašu pārvaldību. IZPN stiprina ES pozīciju starptautiskās un reģionālās zvejniecības organizācijās: Senegālas gadījumā tā ir Starptautiskā Atlantijas tunzivju saglabāšanas komisija (</w:t>
      </w:r>
      <w:r>
        <w:rPr>
          <w:i/>
          <w:noProof/>
        </w:rPr>
        <w:t>ICCAT</w:t>
      </w:r>
      <w:r>
        <w:rPr>
          <w:noProof/>
        </w:rPr>
        <w:t>)</w:t>
      </w:r>
      <w:r>
        <w:rPr>
          <w:rStyle w:val="FootnoteReference"/>
          <w:noProof/>
        </w:rPr>
        <w:footnoteReference w:id="5"/>
      </w:r>
      <w:r>
        <w:rPr>
          <w:noProof/>
        </w:rPr>
        <w:t>. Visbeidzot, IZPN pamatojas uz labākajiem pieejamajiem zinātniskajiem ieteikumiem un palīdz uzlabot atbilstību starptautiskiem pasākumiem, to vidū prasībai apkarot nelegālu, nereģistrētu un neregulētu (NNN) zveju.</w:t>
      </w:r>
    </w:p>
    <w:p>
      <w:pPr>
        <w:pStyle w:val="ManualHeading2"/>
        <w:rPr>
          <w:rFonts w:eastAsia="Arial Unicode MS"/>
          <w:noProof/>
        </w:rPr>
      </w:pPr>
      <w:r>
        <w:rPr>
          <w:noProof/>
        </w:rPr>
        <w:t>•</w:t>
      </w:r>
      <w:r>
        <w:rPr>
          <w:noProof/>
        </w:rPr>
        <w:tab/>
        <w:t>Saskanība ar citām Savienības rīcībpolitikas jomām</w:t>
      </w:r>
    </w:p>
    <w:p>
      <w:pPr>
        <w:pBdr>
          <w:top w:val="nil"/>
          <w:left w:val="nil"/>
          <w:bottom w:val="nil"/>
          <w:right w:val="nil"/>
          <w:between w:val="nil"/>
          <w:bar w:val="nil"/>
        </w:pBdr>
        <w:spacing w:before="0" w:after="240"/>
        <w:rPr>
          <w:rFonts w:eastAsia="Arial Unicode MS"/>
          <w:noProof/>
        </w:rPr>
      </w:pPr>
      <w:r>
        <w:rPr>
          <w:noProof/>
        </w:rPr>
        <w:t>Sarunas par jaunu protokolu ar Senegālu ir saskaņā ar ES ārējo darbību attiecībā uz Āfrikas, Karību jūras reģiona un Klusā okeāna (ĀKK) valstīm un jo īpaši ar Savienības mērķiem attiecībā uz demokrātijas principiem un cilvēktiesībām.</w:t>
      </w:r>
    </w:p>
    <w:p>
      <w:pPr>
        <w:pBdr>
          <w:top w:val="nil"/>
          <w:left w:val="nil"/>
          <w:bottom w:val="nil"/>
          <w:right w:val="nil"/>
          <w:between w:val="nil"/>
          <w:bar w:val="nil"/>
        </w:pBdr>
        <w:spacing w:before="0" w:after="240"/>
        <w:rPr>
          <w:noProof/>
          <w:szCs w:val="24"/>
        </w:rPr>
      </w:pPr>
      <w:r>
        <w:rPr>
          <w:noProof/>
        </w:rPr>
        <w:t xml:space="preserve">Kaut arī tikai vietējā mērogā, saimnieciskās darbības radīšana Senegālas zvejniecībā palīdzēs novērst cēloņus, kas izraisa nelikumīgu migrāciju no šīs valsts. </w:t>
      </w:r>
    </w:p>
    <w:p>
      <w:pPr>
        <w:pBdr>
          <w:top w:val="nil"/>
          <w:left w:val="nil"/>
          <w:bottom w:val="nil"/>
          <w:right w:val="nil"/>
          <w:between w:val="nil"/>
          <w:bar w:val="nil"/>
        </w:pBdr>
        <w:spacing w:before="0" w:after="240"/>
        <w:rPr>
          <w:rFonts w:eastAsia="Arial Unicode MS"/>
          <w:noProof/>
        </w:rPr>
      </w:pPr>
      <w:r>
        <w:rPr>
          <w:noProof/>
        </w:rPr>
        <w:t xml:space="preserve"> </w:t>
      </w:r>
    </w:p>
    <w:p>
      <w:pPr>
        <w:pStyle w:val="ManualHeading1"/>
        <w:rPr>
          <w:noProof/>
        </w:rPr>
      </w:pPr>
      <w:r>
        <w:rPr>
          <w:noProof/>
        </w:rPr>
        <w:t>2.</w:t>
      </w:r>
      <w:r>
        <w:rPr>
          <w:noProof/>
        </w:rPr>
        <w:tab/>
        <w:t xml:space="preserve">IETEIKUMA JURIDISKIE ASPEKTI </w:t>
      </w:r>
    </w:p>
    <w:p>
      <w:pPr>
        <w:pStyle w:val="ManualHeading2"/>
        <w:rPr>
          <w:rFonts w:eastAsia="Arial Unicode MS"/>
          <w:noProof/>
          <w:u w:color="000000"/>
          <w:bdr w:val="nil"/>
        </w:rPr>
      </w:pPr>
      <w:r>
        <w:rPr>
          <w:noProof/>
        </w:rPr>
        <w:t>•</w:t>
      </w:r>
      <w:r>
        <w:rPr>
          <w:noProof/>
        </w:rPr>
        <w:tab/>
        <w:t>Juridiskais pamats</w:t>
      </w:r>
    </w:p>
    <w:p>
      <w:pPr>
        <w:pBdr>
          <w:top w:val="nil"/>
          <w:left w:val="nil"/>
          <w:bottom w:val="nil"/>
          <w:right w:val="nil"/>
          <w:between w:val="nil"/>
          <w:bar w:val="nil"/>
        </w:pBdr>
        <w:spacing w:before="0" w:after="240"/>
        <w:rPr>
          <w:rFonts w:eastAsia="Arial Unicode MS"/>
          <w:noProof/>
        </w:rPr>
      </w:pPr>
      <w:r>
        <w:rPr>
          <w:noProof/>
        </w:rPr>
        <w:t>Šā lēmuma juridiskais pamats ir Līguma par Eiropas Savienības darbību (LESD) piektās daļas par Savienības ārējo darbību V sadaļas par starptautiskiem nolīgumiem 218. pants, kurā noteikta procedūra, kādā notiek sarunu risināšana un nolīgumu slēgšana starp ES un trešām valstīm.</w:t>
      </w:r>
    </w:p>
    <w:p>
      <w:pPr>
        <w:pStyle w:val="ManualHeading2"/>
        <w:rPr>
          <w:rFonts w:eastAsia="Arial Unicode MS"/>
          <w:noProof/>
          <w:u w:color="000000"/>
          <w:bdr w:val="nil"/>
        </w:rPr>
      </w:pPr>
      <w:r>
        <w:rPr>
          <w:noProof/>
        </w:rPr>
        <w:t>•</w:t>
      </w:r>
      <w:r>
        <w:rPr>
          <w:noProof/>
        </w:rPr>
        <w:tab/>
        <w:t xml:space="preserve">Subsidiaritāte (neekskluzīvas kompetences gadījumā) </w:t>
      </w:r>
    </w:p>
    <w:p>
      <w:pPr>
        <w:pBdr>
          <w:top w:val="nil"/>
          <w:left w:val="nil"/>
          <w:bottom w:val="nil"/>
          <w:right w:val="nil"/>
          <w:between w:val="nil"/>
          <w:bar w:val="nil"/>
        </w:pBdr>
        <w:spacing w:before="0" w:after="240"/>
        <w:rPr>
          <w:rFonts w:eastAsia="Arial Unicode MS"/>
          <w:noProof/>
        </w:rPr>
      </w:pPr>
      <w:r>
        <w:rPr>
          <w:noProof/>
        </w:rPr>
        <w:t>Neattiecas, jautājums ir ekskluzīvā kompetencē.</w:t>
      </w:r>
    </w:p>
    <w:p>
      <w:pPr>
        <w:pStyle w:val="ManualHeading2"/>
        <w:rPr>
          <w:rFonts w:eastAsia="Arial Unicode MS"/>
          <w:noProof/>
          <w:u w:color="000000"/>
          <w:bdr w:val="nil"/>
        </w:rPr>
      </w:pPr>
      <w:r>
        <w:rPr>
          <w:noProof/>
        </w:rPr>
        <w:t>•</w:t>
      </w:r>
      <w:r>
        <w:rPr>
          <w:noProof/>
        </w:rPr>
        <w:tab/>
        <w:t>Proporcionalitāte</w:t>
      </w:r>
    </w:p>
    <w:p>
      <w:pPr>
        <w:pBdr>
          <w:top w:val="nil"/>
          <w:left w:val="nil"/>
          <w:bottom w:val="nil"/>
          <w:right w:val="nil"/>
          <w:between w:val="nil"/>
          <w:bar w:val="nil"/>
        </w:pBdr>
        <w:spacing w:before="0" w:after="240"/>
        <w:rPr>
          <w:rFonts w:eastAsia="Arial Unicode MS"/>
          <w:noProof/>
        </w:rPr>
      </w:pPr>
      <w:r>
        <w:rPr>
          <w:noProof/>
        </w:rPr>
        <w:t>Lēmums ir samērīgs ar mērķi.</w:t>
      </w:r>
    </w:p>
    <w:p>
      <w:pPr>
        <w:pStyle w:val="ManualHeading2"/>
        <w:rPr>
          <w:rFonts w:eastAsia="Arial Unicode MS"/>
          <w:noProof/>
          <w:u w:color="000000"/>
          <w:bdr w:val="nil"/>
        </w:rPr>
      </w:pPr>
      <w:r>
        <w:rPr>
          <w:noProof/>
        </w:rPr>
        <w:t>•</w:t>
      </w:r>
      <w:r>
        <w:rPr>
          <w:noProof/>
        </w:rPr>
        <w:tab/>
        <w:t>Juridiskā instrumenta izvēle</w:t>
      </w:r>
    </w:p>
    <w:p>
      <w:pPr>
        <w:pBdr>
          <w:top w:val="nil"/>
          <w:left w:val="nil"/>
          <w:bottom w:val="nil"/>
          <w:right w:val="nil"/>
          <w:between w:val="nil"/>
          <w:bar w:val="nil"/>
        </w:pBdr>
        <w:spacing w:before="0" w:after="240"/>
        <w:rPr>
          <w:rFonts w:eastAsia="Arial Unicode MS"/>
          <w:noProof/>
        </w:rPr>
      </w:pPr>
      <w:r>
        <w:rPr>
          <w:noProof/>
        </w:rPr>
        <w:t>Instruments ir paredzēts LESD 218. panta 3. punktā un 218. panta 4. punktā.</w:t>
      </w:r>
    </w:p>
    <w:p>
      <w:pPr>
        <w:pBdr>
          <w:top w:val="nil"/>
          <w:left w:val="nil"/>
          <w:bottom w:val="nil"/>
          <w:right w:val="nil"/>
          <w:between w:val="nil"/>
          <w:bar w:val="nil"/>
        </w:pBdr>
        <w:spacing w:before="0" w:after="240"/>
        <w:rPr>
          <w:rFonts w:eastAsia="Arial Unicode MS"/>
          <w:noProof/>
        </w:rPr>
      </w:pPr>
    </w:p>
    <w:p>
      <w:pPr>
        <w:pStyle w:val="ManualHeading1"/>
        <w:rPr>
          <w:noProof/>
        </w:rPr>
      </w:pPr>
      <w:r>
        <w:rPr>
          <w:noProof/>
        </w:rPr>
        <w:t>3.</w:t>
      </w:r>
      <w:r>
        <w:rPr>
          <w:noProof/>
        </w:rPr>
        <w:tab/>
      </w:r>
      <w:r>
        <w:rPr>
          <w:i/>
          <w:noProof/>
        </w:rPr>
        <w:t>EX POST</w:t>
      </w:r>
      <w:r>
        <w:rPr>
          <w:noProof/>
        </w:rPr>
        <w:t xml:space="preserve"> IZVĒRTĒJUMU, APSPRIEŠANĀS AR IEINTERESĒTAJĀM PERSONĀM UN IETEKMES NOVĒRTĒJUMU REZULTĀTI</w:t>
      </w:r>
    </w:p>
    <w:p>
      <w:pPr>
        <w:pStyle w:val="ManualHeading2"/>
        <w:rPr>
          <w:rFonts w:eastAsia="Arial Unicode MS"/>
          <w:noProof/>
          <w:u w:color="000000"/>
          <w:bdr w:val="nil"/>
        </w:rPr>
      </w:pPr>
      <w:r>
        <w:rPr>
          <w:noProof/>
        </w:rPr>
        <w:t>•</w:t>
      </w:r>
      <w:r>
        <w:rPr>
          <w:noProof/>
        </w:rPr>
        <w:tab/>
      </w:r>
      <w:r>
        <w:rPr>
          <w:i/>
          <w:noProof/>
        </w:rPr>
        <w:t>Ex post</w:t>
      </w:r>
      <w:r>
        <w:rPr>
          <w:noProof/>
        </w:rPr>
        <w:t xml:space="preserve"> izvērtējumi / spēkā esošo tiesību aktu atbilstības pārbaudes</w:t>
      </w:r>
    </w:p>
    <w:p>
      <w:pPr>
        <w:pBdr>
          <w:top w:val="nil"/>
          <w:left w:val="nil"/>
          <w:bottom w:val="nil"/>
          <w:right w:val="nil"/>
          <w:between w:val="nil"/>
          <w:bar w:val="nil"/>
        </w:pBdr>
        <w:spacing w:before="0" w:after="240"/>
        <w:rPr>
          <w:rFonts w:eastAsia="Arial Unicode MS"/>
          <w:noProof/>
        </w:rPr>
      </w:pPr>
      <w:r>
        <w:rPr>
          <w:noProof/>
        </w:rPr>
        <w:t>Komisija 2019. gadā retrospektīvi (</w:t>
      </w:r>
      <w:r>
        <w:rPr>
          <w:i/>
          <w:noProof/>
        </w:rPr>
        <w:t>ex post</w:t>
      </w:r>
      <w:r>
        <w:rPr>
          <w:noProof/>
        </w:rPr>
        <w:t>) izvērtēja pašreizējo protokolu, kas pievienots ar Senegālu noslēgtajam IZPN, un provizoriski (</w:t>
      </w:r>
      <w:r>
        <w:rPr>
          <w:i/>
          <w:noProof/>
        </w:rPr>
        <w:t>ex ante</w:t>
      </w:r>
      <w:r>
        <w:rPr>
          <w:noProof/>
        </w:rPr>
        <w:t>) – iespējamu protokola atjaunošanu. Izvērtējuma secinājumi ir izklāstīti atsevišķā Komisijas dienestu darba dokumentā</w:t>
      </w:r>
      <w:r>
        <w:rPr>
          <w:rStyle w:val="FootnoteReference"/>
          <w:noProof/>
        </w:rPr>
        <w:footnoteReference w:id="6"/>
      </w:r>
      <w:r>
        <w:rPr>
          <w:noProof/>
        </w:rPr>
        <w:t xml:space="preserve">. </w:t>
      </w:r>
    </w:p>
    <w:p>
      <w:pPr>
        <w:pBdr>
          <w:top w:val="nil"/>
          <w:left w:val="nil"/>
          <w:bottom w:val="nil"/>
          <w:right w:val="nil"/>
          <w:between w:val="nil"/>
          <w:bar w:val="nil"/>
        </w:pBdr>
        <w:spacing w:before="0" w:after="240"/>
        <w:rPr>
          <w:rFonts w:eastAsia="Arial Unicode MS"/>
          <w:noProof/>
        </w:rPr>
      </w:pPr>
      <w:r>
        <w:rPr>
          <w:noProof/>
        </w:rPr>
        <w:t xml:space="preserve">Izvērtējumā secināts, ka ES (gan tunzivju, gan demersālo sugu) zvejas sektorā ir liela interese par zvejošanu Senegālas ūdeņos un ka protokola atjaunošana palīdzētu stiprināt reģiona zvejniecību uzraudzību, kontroli un pārraudzību un veicinātu to labāku pārvaldību. No ES skatpunkta ir svarīgi saglabāt instrumentu, kas ļauj īstenot nozarisku sadarbību ar Senegālu – subreģionālā līmenī nozīmīgu partneri. Paredzētais jaunais protokols gan ES zvejas sektoram, gan partnervalstij ir svarīgs arī tāpēc, ka Dakāra ir viena no lielākajām izkraušanas ostām. Senegālas iestāžu mērķis ir turpināt attiecības ar ES, lai stiprinātu okeāna pārvaldību, tālab izmantojot īpašu nozarisko atbalstu un tā dotās daudzgadu finansēšanas iespējas. </w:t>
      </w:r>
    </w:p>
    <w:p>
      <w:pPr>
        <w:pStyle w:val="ManualHeading2"/>
        <w:rPr>
          <w:rFonts w:eastAsia="Arial Unicode MS"/>
          <w:noProof/>
          <w:u w:color="000000"/>
          <w:bdr w:val="nil"/>
        </w:rPr>
      </w:pPr>
      <w:r>
        <w:rPr>
          <w:noProof/>
        </w:rPr>
        <w:t>•</w:t>
      </w:r>
      <w:r>
        <w:rPr>
          <w:noProof/>
        </w:rPr>
        <w:tab/>
        <w:t>Apspriešanās ar ieinteresētajām personām</w:t>
      </w:r>
    </w:p>
    <w:p>
      <w:pPr>
        <w:pBdr>
          <w:top w:val="nil"/>
          <w:left w:val="nil"/>
          <w:bottom w:val="nil"/>
          <w:right w:val="nil"/>
          <w:between w:val="nil"/>
          <w:bar w:val="nil"/>
        </w:pBdr>
        <w:spacing w:before="0" w:after="240"/>
        <w:rPr>
          <w:rFonts w:eastAsia="Arial Unicode MS"/>
          <w:noProof/>
        </w:rPr>
      </w:pPr>
      <w:r>
        <w:rPr>
          <w:noProof/>
        </w:rPr>
        <w:t>Izvērtēšanas procesā notika apspriešanās ar dalībvalstīm, nozares pārstāvjiem, starptautiskām pilsoniskās sabiedrības organizācijām, kā arī ar Senegālas zivsaimniecības pārvaldītājiem un pilsonisko sabiedrību. Apspriešanās notika arī Tāljūras flotes konsultatīvajā padomē.</w:t>
      </w:r>
    </w:p>
    <w:p>
      <w:pPr>
        <w:pStyle w:val="ManualHeading2"/>
        <w:rPr>
          <w:rFonts w:eastAsia="Arial Unicode MS"/>
          <w:noProof/>
          <w:u w:color="000000"/>
          <w:bdr w:val="nil"/>
        </w:rPr>
      </w:pPr>
      <w:r>
        <w:rPr>
          <w:noProof/>
        </w:rPr>
        <w:t>•</w:t>
      </w:r>
      <w:r>
        <w:rPr>
          <w:noProof/>
        </w:rPr>
        <w:tab/>
        <w:t>Ekspertu atzinumu pieprasīšana un izmantošana</w:t>
      </w:r>
    </w:p>
    <w:p>
      <w:pPr>
        <w:pBdr>
          <w:top w:val="nil"/>
          <w:left w:val="nil"/>
          <w:bottom w:val="nil"/>
          <w:right w:val="nil"/>
          <w:between w:val="nil"/>
          <w:bar w:val="nil"/>
        </w:pBdr>
        <w:spacing w:before="0" w:after="240"/>
        <w:rPr>
          <w:rFonts w:eastAsia="Arial Unicode MS"/>
          <w:noProof/>
        </w:rPr>
      </w:pPr>
      <w:r>
        <w:rPr>
          <w:noProof/>
        </w:rPr>
        <w:t>Neattiecas.</w:t>
      </w:r>
    </w:p>
    <w:p>
      <w:pPr>
        <w:pStyle w:val="ManualHeading2"/>
        <w:rPr>
          <w:rFonts w:eastAsia="Arial Unicode MS"/>
          <w:noProof/>
          <w:u w:color="000000"/>
          <w:bdr w:val="nil"/>
        </w:rPr>
      </w:pPr>
      <w:r>
        <w:rPr>
          <w:noProof/>
        </w:rPr>
        <w:t>•</w:t>
      </w:r>
      <w:r>
        <w:rPr>
          <w:noProof/>
        </w:rPr>
        <w:tab/>
        <w:t>Ietekmes novērtējums</w:t>
      </w:r>
    </w:p>
    <w:p>
      <w:pPr>
        <w:pBdr>
          <w:top w:val="nil"/>
          <w:left w:val="nil"/>
          <w:bottom w:val="nil"/>
          <w:right w:val="nil"/>
          <w:between w:val="nil"/>
          <w:bar w:val="nil"/>
        </w:pBdr>
        <w:spacing w:before="0" w:after="240"/>
        <w:rPr>
          <w:rFonts w:eastAsia="Arial Unicode MS"/>
          <w:noProof/>
        </w:rPr>
      </w:pPr>
      <w:r>
        <w:rPr>
          <w:noProof/>
        </w:rPr>
        <w:t>Neattiecas.</w:t>
      </w:r>
    </w:p>
    <w:p>
      <w:pPr>
        <w:pStyle w:val="ManualHeading2"/>
        <w:rPr>
          <w:rFonts w:eastAsia="Arial Unicode MS"/>
          <w:noProof/>
          <w:u w:color="000000"/>
          <w:bdr w:val="nil"/>
        </w:rPr>
      </w:pPr>
      <w:r>
        <w:rPr>
          <w:noProof/>
        </w:rPr>
        <w:t>•</w:t>
      </w:r>
      <w:r>
        <w:rPr>
          <w:noProof/>
        </w:rPr>
        <w:tab/>
        <w:t>Normatīvā atbilstība un vienkāršošana</w:t>
      </w:r>
    </w:p>
    <w:p>
      <w:pPr>
        <w:pBdr>
          <w:top w:val="nil"/>
          <w:left w:val="nil"/>
          <w:bottom w:val="nil"/>
          <w:right w:val="nil"/>
          <w:between w:val="nil"/>
          <w:bar w:val="nil"/>
        </w:pBdr>
        <w:spacing w:before="0" w:after="240"/>
        <w:rPr>
          <w:rFonts w:eastAsia="Arial Unicode MS"/>
          <w:noProof/>
        </w:rPr>
      </w:pPr>
      <w:r>
        <w:rPr>
          <w:noProof/>
        </w:rPr>
        <w:t>Neattiecas.</w:t>
      </w:r>
    </w:p>
    <w:p>
      <w:pPr>
        <w:pStyle w:val="ManualHeading2"/>
        <w:rPr>
          <w:rFonts w:eastAsia="Arial Unicode MS"/>
          <w:noProof/>
          <w:u w:color="000000"/>
          <w:bdr w:val="nil"/>
        </w:rPr>
      </w:pPr>
      <w:r>
        <w:rPr>
          <w:noProof/>
        </w:rPr>
        <w:t>•</w:t>
      </w:r>
      <w:r>
        <w:rPr>
          <w:noProof/>
        </w:rPr>
        <w:tab/>
        <w:t>Pamattiesības</w:t>
      </w:r>
    </w:p>
    <w:p>
      <w:pPr>
        <w:pBdr>
          <w:top w:val="nil"/>
          <w:left w:val="nil"/>
          <w:bottom w:val="nil"/>
          <w:right w:val="nil"/>
          <w:between w:val="nil"/>
          <w:bar w:val="nil"/>
        </w:pBdr>
        <w:spacing w:before="0" w:after="240"/>
        <w:rPr>
          <w:rFonts w:eastAsia="Arial Unicode MS"/>
          <w:noProof/>
        </w:rPr>
      </w:pPr>
      <w:r>
        <w:rPr>
          <w:noProof/>
        </w:rPr>
        <w:t>Sarunu norādēs, kuras ierosinātas kā pielikums lēmumam, ar ko pilnvaro sākt sarunas, ir ieteikts iekļaut klauzulu par to, kādas ir cilvēktiesību un demokrātijas principu pārkāpšanas sekas.</w:t>
      </w:r>
    </w:p>
    <w:p>
      <w:pPr>
        <w:pStyle w:val="ManualHeading1"/>
        <w:rPr>
          <w:noProof/>
        </w:rPr>
      </w:pPr>
      <w:r>
        <w:rPr>
          <w:noProof/>
        </w:rPr>
        <w:t>4.</w:t>
      </w:r>
      <w:r>
        <w:rPr>
          <w:noProof/>
        </w:rPr>
        <w:tab/>
        <w:t>IETEKME UZ BUDŽETU</w:t>
      </w:r>
    </w:p>
    <w:p>
      <w:pPr>
        <w:pBdr>
          <w:top w:val="nil"/>
          <w:left w:val="nil"/>
          <w:bottom w:val="nil"/>
          <w:right w:val="nil"/>
          <w:between w:val="nil"/>
          <w:bar w:val="nil"/>
        </w:pBdr>
        <w:spacing w:before="0" w:after="240"/>
        <w:rPr>
          <w:noProof/>
          <w:szCs w:val="24"/>
        </w:rPr>
      </w:pPr>
      <w:r>
        <w:rPr>
          <w:noProof/>
        </w:rPr>
        <w:t>Jaunajā protokolā būs paredzēts maksāt Senegālas Republikai finansiālu ieguldījumu, kas ir saderīgs ar daudzgadu finanšu shēmu (DFS) 2014.–2020. gadam, jo īpaši ar piešķīrumiem ilgtspējīgas zivsaimniecības partnerattiecību nolīgumiem paredzētajā budžeta pozīcijā. Ikgadējās saistību un maksājumu summas, to vidū rezerves pozīcija attiecībā uz priekšlikumiem, kuri nav stājušies spēkā gada sākumā</w:t>
      </w:r>
      <w:r>
        <w:rPr>
          <w:rStyle w:val="FootnoteReference"/>
          <w:noProof/>
        </w:rPr>
        <w:footnoteReference w:id="7"/>
      </w:r>
      <w:r>
        <w:rPr>
          <w:noProof/>
        </w:rPr>
        <w:t xml:space="preserve">, tiek noteiktas ikgadējā budžeta procedūrā. </w:t>
      </w:r>
    </w:p>
    <w:p>
      <w:pPr>
        <w:pStyle w:val="ManualHeading1"/>
        <w:rPr>
          <w:noProof/>
        </w:rPr>
      </w:pPr>
      <w:r>
        <w:rPr>
          <w:noProof/>
        </w:rPr>
        <w:t>5.</w:t>
      </w:r>
      <w:r>
        <w:rPr>
          <w:noProof/>
        </w:rPr>
        <w:tab/>
        <w:t>CITI ELEMENTI</w:t>
      </w:r>
    </w:p>
    <w:p>
      <w:pPr>
        <w:pStyle w:val="ManualHeading2"/>
        <w:rPr>
          <w:rFonts w:eastAsia="Arial Unicode MS"/>
          <w:noProof/>
          <w:u w:color="000000"/>
          <w:bdr w:val="nil"/>
        </w:rPr>
      </w:pPr>
      <w:r>
        <w:rPr>
          <w:noProof/>
        </w:rPr>
        <w:t>•</w:t>
      </w:r>
      <w:r>
        <w:rPr>
          <w:noProof/>
        </w:rPr>
        <w:tab/>
        <w:t>Īstenošanas plāni un uzraudzīšanas, izvērtēšanas un ziņošanas kārtība</w:t>
      </w:r>
    </w:p>
    <w:p>
      <w:pPr>
        <w:pBdr>
          <w:top w:val="nil"/>
          <w:left w:val="nil"/>
          <w:bottom w:val="nil"/>
          <w:right w:val="nil"/>
          <w:between w:val="nil"/>
          <w:bar w:val="nil"/>
        </w:pBdr>
        <w:spacing w:before="0" w:after="240"/>
        <w:rPr>
          <w:rFonts w:eastAsia="Arial Unicode MS"/>
          <w:noProof/>
        </w:rPr>
      </w:pPr>
      <w:r>
        <w:rPr>
          <w:noProof/>
        </w:rPr>
        <w:t>Sarunas plānots sākt 2019. gada otrajā ceturksnī.</w:t>
      </w:r>
    </w:p>
    <w:p>
      <w:pPr>
        <w:pStyle w:val="ManualHeading2"/>
        <w:rPr>
          <w:rFonts w:eastAsia="Arial Unicode MS"/>
          <w:noProof/>
          <w:u w:color="000000"/>
          <w:bdr w:val="nil"/>
        </w:rPr>
      </w:pPr>
      <w:r>
        <w:rPr>
          <w:noProof/>
        </w:rPr>
        <w:t>•</w:t>
      </w:r>
      <w:r>
        <w:rPr>
          <w:noProof/>
        </w:rPr>
        <w:tab/>
        <w:t>Detalizēts konkrētu priekšlikuma noteikumu skaidrojums</w:t>
      </w:r>
    </w:p>
    <w:p>
      <w:pPr>
        <w:pBdr>
          <w:top w:val="nil"/>
          <w:left w:val="nil"/>
          <w:bottom w:val="nil"/>
          <w:right w:val="nil"/>
          <w:between w:val="nil"/>
          <w:bar w:val="nil"/>
        </w:pBdr>
        <w:spacing w:before="0" w:after="240"/>
        <w:rPr>
          <w:rFonts w:eastAsia="Arial Unicode MS"/>
          <w:noProof/>
        </w:rPr>
      </w:pPr>
      <w:r>
        <w:rPr>
          <w:noProof/>
        </w:rPr>
        <w:t>Komisija iesaka:</w:t>
      </w:r>
    </w:p>
    <w:p>
      <w:pPr>
        <w:pBdr>
          <w:top w:val="nil"/>
          <w:left w:val="nil"/>
          <w:bottom w:val="nil"/>
          <w:right w:val="nil"/>
          <w:between w:val="nil"/>
          <w:bar w:val="nil"/>
        </w:pBdr>
        <w:spacing w:before="0" w:after="240"/>
        <w:rPr>
          <w:rFonts w:eastAsia="Arial Unicode MS"/>
          <w:noProof/>
        </w:rPr>
      </w:pPr>
      <w:r>
        <w:rPr>
          <w:noProof/>
        </w:rPr>
        <w:t>– Padomei pilnvarot Komisiju sākt un risināt sarunas, lai to rezultātā noslēgtu jaunu protokolu, ko pievieno ilgtspējīgas zivsaimniecības partnerattiecību nolīgumam ar Senegālas Republiku,</w:t>
      </w:r>
    </w:p>
    <w:p>
      <w:pPr>
        <w:pBdr>
          <w:top w:val="nil"/>
          <w:left w:val="nil"/>
          <w:bottom w:val="nil"/>
          <w:right w:val="nil"/>
          <w:between w:val="nil"/>
          <w:bar w:val="nil"/>
        </w:pBdr>
        <w:spacing w:before="0" w:after="240"/>
        <w:rPr>
          <w:rFonts w:eastAsia="Arial Unicode MS"/>
          <w:noProof/>
        </w:rPr>
      </w:pPr>
      <w:r>
        <w:rPr>
          <w:noProof/>
        </w:rPr>
        <w:t>– norīkot Komisiju par šo sarunu risinātāju no ES puses,</w:t>
      </w:r>
    </w:p>
    <w:p>
      <w:pPr>
        <w:pBdr>
          <w:top w:val="nil"/>
          <w:left w:val="nil"/>
          <w:bottom w:val="nil"/>
          <w:right w:val="nil"/>
          <w:between w:val="nil"/>
          <w:bar w:val="nil"/>
        </w:pBdr>
        <w:spacing w:before="0" w:after="240"/>
        <w:rPr>
          <w:rFonts w:eastAsia="Arial Unicode MS"/>
          <w:noProof/>
        </w:rPr>
      </w:pPr>
      <w:r>
        <w:rPr>
          <w:noProof/>
        </w:rPr>
        <w:t>– Komisijai sarunas risināt, apspriežoties ar īpašo komiteju, kas izveidota saskaņā ar Līgumu par Eiropas Savienības darbību,</w:t>
      </w:r>
    </w:p>
    <w:p>
      <w:pPr>
        <w:pBdr>
          <w:top w:val="nil"/>
          <w:left w:val="nil"/>
          <w:bottom w:val="nil"/>
          <w:right w:val="nil"/>
          <w:between w:val="nil"/>
          <w:bar w:val="nil"/>
        </w:pBdr>
        <w:spacing w:before="0" w:after="240"/>
        <w:rPr>
          <w:rFonts w:eastAsia="Arial Unicode MS"/>
          <w:noProof/>
        </w:rPr>
      </w:pPr>
      <w:r>
        <w:rPr>
          <w:noProof/>
        </w:rPr>
        <w:t xml:space="preserve">– Padomei apstiprināt šim ieteikumam pievienotās sarunu norādes. </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Statut"/>
        <w:rPr>
          <w:noProof/>
        </w:rPr>
      </w:pPr>
      <w:r>
        <w:rPr>
          <w:noProof/>
        </w:rPr>
        <w:t>Ieteikums</w:t>
      </w:r>
    </w:p>
    <w:p>
      <w:pPr>
        <w:pStyle w:val="Typedudocument"/>
        <w:rPr>
          <w:noProof/>
        </w:rPr>
      </w:pPr>
      <w:r>
        <w:rPr>
          <w:noProof/>
        </w:rPr>
        <w:t>PADOMES LĒMUMS</w:t>
      </w:r>
    </w:p>
    <w:p>
      <w:pPr>
        <w:pStyle w:val="Titreobjet"/>
        <w:rPr>
          <w:noProof/>
        </w:rPr>
      </w:pPr>
      <w:r>
        <w:rPr>
          <w:noProof/>
        </w:rPr>
        <w:t>pilnvarot Komisiju Eiropas Savienības vārdā sākt sarunas, lai noslēgtu protokolu, ko pievieno ilgtspējīgas zivsaimniecības partnerattiecību nolīgumam ar Senegālas Republiku</w:t>
      </w:r>
    </w:p>
    <w:p>
      <w:pPr>
        <w:pStyle w:val="Institutionquiagit"/>
        <w:rPr>
          <w:noProof/>
        </w:rPr>
      </w:pPr>
      <w:r>
        <w:rPr>
          <w:noProof/>
        </w:rPr>
        <w:t>EIROPAS SAVIENĪBAS PADOME,</w:t>
      </w:r>
    </w:p>
    <w:p>
      <w:pPr>
        <w:rPr>
          <w:noProof/>
        </w:rPr>
      </w:pPr>
      <w:r>
        <w:rPr>
          <w:noProof/>
        </w:rPr>
        <w:t>ņemot vērā Līgumu par Eiropas Savienības darbību un jo īpaši tā 218. panta 3. un 4. punktu,</w:t>
      </w:r>
    </w:p>
    <w:p>
      <w:pPr>
        <w:rPr>
          <w:noProof/>
        </w:rPr>
      </w:pPr>
      <w:r>
        <w:rPr>
          <w:noProof/>
        </w:rPr>
        <w:t>ņemot vērā Eiropas Komisijas ieteikumu,</w:t>
      </w:r>
    </w:p>
    <w:p>
      <w:pPr>
        <w:rPr>
          <w:noProof/>
          <w:szCs w:val="24"/>
        </w:rPr>
      </w:pPr>
      <w:r>
        <w:rPr>
          <w:noProof/>
        </w:rPr>
        <w:t>tā kā būtu jāuzsāk sarunas ar mērķi noslēgt jaunu protokolu, ko pievieno ilgtspējīgas zivsaimniecības partnerattiecību nolīgumam ar Senegālas Republiku,</w:t>
      </w:r>
    </w:p>
    <w:p>
      <w:pPr>
        <w:pStyle w:val="Formuledadoption"/>
        <w:rPr>
          <w:noProof/>
        </w:rPr>
      </w:pPr>
      <w:r>
        <w:rPr>
          <w:noProof/>
        </w:rPr>
        <w:t xml:space="preserve">IR PIEŅĒMUSI ŠO LĒMUMU. </w:t>
      </w:r>
    </w:p>
    <w:p>
      <w:pPr>
        <w:pStyle w:val="Titrearticle"/>
        <w:rPr>
          <w:noProof/>
        </w:rPr>
      </w:pPr>
      <w:r>
        <w:rPr>
          <w:noProof/>
        </w:rPr>
        <w:t>1. pants</w:t>
      </w:r>
    </w:p>
    <w:p>
      <w:pPr>
        <w:rPr>
          <w:noProof/>
        </w:rPr>
      </w:pPr>
      <w:bookmarkStart w:id="1" w:name="_CopyToNewDocument_"/>
      <w:bookmarkEnd w:id="1"/>
      <w:r>
        <w:rPr>
          <w:noProof/>
        </w:rPr>
        <w:t>Komisija tiek pilnvarota sākt sarunas ar Senegālu, lai to rezultātā noslēgtu jaunu protokolu, ko pievieno ilgtspējīgas zivsaimniecības partnerattiecību nolīgumam ar Senegālas Republiku.</w:t>
      </w:r>
    </w:p>
    <w:p>
      <w:pPr>
        <w:pStyle w:val="Titrearticle"/>
        <w:rPr>
          <w:noProof/>
        </w:rPr>
      </w:pPr>
      <w:r>
        <w:rPr>
          <w:noProof/>
        </w:rPr>
        <w:t>2. pants</w:t>
      </w:r>
    </w:p>
    <w:p>
      <w:pPr>
        <w:rPr>
          <w:noProof/>
        </w:rPr>
      </w:pPr>
      <w:r>
        <w:rPr>
          <w:noProof/>
        </w:rPr>
        <w:t>Minētās sarunas risina, apspriežoties ar [īpašās komitejas nosaukumu ieraksta Padome] un pamatojoties uz sarunu norādēm, kas pievienotas šā lēmuma pielikumā.</w:t>
      </w:r>
    </w:p>
    <w:p>
      <w:pPr>
        <w:pStyle w:val="Titrearticle"/>
        <w:rPr>
          <w:noProof/>
        </w:rPr>
      </w:pPr>
      <w:r>
        <w:rPr>
          <w:noProof/>
        </w:rPr>
        <w:t>3. pants</w:t>
      </w:r>
    </w:p>
    <w:p>
      <w:pPr>
        <w:rPr>
          <w:noProof/>
        </w:rPr>
      </w:pPr>
      <w:r>
        <w:rPr>
          <w:noProof/>
        </w:rPr>
        <w:t>Šis lēmums ir adresēts Komisijai.</w:t>
      </w:r>
    </w:p>
    <w:p>
      <w:pPr>
        <w:rPr>
          <w:noProof/>
        </w:rPr>
      </w:pPr>
    </w:p>
    <w:p>
      <w:pPr>
        <w:pStyle w:val="Fait"/>
        <w:rPr>
          <w:noProof/>
        </w:rPr>
      </w:pPr>
      <w:r>
        <w:t>Briselē,</w:t>
      </w:r>
    </w:p>
    <w:p>
      <w:pPr>
        <w:pStyle w:val="Institutionquisigne"/>
        <w:rPr>
          <w:noProof/>
        </w:rPr>
      </w:pPr>
      <w:r>
        <w:rPr>
          <w:noProof/>
        </w:rPr>
        <w:tab/>
        <w:t>Padomes vārdā –</w:t>
      </w:r>
    </w:p>
    <w:p>
      <w:pPr>
        <w:pStyle w:val="Personnequisigne"/>
        <w:rPr>
          <w:noProof/>
        </w:rPr>
      </w:pPr>
      <w:r>
        <w:rPr>
          <w:noProof/>
        </w:rPr>
        <w:tab/>
        <w:t>priekšsēdētājs</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nn-NO"/>
        </w:rPr>
      </w:pPr>
      <w:r>
        <w:rPr>
          <w:rStyle w:val="FootnoteReference"/>
        </w:rPr>
        <w:footnoteRef/>
      </w:r>
      <w:r>
        <w:tab/>
        <w:t>OV L 304, 23.10.2014., 3. lpp.</w:t>
      </w:r>
    </w:p>
  </w:footnote>
  <w:footnote w:id="2">
    <w:p>
      <w:pPr>
        <w:pStyle w:val="FootnoteText"/>
      </w:pPr>
      <w:r>
        <w:rPr>
          <w:rStyle w:val="FootnoteReference"/>
        </w:rPr>
        <w:footnoteRef/>
      </w:r>
      <w:r>
        <w:tab/>
      </w:r>
      <w:r>
        <w:rPr>
          <w:rStyle w:val="Hyperlink"/>
        </w:rPr>
        <w:t>https://www.consilium.europa.eu/en/documents-publications/treaties-agreements/agreement/?id=2014055&amp;DocLanguage=en.</w:t>
      </w:r>
    </w:p>
  </w:footnote>
  <w:footnote w:id="3">
    <w:p>
      <w:pPr>
        <w:pStyle w:val="FootnoteText"/>
      </w:pPr>
      <w:r>
        <w:rPr>
          <w:rStyle w:val="FootnoteReference"/>
        </w:rPr>
        <w:footnoteRef/>
      </w:r>
      <w:r>
        <w:tab/>
        <w:t>OV L 304, 23.10.2014., 9. lpp.</w:t>
      </w:r>
    </w:p>
  </w:footnote>
  <w:footnote w:id="4">
    <w:p>
      <w:pPr>
        <w:pStyle w:val="FootnoteText"/>
      </w:pPr>
      <w:r>
        <w:rPr>
          <w:rStyle w:val="FootnoteReference"/>
        </w:rPr>
        <w:footnoteRef/>
      </w:r>
      <w:r>
        <w:tab/>
      </w:r>
      <w:r>
        <w:rPr>
          <w:rStyle w:val="Hyperlink"/>
        </w:rPr>
        <w:t>https://www.consilium.europa.eu/en/documents-publications/treaties-agreements/agreement/?id=2014056&amp;DocLanguage=en.</w:t>
      </w:r>
      <w:r>
        <w:t xml:space="preserve"> </w:t>
      </w:r>
    </w:p>
  </w:footnote>
  <w:footnote w:id="5">
    <w:p>
      <w:pPr>
        <w:pStyle w:val="FootnoteText"/>
      </w:pPr>
      <w:r>
        <w:rPr>
          <w:rStyle w:val="FootnoteReference"/>
        </w:rPr>
        <w:footnoteRef/>
      </w:r>
      <w:r>
        <w:tab/>
      </w:r>
      <w:hyperlink r:id="rId1">
        <w:r>
          <w:rPr>
            <w:rStyle w:val="Hyperlink"/>
          </w:rPr>
          <w:t>http://www.fao.org/fishery/rfb/iccat/en</w:t>
        </w:r>
      </w:hyperlink>
      <w:r>
        <w:t>. Saskaņā ar starptautiskajiem tiesību aktiem izveidota struktūra, kuras mērķis ir reģionā saglabāt un pārvaldīt tālu migrējošās sugas.</w:t>
      </w:r>
    </w:p>
  </w:footnote>
  <w:footnote w:id="6">
    <w:p>
      <w:pPr>
        <w:pStyle w:val="FootnoteText"/>
      </w:pPr>
      <w:r>
        <w:rPr>
          <w:rStyle w:val="FootnoteReference"/>
        </w:rPr>
        <w:footnoteRef/>
      </w:r>
      <w:r>
        <w:tab/>
        <w:t>SWD(2019)208.</w:t>
      </w:r>
    </w:p>
  </w:footnote>
  <w:footnote w:id="7">
    <w:p>
      <w:pPr>
        <w:pStyle w:val="FootnoteText"/>
      </w:pPr>
      <w:r>
        <w:rPr>
          <w:rStyle w:val="FootnoteReference"/>
        </w:rPr>
        <w:footnoteRef/>
      </w:r>
      <w:r>
        <w:tab/>
        <w:t>40. nodaļa (rezerves pozīcija 40 02 41) saskaņā ar iestāžu nolīgumu par DFS (2013/C 373/01).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3A49CB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1AE589A"/>
    <w:lvl w:ilvl="0">
      <w:start w:val="1"/>
      <w:numFmt w:val="decimal"/>
      <w:pStyle w:val="ListNumber3"/>
      <w:lvlText w:val="%1."/>
      <w:lvlJc w:val="left"/>
      <w:pPr>
        <w:tabs>
          <w:tab w:val="num" w:pos="926"/>
        </w:tabs>
        <w:ind w:left="926" w:hanging="360"/>
      </w:pPr>
    </w:lvl>
  </w:abstractNum>
  <w:abstractNum w:abstractNumId="2">
    <w:nsid w:val="FFFFFF7F"/>
    <w:multiLevelType w:val="singleLevel"/>
    <w:tmpl w:val="69FAF564"/>
    <w:lvl w:ilvl="0">
      <w:start w:val="1"/>
      <w:numFmt w:val="decimal"/>
      <w:pStyle w:val="ListNumber2"/>
      <w:lvlText w:val="%1."/>
      <w:lvlJc w:val="left"/>
      <w:pPr>
        <w:tabs>
          <w:tab w:val="num" w:pos="643"/>
        </w:tabs>
        <w:ind w:left="643" w:hanging="360"/>
      </w:pPr>
    </w:lvl>
  </w:abstractNum>
  <w:abstractNum w:abstractNumId="3">
    <w:nsid w:val="FFFFFF81"/>
    <w:multiLevelType w:val="singleLevel"/>
    <w:tmpl w:val="6A2C7EE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C3E4AC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F7CB8B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6562086"/>
    <w:lvl w:ilvl="0">
      <w:start w:val="1"/>
      <w:numFmt w:val="decimal"/>
      <w:pStyle w:val="ListNumber"/>
      <w:lvlText w:val="%1."/>
      <w:lvlJc w:val="left"/>
      <w:pPr>
        <w:tabs>
          <w:tab w:val="num" w:pos="360"/>
        </w:tabs>
        <w:ind w:left="360" w:hanging="360"/>
      </w:pPr>
    </w:lvl>
  </w:abstractNum>
  <w:abstractNum w:abstractNumId="7">
    <w:nsid w:val="FFFFFF89"/>
    <w:multiLevelType w:val="singleLevel"/>
    <w:tmpl w:val="44BC2FD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2"/>
  </w:num>
  <w:num w:numId="10">
    <w:abstractNumId w:val="19"/>
  </w:num>
  <w:num w:numId="11">
    <w:abstractNumId w:val="13"/>
  </w:num>
  <w:num w:numId="12">
    <w:abstractNumId w:val="21"/>
  </w:num>
  <w:num w:numId="13">
    <w:abstractNumId w:val="11"/>
  </w:num>
  <w:num w:numId="14">
    <w:abstractNumId w:val="14"/>
  </w:num>
  <w:num w:numId="15">
    <w:abstractNumId w:val="9"/>
  </w:num>
  <w:num w:numId="16">
    <w:abstractNumId w:val="20"/>
  </w:num>
  <w:num w:numId="17">
    <w:abstractNumId w:val="8"/>
  </w:num>
  <w:num w:numId="18">
    <w:abstractNumId w:val="15"/>
  </w:num>
  <w:num w:numId="19">
    <w:abstractNumId w:val="17"/>
  </w:num>
  <w:num w:numId="20">
    <w:abstractNumId w:val="18"/>
  </w:num>
  <w:num w:numId="21">
    <w:abstractNumId w:val="10"/>
  </w:num>
  <w:num w:numId="22">
    <w:abstractNumId w:val="16"/>
  </w:num>
  <w:num w:numId="23">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6-11 14:43:46"/>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D4F42861-AD96-4B70-8C54-32B7CDFEF9C9"/>
    <w:docVar w:name="LW_COVERPAGE_TYPE" w:val="1"/>
    <w:docVar w:name="LW_CROSSREFERENCE" w:val="{SWD(2019) 207 final} - {SWD(2019) 208 final}"/>
    <w:docVar w:name="LW_DocType" w:val="COM"/>
    <w:docVar w:name="LW_EMISSION" w:val="18.6.2019"/>
    <w:docVar w:name="LW_EMISSION_ISODATE" w:val="2019-06-18"/>
    <w:docVar w:name="LW_EMISSION_LOCATION" w:val="BRX"/>
    <w:docVar w:name="LW_EMISSION_PREFIX" w:val="Briselē, "/>
    <w:docVar w:name="LW_EMISSION_SUFFIX" w:val="."/>
    <w:docVar w:name="LW_ID_DOCMODEL" w:val="SG-001"/>
    <w:docVar w:name="LW_ID_DOCSIGNATURE" w:val="SG-001"/>
    <w:docVar w:name="LW_ID_DOCSTRUCTURE" w:val="COM/PL/ORG"/>
    <w:docVar w:name="LW_ID_DOCTYPE" w:val="SG-001"/>
    <w:docVar w:name="LW_ID_STATUT" w:val="SG-001"/>
    <w:docVar w:name="LW_INTERETEEE.CP" w:val="&lt;UNUSED&gt;"/>
    <w:docVar w:name="LW_LANGUE" w:val="LV"/>
    <w:docVar w:name="LW_LEVEL_OF_SENSITIVITY" w:val="Standard treatment"/>
    <w:docVar w:name="LW_NOM.INST" w:val="EIROPAS KOMISIJA"/>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28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Ieteikums"/>
    <w:docVar w:name="LW_SUPERTITRE" w:val="&lt;UNUSED&gt;"/>
    <w:docVar w:name="LW_TITRE.OBJ.CP" w:val="pilnvarot Komisiju Eiropas Savien\u299?bas v\u257?rd\u257? s\u257?kt sarunas, lai nosl\u275?gtu protokolu, ko pievieno ilgtsp\u275?j\u299?gas zivsaimniec\u299?bas partnerattiec\u299?bu nol\u299?gumam ar Seneg\u257?las Republiku"/>
    <w:docVar w:name="LW_TYPE.DOC.CP" w:val="PADOMES L\u274?MUM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basedOn w:val="DefaultParagraphFont"/>
    <w:uiPriority w:val="99"/>
    <w:unhideWhenUsed/>
    <w:rPr>
      <w:color w:val="0000FF" w:themeColor="hyperlink"/>
      <w:u w:val="single"/>
    </w:rPr>
  </w:style>
  <w:style w:type="character" w:styleId="Strong">
    <w:name w:val="Strong"/>
    <w:basedOn w:val="DefaultParagraphFont"/>
    <w:uiPriority w:val="99"/>
    <w:qFormat/>
    <w:rPr>
      <w:b/>
      <w:bC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LegalNumPar">
    <w:name w:val="LegalNumPar"/>
    <w:basedOn w:val="Normal"/>
    <w:pPr>
      <w:numPr>
        <w:numId w:val="9"/>
      </w:numPr>
      <w:spacing w:line="360" w:lineRule="auto"/>
    </w:pPr>
  </w:style>
  <w:style w:type="paragraph" w:customStyle="1" w:styleId="LegalNumPar2">
    <w:name w:val="LegalNumPar2"/>
    <w:basedOn w:val="Normal"/>
    <w:pPr>
      <w:numPr>
        <w:ilvl w:val="1"/>
        <w:numId w:val="9"/>
      </w:numPr>
      <w:spacing w:line="360" w:lineRule="auto"/>
    </w:pPr>
  </w:style>
  <w:style w:type="paragraph" w:customStyle="1" w:styleId="LegalNumPar3">
    <w:name w:val="LegalNumPar3"/>
    <w:basedOn w:val="Normal"/>
    <w:pPr>
      <w:numPr>
        <w:ilvl w:val="2"/>
        <w:numId w:val="9"/>
      </w:numPr>
      <w:spacing w:line="360" w:lineRule="auto"/>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lv-LV"/>
    </w:rPr>
  </w:style>
  <w:style w:type="character" w:styleId="EndnoteReference">
    <w:name w:val="end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basedOn w:val="DefaultParagraphFont"/>
    <w:uiPriority w:val="99"/>
    <w:unhideWhenUsed/>
    <w:rPr>
      <w:color w:val="0000FF" w:themeColor="hyperlink"/>
      <w:u w:val="single"/>
    </w:rPr>
  </w:style>
  <w:style w:type="character" w:styleId="Strong">
    <w:name w:val="Strong"/>
    <w:basedOn w:val="DefaultParagraphFont"/>
    <w:uiPriority w:val="99"/>
    <w:qFormat/>
    <w:rPr>
      <w:b/>
      <w:bC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LegalNumPar">
    <w:name w:val="LegalNumPar"/>
    <w:basedOn w:val="Normal"/>
    <w:pPr>
      <w:numPr>
        <w:numId w:val="9"/>
      </w:numPr>
      <w:spacing w:line="360" w:lineRule="auto"/>
    </w:pPr>
  </w:style>
  <w:style w:type="paragraph" w:customStyle="1" w:styleId="LegalNumPar2">
    <w:name w:val="LegalNumPar2"/>
    <w:basedOn w:val="Normal"/>
    <w:pPr>
      <w:numPr>
        <w:ilvl w:val="1"/>
        <w:numId w:val="9"/>
      </w:numPr>
      <w:spacing w:line="360" w:lineRule="auto"/>
    </w:pPr>
  </w:style>
  <w:style w:type="paragraph" w:customStyle="1" w:styleId="LegalNumPar3">
    <w:name w:val="LegalNumPar3"/>
    <w:basedOn w:val="Normal"/>
    <w:pPr>
      <w:numPr>
        <w:ilvl w:val="2"/>
        <w:numId w:val="9"/>
      </w:numPr>
      <w:spacing w:line="360" w:lineRule="auto"/>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lv-LV"/>
    </w:rPr>
  </w:style>
  <w:style w:type="character" w:styleId="EndnoteReference">
    <w:name w:val="end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341598">
      <w:bodyDiv w:val="1"/>
      <w:marLeft w:val="0"/>
      <w:marRight w:val="0"/>
      <w:marTop w:val="0"/>
      <w:marBottom w:val="0"/>
      <w:divBdr>
        <w:top w:val="none" w:sz="0" w:space="0" w:color="auto"/>
        <w:left w:val="none" w:sz="0" w:space="0" w:color="auto"/>
        <w:bottom w:val="none" w:sz="0" w:space="0" w:color="auto"/>
        <w:right w:val="none" w:sz="0" w:space="0" w:color="auto"/>
      </w:divBdr>
    </w:div>
    <w:div w:id="358119254">
      <w:bodyDiv w:val="1"/>
      <w:marLeft w:val="0"/>
      <w:marRight w:val="0"/>
      <w:marTop w:val="0"/>
      <w:marBottom w:val="0"/>
      <w:divBdr>
        <w:top w:val="none" w:sz="0" w:space="0" w:color="auto"/>
        <w:left w:val="none" w:sz="0" w:space="0" w:color="auto"/>
        <w:bottom w:val="none" w:sz="0" w:space="0" w:color="auto"/>
        <w:right w:val="none" w:sz="0" w:space="0" w:color="auto"/>
      </w:divBdr>
    </w:div>
    <w:div w:id="176017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fao.org/fishery/rfb/iccat/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F33CD-B969-4C00-ACC4-CF7E52346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5</Pages>
  <Words>990</Words>
  <Characters>6809</Characters>
  <Application>Microsoft Office Word</Application>
  <DocSecurity>0</DocSecurity>
  <Lines>130</Lines>
  <Paragraphs>72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18</cp:revision>
  <cp:lastPrinted>2019-04-03T11:16:00Z</cp:lastPrinted>
  <dcterms:created xsi:type="dcterms:W3CDTF">2019-06-07T13:42:00Z</dcterms:created>
  <dcterms:modified xsi:type="dcterms:W3CDTF">2019-06-11T12:43:00Z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5.84.2.0</vt:lpwstr>
  </property>
  <property fmtid="{D5CDD505-2E9C-101B-9397-08002B2CF9AE}" pid="4" name="Last edited using">
    <vt:lpwstr>LW 6.0.1, Build 20180503</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SG-001</vt:lpwstr>
  </property>
  <property fmtid="{D5CDD505-2E9C-101B-9397-08002B2CF9AE}" pid="9" name="Level of sensitivity">
    <vt:lpwstr>Standard treatment</vt:lpwstr>
  </property>
  <property fmtid="{D5CDD505-2E9C-101B-9397-08002B2CF9AE}" pid="10" name="DQCStatus">
    <vt:lpwstr>Green (DQC version 03)</vt:lpwstr>
  </property>
</Properties>
</file>