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BE9A28F-67CD-4415-AC70-1A02D428947A" style="width:450.4pt;height:424.4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PRÍLOHA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b/>
          <w:noProof/>
          <w:u w:val="single"/>
        </w:rPr>
        <w:t>Smernice na rokovania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Cieľom rokovaní je uzavrieť protokol k dohode o partnerstve v odvetví udržateľného rybárstva medzi Európskou úniou a Senegalskou republikou v súlade s nariadením (EÚ) č. 1380/2013 o spoločnej rybárskej politike a so závermi Rady z 19. marca 2012 týkajúcimi sa oznámenia Komisie z 13. júla 2011 o vonkajšom rozmere spoločnej rybárskej politiky.</w:t>
      </w:r>
    </w:p>
    <w:p>
      <w:pPr>
        <w:pStyle w:val="Tiret0"/>
        <w:rPr>
          <w:noProof/>
        </w:rPr>
      </w:pPr>
      <w:r>
        <w:rPr>
          <w:noProof/>
        </w:rPr>
        <w:t xml:space="preserve">S cieľom podporovať udržateľný a zodpovedný rybolov a zároveň zabezpečiť vzájomné výhody pre EÚ a Senegalskú republiku prostredníctvom tohto nového protokolu musia ciele rokovaní Komisie vychádzať z týchto potrieb: </w:t>
      </w:r>
    </w:p>
    <w:p>
      <w:pPr>
        <w:pStyle w:val="Bullet1"/>
        <w:numPr>
          <w:ilvl w:val="0"/>
          <w:numId w:val="2"/>
        </w:numPr>
        <w:rPr>
          <w:noProof/>
        </w:rPr>
      </w:pPr>
      <w:r>
        <w:rPr>
          <w:noProof/>
        </w:rPr>
        <w:t>zabezpečiť, aby mali plavidlá flotily EÚ prístup do rybolovnej zóny Senegalskej republiky, ako aj potrebné oprávnenia na rybolov v danej zóne, čo okrem iného prispeje k rozvoju siete dohôd o partnerstve v odvetví udržateľného rybárstva slúžiacej prevádzkovateľom z EÚ v západnej Afrike,</w:t>
      </w:r>
    </w:p>
    <w:p>
      <w:pPr>
        <w:pStyle w:val="Bullet1"/>
        <w:rPr>
          <w:noProof/>
        </w:rPr>
      </w:pPr>
      <w:r>
        <w:rPr>
          <w:noProof/>
        </w:rPr>
        <w:t>zohľadniť najlepšie dostupné vedecké odporúčania a príslušné plány hospodárenia, ktoré prijali regionálne organizácie pre riadenie rybárstva, s cieľom zabezpečiť a zlepšiť environmentálnu udržateľnosť rybolovných činností a súčasne podporovať správu oceánov v celosvetovom meradle. Rybolovné činnosti by sa mali zameriavať výhradne na dostupné zdroje a zohľadňovať rybolovnú kapacitu miestnej flotily s osobitným dôrazom na vysoko migračnú povahu dotknutých populácií,</w:t>
      </w:r>
    </w:p>
    <w:p>
      <w:pPr>
        <w:pStyle w:val="Bullet1"/>
        <w:rPr>
          <w:noProof/>
        </w:rPr>
      </w:pPr>
      <w:r>
        <w:rPr>
          <w:noProof/>
        </w:rPr>
        <w:t xml:space="preserve">usilovať sa o získanie primeraného podielu prebytkových rybolovných zdrojov, ktorý bude v plnej miere zodpovedať záujmom flotily EÚ v prípadoch, keď o ne majú záujem aj iné zahraničné flotily, </w:t>
      </w:r>
      <w:r>
        <w:rPr>
          <w:noProof/>
          <w:sz w:val="22"/>
        </w:rPr>
        <w:t>ako aj o uplatňovanie tých istých technických podmienok na všetky zahraničné flotily</w:t>
      </w:r>
      <w:r>
        <w:rPr>
          <w:noProof/>
        </w:rPr>
        <w:t>,</w:t>
      </w:r>
    </w:p>
    <w:p>
      <w:pPr>
        <w:pStyle w:val="Bullet1"/>
        <w:rPr>
          <w:noProof/>
        </w:rPr>
      </w:pPr>
      <w:r>
        <w:rPr>
          <w:noProof/>
        </w:rPr>
        <w:t>zabezpečiť, aby prístup k rybolovným oblastiam vychádzal z minulých i očakávaných budúcich činností flotily EÚ v danom regióne, a súčasne zohľadniť najaktuálnejšie dostupné vedecké posúdenia,</w:t>
      </w:r>
    </w:p>
    <w:p>
      <w:pPr>
        <w:pStyle w:val="Bullet1"/>
        <w:rPr>
          <w:noProof/>
        </w:rPr>
      </w:pPr>
      <w:r>
        <w:rPr>
          <w:noProof/>
        </w:rPr>
        <w:t>nadviazať dialóg v záujme posilnenia odvetvovej politiky s cieľom podporovať vykonávanie zodpovednej rybárskej politiky v súvislosti s rozvojovými cieľmi krajiny, najmä pokiaľ ide o správu rybolovu, boj proti nezákonnému, nenahlásenému a neregulovanému rybolovu, kontrolu, monitorovanie a dohľad nad rybolovnými činnosťami a poskytovanie vedeckého poradenstva a podporovať hospodárske činnosti a pracovné príležitosti, ktoré okrem iného prispievajú k riešeniu príčin neregulárnej migrácie zo Senegalu,</w:t>
      </w:r>
    </w:p>
    <w:p>
      <w:pPr>
        <w:pStyle w:val="Bullet1"/>
        <w:rPr>
          <w:noProof/>
        </w:rPr>
      </w:pPr>
      <w:r>
        <w:rPr>
          <w:noProof/>
        </w:rPr>
        <w:t>zabezpečiť, aby protokol prispieval k podpore rastu a tvorbe dôstojných pracovných miest v oblasti námornej činnosti s prihliadnutím na príslušné dohovory Medzinárodnej organizácie práce,</w:t>
      </w:r>
    </w:p>
    <w:p>
      <w:pPr>
        <w:pStyle w:val="Bullet1"/>
        <w:rPr>
          <w:noProof/>
        </w:rPr>
      </w:pPr>
      <w:r>
        <w:rPr>
          <w:noProof/>
        </w:rPr>
        <w:t>zahrnúť doložky o dôsledkoch porušovania ľudských práv a demokratických zásad.</w:t>
      </w:r>
    </w:p>
    <w:p>
      <w:pPr>
        <w:pStyle w:val="Tiret0"/>
        <w:rPr>
          <w:noProof/>
        </w:rPr>
      </w:pPr>
      <w:r>
        <w:rPr>
          <w:noProof/>
        </w:rPr>
        <w:t>V protokole by sa mali vymedziť najmä tieto aspekty:</w:t>
      </w:r>
    </w:p>
    <w:p>
      <w:pPr>
        <w:pStyle w:val="Bullet1"/>
        <w:rPr>
          <w:noProof/>
        </w:rPr>
      </w:pPr>
      <w:r>
        <w:rPr>
          <w:noProof/>
        </w:rPr>
        <w:t>rybolovné možnosti (podľa kategórií), ktoré sa majú prideliť plavidlám Európskej únie,</w:t>
      </w:r>
    </w:p>
    <w:p>
      <w:pPr>
        <w:pStyle w:val="Bullet1"/>
        <w:rPr>
          <w:noProof/>
        </w:rPr>
      </w:pPr>
      <w:r>
        <w:rPr>
          <w:noProof/>
        </w:rPr>
        <w:t>finančná kompenzácia a podmienky jej vyplácania a</w:t>
      </w:r>
    </w:p>
    <w:p>
      <w:pPr>
        <w:pStyle w:val="Bullet1"/>
        <w:rPr>
          <w:noProof/>
        </w:rPr>
      </w:pPr>
      <w:r>
        <w:rPr>
          <w:noProof/>
        </w:rPr>
        <w:lastRenderedPageBreak/>
        <w:t xml:space="preserve">mechanizmus realizácie odvetvovej podpory. 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FE20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87EDB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C3A5E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08CB5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240CA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5AF3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9CAB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33E9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21"/>
  </w:num>
  <w:num w:numId="15">
    <w:abstractNumId w:val="11"/>
  </w:num>
  <w:num w:numId="16">
    <w:abstractNumId w:val="13"/>
  </w:num>
  <w:num w:numId="17">
    <w:abstractNumId w:val="9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0"/>
  </w:num>
  <w:num w:numId="24">
    <w:abstractNumId w:val="16"/>
  </w:num>
  <w:num w:numId="25">
    <w:abstractNumId w:val="22"/>
  </w:num>
  <w:num w:numId="26">
    <w:abstractNumId w:val="19"/>
  </w:num>
  <w:num w:numId="27">
    <w:abstractNumId w:val="12"/>
  </w:num>
  <w:num w:numId="28">
    <w:abstractNumId w:val="21"/>
  </w:num>
  <w:num w:numId="29">
    <w:abstractNumId w:val="11"/>
  </w:num>
  <w:num w:numId="30">
    <w:abstractNumId w:val="13"/>
  </w:num>
  <w:num w:numId="31">
    <w:abstractNumId w:val="9"/>
  </w:num>
  <w:num w:numId="32">
    <w:abstractNumId w:val="20"/>
  </w:num>
  <w:num w:numId="33">
    <w:abstractNumId w:val="8"/>
  </w:num>
  <w:num w:numId="34">
    <w:abstractNumId w:val="15"/>
  </w:num>
  <w:num w:numId="35">
    <w:abstractNumId w:val="17"/>
  </w:num>
  <w:num w:numId="36">
    <w:abstractNumId w:val="18"/>
  </w:num>
  <w:num w:numId="37">
    <w:abstractNumId w:val="10"/>
  </w:num>
  <w:num w:numId="38">
    <w:abstractNumId w:val="16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1 14:48:0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BE9A28F-67CD-4415-AC70-1A02D428947A"/>
    <w:docVar w:name="LW_COVERPAGE_TYPE" w:val="1"/>
    <w:docVar w:name="LW_CROSSREFERENCE" w:val="{SWD(2019) 207 final} - {SWD(2019) 208 final}"/>
    <w:docVar w:name="LW_DocType" w:val="ANNEX"/>
    <w:docVar w:name="LW_EMISSION" w:val="18. 6. 2019"/>
    <w:docVar w:name="LW_EMISSION_ISODATE" w:val="2019-06-18"/>
    <w:docVar w:name="LW_EMISSION_LOCATION" w:val="BRX"/>
    <w:docVar w:name="LW_EMISSION_PREFIX" w:val="V Bruseli"/>
    <w:docVar w:name="LW_EMISSION_SUFFIX" w:val=" 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týkajúcemu sa rozhodnutia Rady, ktorým sa Komisia poveruje za\u269?atím rokovaní v&lt;LWCR:NBS&gt;mene Európskej únie s&lt;LWCR:NBS&gt;cie\u318?om uzavrie\u357? protokol k&lt;LWCR:NBS&gt;dohode o&lt;LWCR:NBS&gt;partnerstve v odvetví udr\u382?ate\u318?ného rybárstva so Senegalskou republikou_x000b_"/>
    <w:docVar w:name="LW_OBJETACTEPRINCIPAL.CP" w:val="týkajúcemu sa rozhodnutia Rady, ktorým sa Komisia poveruje za\u269?atím rokovaní v mene Európskej únie s cie\u318?om uzavrie\u357? protokol k dohode o partnerstve v odvetví udr\u382?ate\u318?ného rybárstva so Senegalskou republikou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8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odporú\u269?aniu"/>
    <w:docVar w:name="LW_TYPEACTEPRINCIPAL.CP" w:val="odporú\u269?ani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6326-616B-4932-AC3F-12EAA35E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376</Words>
  <Characters>2447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DEBIEUVRE Marie (MARE)</dc:creator>
  <cp:lastModifiedBy>WES PDFC Administrator</cp:lastModifiedBy>
  <cp:revision>9</cp:revision>
  <cp:lastPrinted>2019-04-03T11:18:00Z</cp:lastPrinted>
  <dcterms:created xsi:type="dcterms:W3CDTF">2019-06-07T13:19:00Z</dcterms:created>
  <dcterms:modified xsi:type="dcterms:W3CDTF">2019-06-11T12:48:00Z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20141001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