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86103F5E-A6AA-414A-9477-9228F44FE738" style="width:450.75pt;height:4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MELLÉKLET</w:t>
      </w:r>
    </w:p>
    <w:p>
      <w:pPr>
        <w:pStyle w:val="Tiret0"/>
        <w:numPr>
          <w:ilvl w:val="0"/>
          <w:numId w:val="1"/>
        </w:numPr>
        <w:rPr>
          <w:noProof/>
        </w:rPr>
      </w:pPr>
      <w:r>
        <w:rPr>
          <w:b/>
          <w:noProof/>
          <w:u w:val="single"/>
        </w:rPr>
        <w:t>Tárgyalási irányelvek</w:t>
      </w:r>
    </w:p>
    <w:p>
      <w:pPr>
        <w:pStyle w:val="Tiret0"/>
        <w:numPr>
          <w:ilvl w:val="0"/>
          <w:numId w:val="1"/>
        </w:numPr>
        <w:rPr>
          <w:noProof/>
        </w:rPr>
      </w:pPr>
      <w:r>
        <w:rPr>
          <w:noProof/>
        </w:rPr>
        <w:t>A tárgyalások célja az Európai Unió és a Szenegáli Köztársaság között létrejött fenntartható halászati partnerségi megállapodáshoz csatolandó jegyzőkönyv megkötése a közös halászati politikáról szóló 1380/2013/EU rendelettel és a közös halászati politika külpolitikai vetületéről szóló 2011. július 13-i bizottsági közleményre vonatkozó, 2012. március 19-i tanácsi következtetésekkel összhangban.</w:t>
      </w:r>
    </w:p>
    <w:p>
      <w:pPr>
        <w:pStyle w:val="Tiret0"/>
        <w:rPr>
          <w:noProof/>
        </w:rPr>
      </w:pPr>
      <w:r>
        <w:rPr>
          <w:noProof/>
        </w:rPr>
        <w:t>Annak érdekében, hogy ez az új jegyzőkönyv előmozdítsa a fenntartható és felelősségteljes halászatot, és egyúttal kölcsönös előnyöket nyújtson az EU és a Szenegáli Köztársaság számára, a Bizottság a tárgyalások során a következő célokat tartja szem előtt:</w:t>
      </w:r>
    </w:p>
    <w:p>
      <w:pPr>
        <w:pStyle w:val="Bullet1"/>
        <w:numPr>
          <w:ilvl w:val="0"/>
          <w:numId w:val="2"/>
        </w:numPr>
        <w:rPr>
          <w:noProof/>
        </w:rPr>
      </w:pPr>
      <w:r>
        <w:rPr>
          <w:noProof/>
        </w:rPr>
        <w:t>hozzáférés biztosítása a Szenegáli Köztársaság halászati övezetéhez, az uniós flotta számára az övezetben történő halászathoz szükséges engedélyek megszerzése, és ezáltal többek között az uniós gazdasági szereplők rendelkezésére álló fenntartható halászati partnerségi megállapodások hálózatának bővítése Nyugat-Afrikában;</w:t>
      </w:r>
    </w:p>
    <w:p>
      <w:pPr>
        <w:pStyle w:val="Bullet1"/>
        <w:rPr>
          <w:noProof/>
        </w:rPr>
      </w:pPr>
      <w:r>
        <w:rPr>
          <w:noProof/>
        </w:rPr>
        <w:t>a rendelkezésre álló legmegalapozottabb tudományos szakvélemények és a regionális halászati gazdálkodási szervezetek által elfogadott vonatkozó gazdálkodási tervek figyelembevétele a halászati tevékenységek környezeti fenntarthatóságának biztosítása, valamint a nemzetközi szintű óceánpolitikai irányítás előmozdítása céljából. A halászati tevékenységeknek kizárólag a rendelkezésre álló erőforrásokra kell irányulniuk, szem előtt tartva a helyi flotta halászati kapacitását, valamint külön figyelmet fordítva az érintett állományok nagy távolságra vándorló természetére;</w:t>
      </w:r>
    </w:p>
    <w:p>
      <w:pPr>
        <w:pStyle w:val="Bullet1"/>
        <w:rPr>
          <w:noProof/>
          <w:szCs w:val="24"/>
        </w:rPr>
      </w:pPr>
      <w:r>
        <w:rPr>
          <w:noProof/>
        </w:rPr>
        <w:t>törekvés arra, hogy az EU a halászati többleterőforrásokból megfelelő és az uniós flotta érdekeivel maradéktalanul összhangban álló mértékben részesüljön, amennyiben a szóban forgó erőforrások kiaknázásában más külföldi flották is érdekeltek</w:t>
      </w:r>
      <w:r>
        <w:rPr>
          <w:noProof/>
          <w:szCs w:val="24"/>
        </w:rPr>
        <w:t>, valamint arra, hogy minden külföldi flottára ugyanazok technikai feltételek legyenek alkalmazandók;</w:t>
      </w:r>
    </w:p>
    <w:p>
      <w:pPr>
        <w:pStyle w:val="Bullet1"/>
        <w:rPr>
          <w:noProof/>
        </w:rPr>
      </w:pPr>
      <w:r>
        <w:rPr>
          <w:noProof/>
        </w:rPr>
        <w:t>annak biztosítása, hogy a halászati erőforrásokhoz való hozzáférés az uniós flottának az adott térségben folytatott múltbeli és várható jövőbeli tevékenységén alapuljon, figyelembe véve a rendelkezésre álló legfrissebb és legjobb tudományos értékeléseket;</w:t>
      </w:r>
    </w:p>
    <w:p>
      <w:pPr>
        <w:pStyle w:val="Bullet1"/>
        <w:rPr>
          <w:noProof/>
        </w:rPr>
      </w:pPr>
      <w:r>
        <w:rPr>
          <w:noProof/>
        </w:rPr>
        <w:t>az ágazati politika megerősítésére irányuló párbeszéd kialakítása a felelősségteljes halászati politika végrehajtásának előmozdítása érdekében, összhangban az ország fejlesztési céljaival, különösen azokkal, amelyek a halászati tevékenység irányítására, a jogellenes, be nem jelentett és szabályozatlan halászat elleni küzdelemre, a halászati tevékenységek ellenőrzésére, megfigyelésére és felügyeletére, valamint tudományos szakvélemények kibocsátására vonatkoznak; a gazdasági tevékenység fellendítése és munkalehetőségek teremtése, hozzájárulva többek között a Szenegálból kiinduló irreguláris migráció okainak kezeléséhez;</w:t>
      </w:r>
    </w:p>
    <w:p>
      <w:pPr>
        <w:pStyle w:val="Bullet1"/>
        <w:rPr>
          <w:noProof/>
        </w:rPr>
      </w:pPr>
      <w:r>
        <w:rPr>
          <w:noProof/>
        </w:rPr>
        <w:t>annak biztosítása, hogy a jegyzőkönyv hozzájáruljon a növekedésnek és a tisztességes munkának a tengeri tevékenységekkel összefüggésben történő előmozdításához, figyelembe véve a Nemzetközi Munkaügyi Szervezet (ILO) vonatkozó egyezményeit;</w:t>
      </w:r>
    </w:p>
    <w:p>
      <w:pPr>
        <w:pStyle w:val="Bullet1"/>
        <w:rPr>
          <w:noProof/>
        </w:rPr>
      </w:pPr>
      <w:r>
        <w:rPr>
          <w:noProof/>
        </w:rPr>
        <w:lastRenderedPageBreak/>
        <w:t>az emberi jogok és a demokratikus alapelvek megsértésének következményeire vonatkozó rendelkezés beillesztése a jegyzőkönyvbe.</w:t>
      </w:r>
    </w:p>
    <w:p>
      <w:pPr>
        <w:pStyle w:val="Tiret0"/>
        <w:rPr>
          <w:noProof/>
        </w:rPr>
      </w:pPr>
      <w:r>
        <w:rPr>
          <w:noProof/>
        </w:rPr>
        <w:t>A jegyzőkönyvnek meg kell határoznia különösen:</w:t>
      </w:r>
    </w:p>
    <w:p>
      <w:pPr>
        <w:pStyle w:val="Bullet1"/>
        <w:rPr>
          <w:noProof/>
        </w:rPr>
      </w:pPr>
      <w:r>
        <w:rPr>
          <w:noProof/>
        </w:rPr>
        <w:t>az uniós hajók számára biztosítandó halászati lehetőségeket kategóriánkénti bontásban;</w:t>
      </w:r>
    </w:p>
    <w:p>
      <w:pPr>
        <w:pStyle w:val="Bullet1"/>
        <w:rPr>
          <w:noProof/>
        </w:rPr>
      </w:pPr>
      <w:r>
        <w:rPr>
          <w:noProof/>
        </w:rPr>
        <w:t>a pénzügyi hozzájárulást és annak kifizetési feltételeit; valamint</w:t>
      </w:r>
    </w:p>
    <w:p>
      <w:pPr>
        <w:pStyle w:val="Bullet1"/>
        <w:rPr>
          <w:noProof/>
        </w:rPr>
      </w:pPr>
      <w:r>
        <w:rPr>
          <w:noProof/>
        </w:rPr>
        <w:t>az ágazati támogatás végrehajtásának mechanizmusait.</w:t>
      </w:r>
    </w:p>
    <w:sectPr>
      <w:footerReference w:type="default" r:id="rId16"/>
      <w:footerReference w:type="first" r:id="rId17"/>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FE2098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87EDB1C"/>
    <w:lvl w:ilvl="0">
      <w:start w:val="1"/>
      <w:numFmt w:val="decimal"/>
      <w:pStyle w:val="ListNumber3"/>
      <w:lvlText w:val="%1."/>
      <w:lvlJc w:val="left"/>
      <w:pPr>
        <w:tabs>
          <w:tab w:val="num" w:pos="926"/>
        </w:tabs>
        <w:ind w:left="926" w:hanging="360"/>
      </w:pPr>
    </w:lvl>
  </w:abstractNum>
  <w:abstractNum w:abstractNumId="2">
    <w:nsid w:val="FFFFFF7F"/>
    <w:multiLevelType w:val="singleLevel"/>
    <w:tmpl w:val="1C3A5E3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08CB58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240CA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C5AF3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9CAB4E0"/>
    <w:lvl w:ilvl="0">
      <w:start w:val="1"/>
      <w:numFmt w:val="decimal"/>
      <w:pStyle w:val="ListNumber"/>
      <w:lvlText w:val="%1."/>
      <w:lvlJc w:val="left"/>
      <w:pPr>
        <w:tabs>
          <w:tab w:val="num" w:pos="360"/>
        </w:tabs>
        <w:ind w:left="360" w:hanging="360"/>
      </w:pPr>
    </w:lvl>
  </w:abstractNum>
  <w:abstractNum w:abstractNumId="7">
    <w:nsid w:val="FFFFFF89"/>
    <w:multiLevelType w:val="singleLevel"/>
    <w:tmpl w:val="C33E97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num>
  <w:num w:numId="2">
    <w:abstractNumId w:val="17"/>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4"/>
  </w:num>
  <w:num w:numId="12">
    <w:abstractNumId w:val="19"/>
  </w:num>
  <w:num w:numId="13">
    <w:abstractNumId w:val="12"/>
  </w:num>
  <w:num w:numId="14">
    <w:abstractNumId w:val="21"/>
  </w:num>
  <w:num w:numId="15">
    <w:abstractNumId w:val="11"/>
  </w:num>
  <w:num w:numId="16">
    <w:abstractNumId w:val="13"/>
  </w:num>
  <w:num w:numId="17">
    <w:abstractNumId w:val="9"/>
  </w:num>
  <w:num w:numId="18">
    <w:abstractNumId w:val="20"/>
  </w:num>
  <w:num w:numId="19">
    <w:abstractNumId w:val="8"/>
  </w:num>
  <w:num w:numId="20">
    <w:abstractNumId w:val="15"/>
  </w:num>
  <w:num w:numId="21">
    <w:abstractNumId w:val="17"/>
  </w:num>
  <w:num w:numId="22">
    <w:abstractNumId w:val="18"/>
  </w:num>
  <w:num w:numId="23">
    <w:abstractNumId w:val="10"/>
  </w:num>
  <w:num w:numId="24">
    <w:abstractNumId w:val="16"/>
  </w:num>
  <w:num w:numId="25">
    <w:abstractNumId w:val="22"/>
  </w:num>
  <w:num w:numId="26">
    <w:abstractNumId w:val="19"/>
  </w:num>
  <w:num w:numId="27">
    <w:abstractNumId w:val="12"/>
  </w:num>
  <w:num w:numId="28">
    <w:abstractNumId w:val="21"/>
  </w:num>
  <w:num w:numId="29">
    <w:abstractNumId w:val="11"/>
  </w:num>
  <w:num w:numId="30">
    <w:abstractNumId w:val="13"/>
  </w:num>
  <w:num w:numId="31">
    <w:abstractNumId w:val="9"/>
  </w:num>
  <w:num w:numId="32">
    <w:abstractNumId w:val="20"/>
  </w:num>
  <w:num w:numId="33">
    <w:abstractNumId w:val="8"/>
  </w:num>
  <w:num w:numId="34">
    <w:abstractNumId w:val="15"/>
  </w:num>
  <w:num w:numId="35">
    <w:abstractNumId w:val="17"/>
  </w:num>
  <w:num w:numId="36">
    <w:abstractNumId w:val="18"/>
  </w:num>
  <w:num w:numId="37">
    <w:abstractNumId w:val="10"/>
  </w:num>
  <w:num w:numId="38">
    <w:abstractNumId w:val="16"/>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1 14:46:4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a következ\u337?höz:"/>
    <w:docVar w:name="LW_ACCOMPAGNANT.CP" w:val="a következ\u337?höz:"/>
    <w:docVar w:name="LW_ANNEX_NBR_FIRST" w:val="1"/>
    <w:docVar w:name="LW_ANNEX_NBR_LAST" w:val="1"/>
    <w:docVar w:name="LW_ANNEX_UNIQUE" w:val="1"/>
    <w:docVar w:name="LW_CORRIGENDUM" w:val="&lt;UNUSED&gt;"/>
    <w:docVar w:name="LW_COVERPAGE_EXISTS" w:val="True"/>
    <w:docVar w:name="LW_COVERPAGE_GUID" w:val="86103F5E-A6AA-414A-9477-9228F44FE738"/>
    <w:docVar w:name="LW_COVERPAGE_TYPE" w:val="1"/>
    <w:docVar w:name="LW_CROSSREFERENCE" w:val="{SWD(2019) 207 final} - {SWD(2019) 208 final}"/>
    <w:docVar w:name="LW_DocType" w:val="ANNEX"/>
    <w:docVar w:name="LW_EMISSION" w:val="2019.6.18."/>
    <w:docVar w:name="LW_EMISSION_ISODATE" w:val="2019-06-18"/>
    <w:docVar w:name="LW_EMISSION_LOCATION" w:val="BRX"/>
    <w:docVar w:name="LW_EMISSION_PREFIX" w:val="Brüsszel, "/>
    <w:docVar w:name="LW_EMISSION_SUFFIX" w:val=" "/>
    <w:docVar w:name="LW_ID_DOCSTRUCTURE" w:val="COM/ANNEX"/>
    <w:docVar w:name="LW_ID_DOCTYPE" w:val="SG-017"/>
    <w:docVar w:name="LW_LANGUE" w:val="HU"/>
    <w:docVar w:name="LW_LEVEL_OF_SENSITIVITY" w:val="Standard treatment"/>
    <w:docVar w:name="LW_NOM.INST" w:val="EURÓPAI BIZOTTSÁG"/>
    <w:docVar w:name="LW_NOM.INST_JOINTDOC" w:val="&lt;EMPTY&gt;"/>
    <w:docVar w:name="LW_OBJETACTEPRINCIPAL" w:val="A Tanács határozata_x000b_a Szenegáli Köztársasággal létrejött fenntartható halászati partnerségi megállapodáshoz csatolandó jegyz\u337?könyv megkötésére irányuló tárgyalásoknak az Európai Unió nevében történ\u337? megkezdésére a Bizottságnak adandó felhatalmazásról"/>
    <w:docVar w:name="LW_OBJETACTEPRINCIPAL.CP" w:val="A Tanács határozata_x000b_a Szenegáli Köztársasággal létrejött fenntartható halászati partnerségi megállapodáshoz csatolandó jegyz\u337?könyv megkötésére irányuló tárgyalásoknak az Európai Unió nevében történ\u337? megkezdésére a Bizottságnak adandó felhatalmazásról"/>
    <w:docVar w:name="LW_PART_NBR" w:val="1"/>
    <w:docVar w:name="LW_PART_NBR_TOTAL" w:val="1"/>
    <w:docVar w:name="LW_REF.INST.NEW" w:val="COM"/>
    <w:docVar w:name="LW_REF.INST.NEW_ADOPTED" w:val="final"/>
    <w:docVar w:name="LW_REF.INST.NEW_TEXT" w:val="(2019) 2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MELLÉKLET"/>
    <w:docVar w:name="LW_TYPE.DOC.CP" w:val="MELLÉKLET"/>
    <w:docVar w:name="LW_TYPEACTEPRINCIPAL" w:val="Ajánlás"/>
    <w:docVar w:name="LW_TYPEACTEPRINCIPAL.CP" w:val="Ajánlá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customStyle="1" w:styleId="Dash2">
    <w:name w:val="Dash 2"/>
    <w:basedOn w:val="Normal"/>
    <w:pPr>
      <w:numPr>
        <w:numId w:val="11"/>
      </w:numPr>
      <w:spacing w:line="360" w:lineRule="auto"/>
      <w:jc w:val="left"/>
      <w:outlineLvl w:val="1"/>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customStyle="1" w:styleId="Dash2">
    <w:name w:val="Dash 2"/>
    <w:basedOn w:val="Normal"/>
    <w:pPr>
      <w:numPr>
        <w:numId w:val="11"/>
      </w:numPr>
      <w:spacing w:line="360" w:lineRule="auto"/>
      <w:jc w:val="left"/>
      <w:outlineLvl w:val="1"/>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653DE-AD3D-4FB3-B135-F4F50367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3</Pages>
  <Words>385</Words>
  <Characters>3046</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DEBIEUVRE Marie (MARE)</dc:creator>
  <cp:lastModifiedBy>WES PDFC Administrator</cp:lastModifiedBy>
  <cp:revision>9</cp:revision>
  <cp:lastPrinted>2019-04-03T11:18:00Z</cp:lastPrinted>
  <dcterms:created xsi:type="dcterms:W3CDTF">2019-06-07T13:58:00Z</dcterms:created>
  <dcterms:modified xsi:type="dcterms:W3CDTF">2019-06-11T12:46:00Z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5.8.86.0</vt:lpwstr>
  </property>
  <property fmtid="{D5CDD505-2E9C-101B-9397-08002B2CF9AE}" pid="4" name="Last edited using">
    <vt:lpwstr>LW 6.0.1, Build 20180503</vt:lpwstr>
  </property>
  <property fmtid="{D5CDD505-2E9C-101B-9397-08002B2CF9AE}" pid="5" name="Created using">
    <vt:lpwstr>LW 5.8.4, Build 20141001</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1</vt:lpwstr>
  </property>
  <property fmtid="{D5CDD505-2E9C-101B-9397-08002B2CF9AE}" pid="13" name="DQCStatus">
    <vt:lpwstr>Green (DQC version 03)</vt:lpwstr>
  </property>
</Properties>
</file>