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AE9E238C-97C8-4771-ADE5-61C936FE6632" style="width:450.75pt;height:410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b/>
          <w:noProof/>
          <w:u w:val="single"/>
        </w:rPr>
        <w:t>Diretrizes de negociação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As negociações têm por objetivo a celebração de um protocolo ao Acordo de Parceria no domínio da Pesca Sustentável entre a União Europeia e a República do Senegal, em conformidade com o Regulamento (UE) n.º 1380/2013, relativo à política comum das pescas, e com as Conclusões do Conselho de 19 de março de 2012 sobre a Comunicação da Comissão de 13 de julho de 2011 relativa à dimensão externa da política comum das pescas.</w:t>
      </w:r>
    </w:p>
    <w:p>
      <w:pPr>
        <w:pStyle w:val="Tiret0"/>
        <w:numPr>
          <w:ilvl w:val="0"/>
          <w:numId w:val="12"/>
        </w:numPr>
        <w:rPr>
          <w:noProof/>
        </w:rPr>
      </w:pPr>
      <w:r>
        <w:rPr>
          <w:noProof/>
        </w:rPr>
        <w:t xml:space="preserve">Tendo por intuito promover, através deste novo protocolo, a pesca sustentável e responsável, e, simultaneamente, assegurar benefícios mútuos para a UE e para a República do Senegal, a negociação da Comissão deve pautar-se pelos elementos seguintes: </w:t>
      </w:r>
    </w:p>
    <w:p>
      <w:pPr>
        <w:pStyle w:val="Bullet1"/>
        <w:numPr>
          <w:ilvl w:val="0"/>
          <w:numId w:val="2"/>
        </w:numPr>
        <w:rPr>
          <w:noProof/>
        </w:rPr>
      </w:pPr>
      <w:r>
        <w:rPr>
          <w:noProof/>
        </w:rPr>
        <w:t xml:space="preserve">Garantia do acesso à zona de pesca da República do Senegal e às autorizações necessárias para que os navios da frota da UE possam aí pescar, desenvolvendo deste passo, </w:t>
      </w:r>
      <w:r>
        <w:rPr>
          <w:i/>
          <w:noProof/>
        </w:rPr>
        <w:t>inter alia</w:t>
      </w:r>
      <w:r>
        <w:rPr>
          <w:noProof/>
        </w:rPr>
        <w:t xml:space="preserve">, a rede de acordos de parceria no domínio da pesca sustentável ao dispor dos operadores da UE na África Ocidental;  </w:t>
      </w:r>
    </w:p>
    <w:p>
      <w:pPr>
        <w:pStyle w:val="Bullet1"/>
        <w:numPr>
          <w:ilvl w:val="0"/>
          <w:numId w:val="13"/>
        </w:numPr>
        <w:rPr>
          <w:noProof/>
        </w:rPr>
      </w:pPr>
      <w:r>
        <w:rPr>
          <w:noProof/>
        </w:rPr>
        <w:t>Respeito dos melhores pareceres científicos disponíveis, assim como dos pertinentes planos de gestão adotados pelas organizações regionais de gestão das pescas (ORGP), a fim de garantir a sustentabilidade ambiental das atividades de pesca e promover a governação oceânica à escala internacional; as atividades de pesca devem ser dirigidas exclusivamente para os recursos disponíveis, tendo em conta as capacidades de pesca da frota local e prestando especial atenção ao caráter altamente migrador das unidades populacionais em causa;</w:t>
      </w:r>
    </w:p>
    <w:p>
      <w:pPr>
        <w:pStyle w:val="Bullet1"/>
        <w:numPr>
          <w:ilvl w:val="0"/>
          <w:numId w:val="13"/>
        </w:numPr>
        <w:rPr>
          <w:noProof/>
        </w:rPr>
      </w:pPr>
      <w:r>
        <w:rPr>
          <w:noProof/>
        </w:rPr>
        <w:t xml:space="preserve">Obtenção de uma parte adequada dos recursos haliêuticos excedentes, plenamente consentânea com os interesses das frotas da UE, sempre que tais recursos interessem também a frotas de países terceiros, </w:t>
      </w:r>
      <w:r>
        <w:rPr>
          <w:noProof/>
          <w:sz w:val="22"/>
        </w:rPr>
        <w:t>bem como garantia da aplicação das mesmas condições técnicas a todas as frotas estrangeiras</w:t>
      </w:r>
      <w:r>
        <w:rPr>
          <w:noProof/>
        </w:rPr>
        <w:t>;</w:t>
      </w:r>
    </w:p>
    <w:p>
      <w:pPr>
        <w:pStyle w:val="Bullet1"/>
        <w:numPr>
          <w:ilvl w:val="0"/>
          <w:numId w:val="13"/>
        </w:numPr>
        <w:rPr>
          <w:noProof/>
        </w:rPr>
      </w:pPr>
      <w:r>
        <w:rPr>
          <w:noProof/>
        </w:rPr>
        <w:t>Garantia de um acesso às pescarias baseado no historial da frota da UE nessa região e nas suas atividades previstas para o futuro, tendo em conta as melhores e mais recentes avaliações científicas disponíveis;</w:t>
      </w:r>
    </w:p>
    <w:p>
      <w:pPr>
        <w:pStyle w:val="Bullet1"/>
        <w:numPr>
          <w:ilvl w:val="0"/>
          <w:numId w:val="13"/>
        </w:numPr>
        <w:rPr>
          <w:noProof/>
        </w:rPr>
      </w:pPr>
      <w:r>
        <w:rPr>
          <w:noProof/>
        </w:rPr>
        <w:t xml:space="preserve">Estabelecimento de um diálogo destinado a reforçar a política setorial, com vista a: incentivar a aplicação de uma política das pescas responsável, que tenha em conta os objetivos de desenvolvimento do país, em particular no respeitante à governação das pescas, à luta contra a pesca ilegal, não declarada e não regulamentada, ao controlo, acompanhamento e vigilância das atividades de pesca e à emissão de pareceres científicos; bem como a fomentar a atividade económica e as oportunidades de emprego, contribuindo, </w:t>
      </w:r>
      <w:r>
        <w:rPr>
          <w:i/>
          <w:noProof/>
        </w:rPr>
        <w:t>inter alia</w:t>
      </w:r>
      <w:r>
        <w:rPr>
          <w:noProof/>
        </w:rPr>
        <w:t>, para a erradicação das causas da partida irregular de migrantes em proveniência do Senegal;</w:t>
      </w:r>
    </w:p>
    <w:p>
      <w:pPr>
        <w:pStyle w:val="Bullet1"/>
        <w:numPr>
          <w:ilvl w:val="0"/>
          <w:numId w:val="13"/>
        </w:numPr>
        <w:rPr>
          <w:noProof/>
        </w:rPr>
      </w:pPr>
      <w:r>
        <w:rPr>
          <w:noProof/>
        </w:rPr>
        <w:t xml:space="preserve">Garantia de que o protocolo contribua para a promoção do crescimento e do trabalho digno no domínio da atividade marítima, tendo em conta as pertinentes convenções da Organização Internacional do Trabalho (OIT); </w:t>
      </w:r>
    </w:p>
    <w:p>
      <w:pPr>
        <w:pStyle w:val="Bullet1"/>
        <w:numPr>
          <w:ilvl w:val="0"/>
          <w:numId w:val="13"/>
        </w:numPr>
        <w:rPr>
          <w:noProof/>
        </w:rPr>
      </w:pPr>
      <w:r>
        <w:rPr>
          <w:noProof/>
        </w:rPr>
        <w:t>Inclusão de uma cláusula sobre as consequências de eventuais violações de direitos humanos e de princípios democráticos.</w:t>
      </w:r>
    </w:p>
    <w:p>
      <w:pPr>
        <w:pStyle w:val="Tiret0"/>
        <w:numPr>
          <w:ilvl w:val="0"/>
          <w:numId w:val="12"/>
        </w:numPr>
        <w:rPr>
          <w:noProof/>
        </w:rPr>
      </w:pPr>
      <w:r>
        <w:rPr>
          <w:noProof/>
        </w:rPr>
        <w:lastRenderedPageBreak/>
        <w:t>O protocolo deve definir, em particular:</w:t>
      </w:r>
    </w:p>
    <w:p>
      <w:pPr>
        <w:pStyle w:val="Bullet1"/>
        <w:numPr>
          <w:ilvl w:val="0"/>
          <w:numId w:val="13"/>
        </w:numPr>
        <w:rPr>
          <w:noProof/>
        </w:rPr>
      </w:pPr>
      <w:r>
        <w:rPr>
          <w:noProof/>
        </w:rPr>
        <w:t>As possibilidades de pesca, por categoria, a conceder aos navios da União Europeia;</w:t>
      </w:r>
    </w:p>
    <w:p>
      <w:pPr>
        <w:pStyle w:val="Bullet1"/>
        <w:numPr>
          <w:ilvl w:val="0"/>
          <w:numId w:val="13"/>
        </w:numPr>
        <w:rPr>
          <w:noProof/>
        </w:rPr>
      </w:pPr>
      <w:r>
        <w:rPr>
          <w:noProof/>
        </w:rPr>
        <w:t xml:space="preserve">A compensação financeira e as condições de pagamento; </w:t>
      </w:r>
    </w:p>
    <w:p>
      <w:pPr>
        <w:pStyle w:val="Bullet1"/>
        <w:numPr>
          <w:ilvl w:val="0"/>
          <w:numId w:val="13"/>
        </w:numPr>
        <w:rPr>
          <w:noProof/>
        </w:rPr>
      </w:pPr>
      <w:r>
        <w:rPr>
          <w:noProof/>
        </w:rPr>
        <w:t xml:space="preserve">Os mecanismos de aplicação do apoio setorial. 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FE20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87EDB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C3A5E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08CB5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240CA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5AF3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9CAB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33E9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9"/>
  </w:num>
  <w:num w:numId="15">
    <w:abstractNumId w:val="12"/>
  </w:num>
  <w:num w:numId="16">
    <w:abstractNumId w:val="21"/>
  </w:num>
  <w:num w:numId="17">
    <w:abstractNumId w:val="11"/>
  </w:num>
  <w:num w:numId="18">
    <w:abstractNumId w:val="13"/>
  </w:num>
  <w:num w:numId="19">
    <w:abstractNumId w:val="9"/>
  </w:num>
  <w:num w:numId="20">
    <w:abstractNumId w:val="20"/>
  </w:num>
  <w:num w:numId="21">
    <w:abstractNumId w:val="8"/>
  </w:num>
  <w:num w:numId="22">
    <w:abstractNumId w:val="15"/>
  </w:num>
  <w:num w:numId="23">
    <w:abstractNumId w:val="17"/>
  </w:num>
  <w:num w:numId="24">
    <w:abstractNumId w:val="18"/>
  </w:num>
  <w:num w:numId="25">
    <w:abstractNumId w:val="10"/>
  </w:num>
  <w:num w:numId="26">
    <w:abstractNumId w:val="16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11 14:44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E9E238C-97C8-4771-ADE5-61C936FE6632"/>
    <w:docVar w:name="LW_COVERPAGE_TYPE" w:val="1"/>
    <w:docVar w:name="LW_CROSSREFERENCE" w:val="{SWD(2019) 207 final} - {SWD(2019) 208 final}"/>
    <w:docVar w:name="LW_DocType" w:val="ANNEX"/>
    <w:docVar w:name="LW_EMISSION" w:val="18.6.2019"/>
    <w:docVar w:name="LW_EMISSION_ISODATE" w:val="2019-06-18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de Decisão do Conselho que autoriza a Comissão a encetar negociações em nome da União Europeia com vista à celebração de um protocolo ao acordo de parceria no domínio da pesca sustentável com a República do Senegal"/>
    <w:docVar w:name="LW_OBJETACTEPRINCIPAL.CP" w:val="de Decisão do Conselho que autoriza a Comissão a encetar negociações em nome da União Europeia com vista à celebração de um protocolo ao acordo de parceria no domínio da pesca sustentável com a República do Senegal"/>
    <w:docVar w:name="LW_PART_NBR" w:val="1"/>
    <w:docVar w:name="LW_PART_NBR_TOTAL" w:val="1"/>
    <w:docVar w:name="LW_REF.INST.NEW" w:val="COM"/>
    <w:docVar w:name="LW_REF.INST.NEW_ADOPTED" w:val="final"/>
    <w:docVar w:name="LW_REF.INST.NEW_TEXT" w:val="(2019) 28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Recomendação "/>
    <w:docVar w:name="LW_TYPEACTEPRINCIPAL.CP" w:val="Recomendação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9E09-A738-4D40-8030-F2C33561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495</Words>
  <Characters>2728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DEBIEUVRE Marie (MARE)</dc:creator>
  <cp:lastModifiedBy>WES PDFC Administrator</cp:lastModifiedBy>
  <cp:revision>9</cp:revision>
  <cp:lastPrinted>2019-04-03T11:18:00Z</cp:lastPrinted>
  <dcterms:created xsi:type="dcterms:W3CDTF">2019-06-07T14:00:00Z</dcterms:created>
  <dcterms:modified xsi:type="dcterms:W3CDTF">2019-06-11T12:44:00Z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20141001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