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7CA523-3A32-4F92-9AAB-83BFF3AB390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color w:val="000000"/>
          <w:u w:color="000000"/>
          <w:bdr w:val="nil"/>
          <w:lang w:eastAsia="en-GB"/>
        </w:rPr>
      </w:pPr>
      <w:r>
        <w:rPr>
          <w:noProof/>
        </w:rPr>
        <w:t>1.</w:t>
      </w:r>
      <w:r>
        <w:rPr>
          <w:noProof/>
        </w:rPr>
        <w:tab/>
      </w:r>
      <w:r>
        <w:rPr>
          <w:rFonts w:eastAsia="Arial Unicode MS"/>
          <w:noProof/>
          <w:color w:val="000000"/>
          <w:u w:color="000000"/>
          <w:bdr w:val="nil"/>
          <w:lang w:eastAsia="en-GB"/>
        </w:rPr>
        <w:t>ΠΛΑΙΣΙΟ ΤΗΣ ΠΡΟΤΑΣΗΣ</w:t>
      </w:r>
    </w:p>
    <w:p>
      <w:pPr>
        <w:pBdr>
          <w:top w:val="nil"/>
          <w:left w:val="nil"/>
          <w:bottom w:val="nil"/>
          <w:right w:val="nil"/>
          <w:between w:val="nil"/>
          <w:bar w:val="nil"/>
        </w:pBdr>
        <w:spacing w:before="0" w:after="240"/>
        <w:rPr>
          <w:noProof/>
        </w:rPr>
      </w:pPr>
      <w:r>
        <w:rPr>
          <w:noProof/>
        </w:rPr>
        <w:t>Στις 20 Δεκεμβρίου 2018 το Συμβούλιο εξέδωσε την οδηγία (ΕΕ) 2018/2057 σχετικά με την προσωρινή εφαρμογή γενικευμένου μηχανισμού αντιστροφής της επιβάρυνσης («ΓΜΑΕ») για συναλλαγές που υπερβαίνουν το όριο των 17 500 EUR</w:t>
      </w:r>
      <w:r>
        <w:rPr>
          <w:rStyle w:val="FootnoteReference"/>
          <w:noProof/>
        </w:rPr>
        <w:footnoteReference w:id="1"/>
      </w:r>
      <w:r>
        <w:rPr>
          <w:noProof/>
        </w:rPr>
        <w:t>, μέσω τροποποίησης της οδηγίας ΦΠΑ</w:t>
      </w:r>
      <w:r>
        <w:rPr>
          <w:rStyle w:val="FootnoteReference"/>
          <w:noProof/>
        </w:rPr>
        <w:footnoteReference w:id="2"/>
      </w:r>
      <w:r>
        <w:rPr>
          <w:rStyle w:val="FootnoteReference"/>
          <w:noProof/>
        </w:rPr>
        <w:t>.</w:t>
      </w:r>
    </w:p>
    <w:p>
      <w:pPr>
        <w:pBdr>
          <w:top w:val="nil"/>
          <w:left w:val="nil"/>
          <w:bottom w:val="nil"/>
          <w:right w:val="nil"/>
          <w:between w:val="nil"/>
          <w:bar w:val="nil"/>
        </w:pBdr>
        <w:spacing w:before="0" w:after="240"/>
        <w:rPr>
          <w:noProof/>
        </w:rPr>
      </w:pPr>
      <w:r>
        <w:rPr>
          <w:noProof/>
        </w:rPr>
        <w:t>Η εν λόγω οδηγία αποτέλεσε συνέχεια του σχεδίου δράσης για τον ΦΠΑ</w:t>
      </w:r>
      <w:r>
        <w:rPr>
          <w:rStyle w:val="FootnoteReference"/>
          <w:noProof/>
        </w:rPr>
        <w:footnoteReference w:id="3"/>
      </w:r>
      <w:r>
        <w:rPr>
          <w:rStyle w:val="FootnoteReference"/>
          <w:noProof/>
        </w:rPr>
        <w:t>,</w:t>
      </w:r>
      <w:r>
        <w:rPr>
          <w:noProof/>
        </w:rPr>
        <w:t xml:space="preserve"> στο οποίο η Επιτροπή ανακοίνωσε τις προθέσεις της όσον αφορά τη θέσπιση ενός οριστικού συστήματος ΦΠΑ για τις διασυνοριακές ενδοενωσιακές εμπορικές συναλλαγές μεταξύ επιχειρήσεων</w:t>
      </w:r>
      <w:r>
        <w:rPr>
          <w:rStyle w:val="FootnoteReference"/>
          <w:noProof/>
        </w:rPr>
        <w:footnoteReference w:id="4"/>
      </w:r>
      <w:r>
        <w:rPr>
          <w:rStyle w:val="FootnoteReference"/>
          <w:noProof/>
        </w:rPr>
        <w:t>.</w:t>
      </w:r>
      <w:r>
        <w:rPr>
          <w:noProof/>
        </w:rPr>
        <w:t xml:space="preserve"> Ωστόσο, δεδομένου ότι θα απαιτείτο διάστημα αρκετών ετών έως ότου τεθεί σε εφαρμογή ένα τέτοιο οριστικό σύστημα ΦΠΑ, ορισμένα κράτη μέλη ζήτησαν να λάβουν, στο μεταξύ, επείγοντα και ειδικά μέτρα για την καταπολέμηση της αλυσιδωτής απάτης</w:t>
      </w:r>
      <w:r>
        <w:rPr>
          <w:rStyle w:val="FootnoteReference"/>
          <w:noProof/>
        </w:rPr>
        <w:footnoteReference w:id="5"/>
      </w:r>
      <w:r>
        <w:rPr>
          <w:rStyle w:val="FootnoteReference"/>
          <w:noProof/>
        </w:rPr>
        <w:t>.</w:t>
      </w:r>
      <w:r>
        <w:rPr>
          <w:noProof/>
        </w:rPr>
        <w:t xml:space="preserve"> Ειδικότερα, ζήτησαν να τους δοθεί η δυνατότητα να εφαρμόσουν έναν προσωρινό ΓΜΑΕ, αίτημα το οποίο, κατόπιν σχετικής πρότασης της Επιτροπής</w:t>
      </w:r>
      <w:r>
        <w:rPr>
          <w:rStyle w:val="FootnoteReference"/>
          <w:noProof/>
        </w:rPr>
        <w:footnoteReference w:id="6"/>
      </w:r>
      <w:r>
        <w:rPr>
          <w:noProof/>
        </w:rPr>
        <w:t>, οδήγησε στην οδηγία (ΕΕ) 2018/2057 (στο εξής η «οδηγία ΓΜΑΕ»).</w:t>
      </w:r>
    </w:p>
    <w:p>
      <w:pPr>
        <w:pBdr>
          <w:top w:val="nil"/>
          <w:left w:val="nil"/>
          <w:bottom w:val="nil"/>
          <w:right w:val="nil"/>
          <w:between w:val="nil"/>
          <w:bar w:val="nil"/>
        </w:pBdr>
        <w:spacing w:before="0" w:after="240"/>
        <w:rPr>
          <w:noProof/>
        </w:rPr>
      </w:pPr>
      <w:r>
        <w:rPr>
          <w:noProof/>
        </w:rPr>
        <w:t>Σύμφωνα με τη συγκεκριμένη οδηγία, υπάρχει η δυνατότητα για τα κράτη μέλη που πληρούν ορισμένα καθορισμένα κριτήρια να τους επιτραπεί, κατόπιν αίτησής τους, η εφαρμογή προσωρινού ΓΜΑΕ έως τις 30 Ιουνίου 2022. Με επιστολές που πρωτοκολλήθηκαν στην Επιτροπή στις 21 Ιανουαρίου 2019 και στις 22 Μαρτίου 2019, η Τσεχία ζήτησε την εν λόγω άδεια και παρείχε πληροφορίες με σκοπό να αποδείξει ότι πληροί τα κριτήρια.</w:t>
      </w:r>
    </w:p>
    <w:p>
      <w:pPr>
        <w:pBdr>
          <w:top w:val="nil"/>
          <w:left w:val="nil"/>
          <w:bottom w:val="nil"/>
          <w:right w:val="nil"/>
          <w:between w:val="nil"/>
          <w:bar w:val="nil"/>
        </w:pBdr>
        <w:spacing w:before="0" w:after="240"/>
        <w:rPr>
          <w:noProof/>
        </w:rPr>
      </w:pPr>
      <w:r>
        <w:rPr>
          <w:noProof/>
        </w:rPr>
        <w:t>Η παρούσα πρόταση δεν θα πρέπει να αποκλείσει τις υπό εξέλιξη συζητήσεις σχετικά με το οριστικό σύστημα ΦΠΑ</w:t>
      </w:r>
      <w:r>
        <w:rPr>
          <w:rStyle w:val="FootnoteReference"/>
          <w:noProof/>
        </w:rPr>
        <w:footnoteReference w:id="7"/>
      </w:r>
      <w:r>
        <w:rPr>
          <w:rStyle w:val="FootnoteReference"/>
          <w:noProof/>
        </w:rPr>
        <w:t xml:space="preserve">. </w:t>
      </w:r>
    </w:p>
    <w:p>
      <w:pPr>
        <w:keepNext/>
        <w:tabs>
          <w:tab w:val="left" w:pos="850"/>
        </w:tabs>
        <w:ind w:left="850" w:hanging="850"/>
        <w:outlineLvl w:val="1"/>
        <w:rPr>
          <w:rFonts w:eastAsia="Arial Unicode MS"/>
          <w:b/>
          <w:noProof/>
        </w:rPr>
      </w:pPr>
      <w:r>
        <w:rPr>
          <w:b/>
          <w:noProof/>
          <w:color w:val="000000"/>
          <w:u w:color="000000"/>
          <w:bdr w:val="nil"/>
        </w:rPr>
        <w:t>•</w:t>
      </w:r>
      <w:r>
        <w:rPr>
          <w:b/>
          <w:noProof/>
          <w:color w:val="000000"/>
          <w:u w:color="000000"/>
          <w:bdr w:val="nil"/>
        </w:rPr>
        <w:tab/>
      </w:r>
      <w:r>
        <w:rPr>
          <w:b/>
          <w:noProof/>
        </w:rPr>
        <w:t>Αιτιολόγηση και στόχοι της πρότασης</w:t>
      </w:r>
    </w:p>
    <w:p>
      <w:pPr>
        <w:pBdr>
          <w:top w:val="nil"/>
          <w:left w:val="nil"/>
          <w:bottom w:val="nil"/>
          <w:right w:val="nil"/>
          <w:between w:val="nil"/>
          <w:bar w:val="nil"/>
        </w:pBdr>
        <w:spacing w:before="0" w:after="240"/>
        <w:rPr>
          <w:noProof/>
        </w:rPr>
      </w:pPr>
      <w:r>
        <w:rPr>
          <w:noProof/>
        </w:rPr>
        <w:t xml:space="preserve">Τα κριτήρια που πρέπει να πληρούνται και η διαδικασία που πρέπει να ακολουθείται για τη χορήγηση άδειας εφαρμογής του ΓΜΑΕ παρατίθενται στο νέο άρθρο 199γ παράγραφοι 1 έως 4 της </w:t>
      </w:r>
      <w:r>
        <w:rPr>
          <w:noProof/>
        </w:rPr>
        <w:lastRenderedPageBreak/>
        <w:t>οδηγίας ΦΠΑ, το οποίο εισάγεται με την οδηγία ΓΜΑΕ. Η Τσεχία παρείχε, εν προκειμένω, τις ακόλουθες πληροφορίες, όπως απαιτείται ιδίως βάσει του άρθρου 199γ παράγραφος 3.</w:t>
      </w:r>
    </w:p>
    <w:p>
      <w:pPr>
        <w:pStyle w:val="ManualNumPar1"/>
        <w:rPr>
          <w:noProof/>
        </w:rPr>
      </w:pPr>
      <w:r>
        <w:t>1.</w:t>
      </w:r>
      <w:r>
        <w:tab/>
      </w:r>
      <w:r>
        <w:rPr>
          <w:noProof/>
        </w:rPr>
        <w:t>Αναλυτική αιτιολόγηση εκπλήρωσης των σχετικών κριτηρίων [άρθρο 199γ παράγραφος 3 στοιχείο α), σε συνάρτηση με την παράγραφο 1, της οδηγίας ΦΠΑ].</w:t>
      </w:r>
    </w:p>
    <w:p>
      <w:pPr>
        <w:pStyle w:val="Text1"/>
        <w:rPr>
          <w:noProof/>
        </w:rPr>
      </w:pPr>
    </w:p>
    <w:p>
      <w:pPr>
        <w:pStyle w:val="ManualNumPar2"/>
        <w:rPr>
          <w:noProof/>
        </w:rPr>
      </w:pPr>
      <w:r>
        <w:t>1.1.</w:t>
      </w:r>
      <w:r>
        <w:tab/>
      </w:r>
      <w:r>
        <w:rPr>
          <w:noProof/>
        </w:rPr>
        <w:t>Έλλειμμα ΦΠΑ που υπερέβη κατά τουλάχιστον 5 εκατοστιαίες μονάδες τη διάμεση τιμή του ελλείμματος ΦΠΑ της Κοινότητας το 2014, σύμφωνα με την τελική έκθεση της 23ης Αυγούστου 2016 για το έλλειμμα ΦΠΑ.</w:t>
      </w:r>
    </w:p>
    <w:p>
      <w:pPr>
        <w:pBdr>
          <w:top w:val="nil"/>
          <w:left w:val="nil"/>
          <w:bottom w:val="nil"/>
          <w:right w:val="nil"/>
          <w:between w:val="nil"/>
          <w:bar w:val="nil"/>
        </w:pBdr>
        <w:spacing w:before="0" w:after="240"/>
        <w:rPr>
          <w:noProof/>
        </w:rPr>
      </w:pPr>
      <w:r>
        <w:rPr>
          <w:noProof/>
        </w:rPr>
        <w:t>Το 2014, το έλλειμμα ΦΠΑ της Τσεχίας ανήλθε στο 16,14 % της συνολικής υποχρέωσης ΦΠΑ σύμφωνα με την τελική έκθεση 2016 της 23ης Αυγούστου 2016 για το έλλειμμα ΦΠΑ την οποία δημοσίευσε η Επιτροπή</w:t>
      </w:r>
      <w:r>
        <w:rPr>
          <w:rStyle w:val="FootnoteReference"/>
          <w:noProof/>
        </w:rPr>
        <w:footnoteReference w:id="8"/>
      </w:r>
      <w:r>
        <w:rPr>
          <w:rStyle w:val="FootnoteReference"/>
          <w:noProof/>
        </w:rPr>
        <w:t xml:space="preserve">. </w:t>
      </w:r>
      <w:r>
        <w:rPr>
          <w:noProof/>
        </w:rPr>
        <w:t>Στην εν λόγω έκθεση αναφέρεται επίσης ότι η διάμεση τιμή του ελλείμματος ΦΠΑ στην Ευρωπαϊκή Ένωση (ΕΕ) ανήλθε στο 10,4 %. Συνεπώς, το έλλειμμα ΦΠΑ της Τσεχίας υπερβαίνει τη διάμεση τιμή του ελλείμματος ΦΠΑ κατά περισσότερο από 5 ποσοστιαίες μονάδες.</w:t>
      </w:r>
    </w:p>
    <w:p>
      <w:pPr>
        <w:pStyle w:val="ManualNumPar2"/>
        <w:rPr>
          <w:noProof/>
        </w:rPr>
      </w:pPr>
      <w:r>
        <w:t>1.2.</w:t>
      </w:r>
      <w:r>
        <w:tab/>
      </w:r>
      <w:r>
        <w:rPr>
          <w:noProof/>
        </w:rPr>
        <w:t>Επίπεδο αλυσιδωτής απάτης που υπερβαίνει το 25 % του συνολικού ελλείμματος ΦΠΑ με βάση την εκτίμηση επιπτώσεων που συνόδευσε τη νομοθετική πρόταση για την οδηγία ΓΜΑΕ.</w:t>
      </w:r>
    </w:p>
    <w:p>
      <w:pPr>
        <w:pBdr>
          <w:top w:val="nil"/>
          <w:left w:val="nil"/>
          <w:bottom w:val="nil"/>
          <w:right w:val="nil"/>
          <w:between w:val="nil"/>
          <w:bar w:val="nil"/>
        </w:pBdr>
        <w:spacing w:before="0" w:after="240"/>
        <w:rPr>
          <w:noProof/>
        </w:rPr>
      </w:pPr>
      <w:r>
        <w:rPr>
          <w:noProof/>
        </w:rPr>
        <w:t>Σύμφωνα με τη συγκεκριμένη εκτίμηση επιπτώσεων</w:t>
      </w:r>
      <w:r>
        <w:rPr>
          <w:rStyle w:val="FootnoteReference"/>
          <w:noProof/>
        </w:rPr>
        <w:footnoteReference w:id="9"/>
      </w:r>
      <w:r>
        <w:rPr>
          <w:rStyle w:val="FootnoteReference"/>
          <w:noProof/>
        </w:rPr>
        <w:t>,</w:t>
      </w:r>
      <w:r>
        <w:rPr>
          <w:noProof/>
        </w:rPr>
        <w:t xml:space="preserve"> το 28 % του ελλείμματος ΦΠΑ της Τσεχίας οφείλεται στην αλυσιδωτή απάτη. Ως εκ τούτου, πληρούται το συγκεκριμένο κριτήριο.</w:t>
      </w:r>
    </w:p>
    <w:p>
      <w:pPr>
        <w:pStyle w:val="ManualNumPar2"/>
        <w:rPr>
          <w:noProof/>
        </w:rPr>
      </w:pPr>
      <w:r>
        <w:t>1.3.</w:t>
      </w:r>
      <w:r>
        <w:tab/>
      </w:r>
      <w:r>
        <w:rPr>
          <w:noProof/>
        </w:rPr>
        <w:t>Διαπιστώνεται ότι για την καταπολέμηση της αλυσιδωτής απάτης δεν επαρκούν άλλα μέτρα ελέγχου ούτε η διοικητική συνεργασία στον τομέα του ΦΠΑ.</w:t>
      </w:r>
    </w:p>
    <w:p>
      <w:pPr>
        <w:pBdr>
          <w:top w:val="nil"/>
          <w:left w:val="nil"/>
          <w:bottom w:val="nil"/>
          <w:right w:val="nil"/>
          <w:between w:val="nil"/>
          <w:bar w:val="nil"/>
        </w:pBdr>
        <w:spacing w:before="0" w:after="240"/>
        <w:rPr>
          <w:noProof/>
        </w:rPr>
      </w:pPr>
      <w:r>
        <w:rPr>
          <w:noProof/>
        </w:rPr>
        <w:t xml:space="preserve">Σύμφωνα με τις πληροφορίες που παρείχε η Τσεχία, το συγκεκριμένο κράτος μέλος έχει λάβει σειρά ειδικών μέτρων ελέγχου κατά της απάτης στον τομέα του ΦΠΑ. Στη συνέχεια παρέχεται επισκόπηση των εν λόγω μέτρων, συνοδευόμενη από αξιολόγηση της Τσεχίας όσον αφορά τη λειτουργία και το αποτέλεσμά τους. Ακολουθεί εκτίμηση της Τσεχίας όσον αφορά τη διοικητική συνεργασία με τα άλλα κράτη μέλη στον τομέα του ΦΠΑ. </w:t>
      </w:r>
    </w:p>
    <w:p>
      <w:pPr>
        <w:pStyle w:val="ManualNumPar3"/>
        <w:rPr>
          <w:noProof/>
        </w:rPr>
      </w:pPr>
      <w:r>
        <w:t>1.3.1.</w:t>
      </w:r>
      <w:r>
        <w:tab/>
      </w:r>
      <w:r>
        <w:rPr>
          <w:noProof/>
        </w:rPr>
        <w:t>Εφαρμογή του τομεακού μηχανισμού αντιστροφής της επιβάρυνσης</w:t>
      </w:r>
    </w:p>
    <w:p>
      <w:pPr>
        <w:pBdr>
          <w:top w:val="nil"/>
          <w:left w:val="nil"/>
          <w:bottom w:val="nil"/>
          <w:right w:val="nil"/>
          <w:between w:val="nil"/>
          <w:bar w:val="nil"/>
        </w:pBdr>
        <w:spacing w:before="0" w:after="240"/>
        <w:rPr>
          <w:noProof/>
        </w:rPr>
      </w:pPr>
      <w:r>
        <w:rPr>
          <w:noProof/>
        </w:rPr>
        <w:t>Με βάση τα άρθρα 199 και 199α της οδηγίας ΦΠΑ, η Τσεχία επέκτεινε την εφαρμογή του μηχανισμού αντιστροφής της επιβάρυνσης στις παραδόσεις σε διάφορους τομείς, μεταξύ των οποίων: κατασκευαστικές εργασίες, προσωπικό που απασχολείται σε κατασκευαστικές εργασίες, ακίνητα στις περιπτώσεις κατά τις οποίες ο προμηθευτής έχει επιλέξει τη φορολόγηση, απορρίμματα και αποκόμματα, αγαθά που παρέχονται ως εγγύηση και παραδίδονται για την εκτέλεση της εν λόγω εγγύησης, αγαθά για τα οποία έχει εκχωρηθεί δικαίωμα επιφύλαξης κυριότητας σε εκδοχέα και τα οποία παραδίδονται στο πλαίσιο της άσκησης του εν λόγω δικαιώματος από τον εκδοχέα, ακίνητα που βρίσκονται στην κατοχή οφειλέτη και παραδίδονται σε διαδικασία αναγκαστικής εκποίησης, δικαιώματα εκπομπής αερίων θερμοκηπίου, κινητά τηλέφωνα, μηχανισμοί ολοκληρωμένων κυκλωμάτων, πιστοποιητικά παροχής φυσικού αερίου και ηλεκτρισμού, ορισμένες τηλεπικοινωνιακές υπηρεσίες, κονσόλες για παιχνίδια, φορητοί υπολογιστές, δημητριακά και ορισμένες καλλιέργειες, ορισμένα μέταλλα (συμπεριλαμβανομένων των πολύτιμων μετάλλων).</w:t>
      </w:r>
    </w:p>
    <w:p>
      <w:pPr>
        <w:pBdr>
          <w:top w:val="nil"/>
          <w:left w:val="nil"/>
          <w:bottom w:val="nil"/>
          <w:right w:val="nil"/>
          <w:between w:val="nil"/>
          <w:bar w:val="nil"/>
        </w:pBdr>
        <w:spacing w:before="0" w:after="240"/>
        <w:rPr>
          <w:noProof/>
        </w:rPr>
      </w:pPr>
      <w:r>
        <w:rPr>
          <w:noProof/>
        </w:rPr>
        <w:lastRenderedPageBreak/>
        <w:t>Σύμφωνα με την αξιολόγηση της Τσεχίας, τα εν λόγω μέτρα υπήρξαν πολύ αποτελεσματικά αλλά δεν απέτρεψαν τη μετατόπιση της απάτης σε άλλους τομείς· π.χ. από τα κινητά τηλέφωνα σε άλλες ηλεκτρονικές συσκευές, από τον χρυσό σε άλλα μέταλλα (άργυρος, πλατίνα).</w:t>
      </w:r>
    </w:p>
    <w:p>
      <w:pPr>
        <w:pStyle w:val="ManualNumPar3"/>
        <w:rPr>
          <w:noProof/>
        </w:rPr>
      </w:pPr>
      <w:r>
        <w:t>1.3.2.</w:t>
      </w:r>
      <w:r>
        <w:tab/>
      </w:r>
      <w:r>
        <w:rPr>
          <w:noProof/>
        </w:rPr>
        <w:t>Αλληλέγγυα ευθύνη</w:t>
      </w:r>
    </w:p>
    <w:p>
      <w:pPr>
        <w:pBdr>
          <w:top w:val="nil"/>
          <w:left w:val="nil"/>
          <w:bottom w:val="nil"/>
          <w:right w:val="nil"/>
          <w:between w:val="nil"/>
          <w:bar w:val="nil"/>
        </w:pBdr>
        <w:spacing w:before="0" w:after="240"/>
        <w:rPr>
          <w:noProof/>
        </w:rPr>
      </w:pPr>
      <w:r>
        <w:rPr>
          <w:noProof/>
        </w:rPr>
        <w:t xml:space="preserve">Με βάση το άρθρο 205 της οδηγίας ΦΠΑ, η Τσεχία εισήγαγε, για τις παραδόσεις μεταξύ υποκείμενων στον φόρο προσώπων, την αλληλέγγυα ευθύνη για τους σκοπούς του ΦΠΑ σε διάφορες περιπτώσεις. Επομένως, η αλληλέγγυα ευθύνη εφαρμόζεται σε σχέση με ορισμένες παραδόσεις ορυκτελαίων και άλλων προϊόντων που υπόκεινται σε ειδικούς φόρους κατανάλωσης. </w:t>
      </w:r>
    </w:p>
    <w:p>
      <w:pPr>
        <w:pBdr>
          <w:top w:val="nil"/>
          <w:left w:val="nil"/>
          <w:bottom w:val="nil"/>
          <w:right w:val="nil"/>
          <w:between w:val="nil"/>
          <w:bar w:val="nil"/>
        </w:pBdr>
        <w:spacing w:before="0" w:after="240"/>
        <w:rPr>
          <w:noProof/>
        </w:rPr>
      </w:pPr>
      <w:r>
        <w:rPr>
          <w:noProof/>
        </w:rPr>
        <w:t>Επιπλέον οι πελάτες είναι αλληλεγγύως υπεύθυνοι για την καταβολή του ΦΠΑ όσον αφορά κάθε άλλη παράδοση αγαθών ή παροχή υπηρεσιών όταν έχει διαπιστωθεί ότι ο πελάτης δεν ενήργησε καλόπιστα, ιδίως όταν πληρούται το κριτήριο του «ελέγχου γνώσης», δηλαδή όταν ο πελάτης γνώριζε ή όφειλε να γνωρίζει ότι ο προμηθευτής σκοπίμως δεν επρόκειτο να καταβάλει τον ΦΠΑ στη φορολογική διοίκηση. Επιπλέον, σε ορισμένες ιδιαίτερες περιπτώσεις εφαρμόζεται συστηματικά η αλληλέγγυα ευθύνη του πελάτη, για παράδειγμα, όταν η τιμή αποκλίνει εμφανώς από την κανονική τιμή αγοράς, χωρίς προφανή αιτιολογία· όταν χρησιμοποιείται εικονικό νόμισμα, ή όταν ο προμηθευτής είναι αναξιόπιστο υποκείμενο στον φόρο πρόσωπο (βλ. περαιτέρω, σημείο 1.3.4).</w:t>
      </w:r>
    </w:p>
    <w:p>
      <w:pPr>
        <w:pBdr>
          <w:top w:val="nil"/>
          <w:left w:val="nil"/>
          <w:bottom w:val="nil"/>
          <w:right w:val="nil"/>
          <w:between w:val="nil"/>
          <w:bar w:val="nil"/>
        </w:pBdr>
        <w:spacing w:before="0" w:after="240"/>
        <w:rPr>
          <w:noProof/>
        </w:rPr>
      </w:pPr>
      <w:r>
        <w:rPr>
          <w:noProof/>
        </w:rPr>
        <w:t>Σύμφωνα με την αξιολόγηση της Τσεχίας, το συγκεκριμένο μέτρο έχει αποτρεπτικό χαρακτήρα, ωστόσο είναι δύσκολο να εφαρμοστεί σε πολύπλοκες καταστάσεις εντός των αλυσίδων εφοδιασμού, ιδίως όταν ο πελάτης ενός αφανούς εμπόρου είναι οντότητα χωρίς κανένα περιουσιακό στοιχείο. Επιπλέον, σημαντικά προβλήματα έχει δημιουργήσει επίσης στις φορολογικές αρχές ο «έλεγχος γνώσης», καθώς τα εθνικά δικαστήρια έχουν αποφανθεί ότι εναπόκειται στην φορολογική διοίκηση να αποδείξει ότι ο πελάτης «γνώριζε ή όφειλε να γνωρίζει» ότι ο προμηθευτής δεν θα κατέβαλε τον ΦΠΑ.</w:t>
      </w:r>
    </w:p>
    <w:p>
      <w:pPr>
        <w:pStyle w:val="ManualNumPar3"/>
        <w:rPr>
          <w:noProof/>
        </w:rPr>
      </w:pPr>
      <w:r>
        <w:t>1.3.3.</w:t>
      </w:r>
      <w:r>
        <w:tab/>
      </w:r>
      <w:r>
        <w:rPr>
          <w:noProof/>
        </w:rPr>
        <w:t>Μηχανισμός διαχωρισμού των πληρωμών</w:t>
      </w:r>
    </w:p>
    <w:p>
      <w:pPr>
        <w:pBdr>
          <w:top w:val="nil"/>
          <w:left w:val="nil"/>
          <w:bottom w:val="nil"/>
          <w:right w:val="nil"/>
          <w:between w:val="nil"/>
          <w:bar w:val="nil"/>
        </w:pBdr>
        <w:spacing w:before="0" w:after="240"/>
        <w:rPr>
          <w:noProof/>
        </w:rPr>
      </w:pPr>
      <w:r>
        <w:rPr>
          <w:noProof/>
        </w:rPr>
        <w:t>Η Τσεχία θέσπισε προαιρετικό μηχανισμό διαχωρισμού των πληρωμών. Μέσω του εν λόγω μηχανισμού, ο πελάτης καταβάλλει τον ΦΠΑ απευθείας στη φορολογική διοίκηση και όχι πλέον στον προμηθευτή. Με τον τρόπο αυτό εξαλείφεται η υποχρέωση ΦΠΑ του πελάτη όσον αφορά τον συνολικό ΦΠΑ μιας συναλλαγής στις περιπτώσεις που ο πελάτης είναι αλληλεγγύως υπεύθυνος με βάση τις προϋποθέσεις που παρατίθενται στο σημείο 1.3.2.</w:t>
      </w:r>
    </w:p>
    <w:p>
      <w:pPr>
        <w:pBdr>
          <w:top w:val="nil"/>
          <w:left w:val="nil"/>
          <w:bottom w:val="nil"/>
          <w:right w:val="nil"/>
          <w:between w:val="nil"/>
          <w:bar w:val="nil"/>
        </w:pBdr>
        <w:spacing w:before="0" w:after="240"/>
        <w:rPr>
          <w:noProof/>
        </w:rPr>
      </w:pPr>
      <w:r>
        <w:rPr>
          <w:noProof/>
        </w:rPr>
        <w:t>Σύμφωνα με την Τσεχία, το μέτρο είναι αποτελεσματικό αλλά έχει μειονεκτήματα λόγω του προαιρετικού χαρακτήρα του. Κατά την άποψη της Τσεχίας, ο υποχρεωτικός διαχωρισμός των πληρωμών είναι υπερβολικά απαιτητικός από διοικητική και οικονομική άποψη όσον αφορά την αυξημένη διαχείριση των πληρωμών, του προσωπικού και των δαπανών ΤΠ, τόσο για τους εμπόρους όσο και για τις φορολογικές αρχές. Επιπλέον, αν ο πελάτης δεν χρησιμοποιήσει τον μηχανισμό διαχωρισμού των πληρωμών, δεν μπορεί να θεωρηθεί ότι πληρούνται οι προϋποθέσεις του «ελέγχου γνώσης». Τα εθνικά δικαστήρια έχουν αποφανθεί ότι, ακόμα και σ’ αυτή την περίπτωση, η φορολογική διοίκηση οφείλει να αποδείξει ότι ο πελάτης γνώριζε, ή όφειλε να γνωρίζει, ότι εμπλέκεται σε απάτη. Επιπλέον, ο ΦΠΑ μπορεί να εισπραχθεί μόνο από τον πελάτη που δεν έχει χρησιμοποιήσει τον μηχανισμό διαχωρισμού των πληρωμών στο πλαίσιο της αλληλέγγυας ευθύνης, εφόσον η είσπραξη από τον προμηθευτή έχει αποδειχθεί ανεπιτυχής· ως εκ τούτου, για την αποτελεσματική είσπραξη απαιτείται η παρέλευση ορισμένης χρονικής περιόδου.</w:t>
      </w:r>
    </w:p>
    <w:p>
      <w:pPr>
        <w:pStyle w:val="ManualNumPar3"/>
        <w:rPr>
          <w:noProof/>
        </w:rPr>
      </w:pPr>
      <w:r>
        <w:t>1.3.4.</w:t>
      </w:r>
      <w:r>
        <w:tab/>
      </w:r>
      <w:r>
        <w:rPr>
          <w:noProof/>
        </w:rPr>
        <w:t>Ταυτοποίηση αναξιόπιστων υποκείμενων στον φόρο προσώπων (για εγγεγραμμένα στο μητρώο ΦΠΑ πρόσωπα)</w:t>
      </w:r>
    </w:p>
    <w:p>
      <w:pPr>
        <w:pBdr>
          <w:top w:val="nil"/>
          <w:left w:val="nil"/>
          <w:bottom w:val="nil"/>
          <w:right w:val="nil"/>
          <w:between w:val="nil"/>
          <w:bar w:val="nil"/>
        </w:pBdr>
        <w:spacing w:before="0" w:after="240"/>
        <w:rPr>
          <w:noProof/>
        </w:rPr>
      </w:pPr>
      <w:r>
        <w:rPr>
          <w:noProof/>
        </w:rPr>
        <w:lastRenderedPageBreak/>
        <w:t>Όταν σημειώνεται σοβαρή παραβίαση των φορολογικών υποχρεώσεων, η φορολογική διοίκηση μπορεί να χαρακτηρίσει ένα υποκείμενο στον φόρο πρόσωπο ως αναξιόπιστο με βάση ορισμένα κριτήρια, και ιδίως τα ακόλουθα: σωρευτικές καθυστερούμενες καταβολές ΦΠΑ για τουλάχιστον τρεις διαδοχικούς ημερολογιακούς μήνες, ύψους τουλάχιστον 500 000 CZK, παραβίαση φορολογικών υποχρεώσεων που οδηγούν σε φορολογικές ρυθμίσεις από τη φορολογική διοίκηση σε τουλάχιστον δύο σε σύνολο έξι διαδοχικών φορολογικών περιόδων, απόρριψη από τη φορολογική διοίκηση, λόγω φορολογικών παραβάσεων, αίτησης έκπτωσης του ΦΠΑ εισροών, ύψους τουλάχιστον 500 000 CZK, μη ανταπόκριση στα αιτήματα της φορολογικής διοίκησης, μη υποβολή δήλωσης ΦΠΑ τουλάχιστον δύο φορές κατά τη διάρκεια δώδεκα διαδοχικών ημερολογιακών μηνών, παροχή ψευδών ή ελλιπών πληροφοριών για τους σκοπούς της εγγραφής στο μητρώο ΦΠΑ ή διαπίστωση εκ μέρους της φορολογικής διοίκησης ότι δεν έχει δηλωθεί ΦΠΑ επί των εκροών, ύψους τουλάχιστον 500 000 CZK. Πληροφορίες σχετικά με τα αναξιόπιστα υποκείμενα στον φόρο πρόσωπα δημοσιεύονται στον δικτυακό τόπο της φορολογικής διοίκησης και προβλέπεται διαδικασία προσφυγής.</w:t>
      </w:r>
    </w:p>
    <w:p>
      <w:pPr>
        <w:pBdr>
          <w:top w:val="nil"/>
          <w:left w:val="nil"/>
          <w:bottom w:val="nil"/>
          <w:right w:val="nil"/>
          <w:between w:val="nil"/>
          <w:bar w:val="nil"/>
        </w:pBdr>
        <w:spacing w:before="0" w:after="240"/>
        <w:rPr>
          <w:noProof/>
        </w:rPr>
      </w:pPr>
      <w:r>
        <w:rPr>
          <w:noProof/>
        </w:rPr>
        <w:t>Σύμφωνα με την Τσεχία, το μέτρο έχει αποτρεπτικό χαρακτήρα αλλά απαιτεί τη λήψη αποτελεσματικής απόφασης από τη φορολογική διοίκηση, πριν από την οποία οι υπαίτιοι μπορούν ήδη να διαπράττουν απάτη. Επιπλέον, το μέτρο δεν είναι στην πραγματικότητα αποτελεσματικό σε διασυνοριακές καταστάσεις, δεδομένου ότι ένα αναξιόπιστο υποκείμενο στον φόρο πρόσωπο στην Τσεχία μπορεί να συνεχίσει να χρησιμοποιεί (έγκυρο) αριθμό φορολογικού μητρώου ΦΠΑ για ενδοκοινοτικούς μηχανισμούς απάτης.</w:t>
      </w:r>
    </w:p>
    <w:p>
      <w:pPr>
        <w:pStyle w:val="ManualNumPar3"/>
        <w:rPr>
          <w:noProof/>
        </w:rPr>
      </w:pPr>
      <w:r>
        <w:t>1.3.5.</w:t>
      </w:r>
      <w:r>
        <w:tab/>
      </w:r>
      <w:r>
        <w:rPr>
          <w:noProof/>
        </w:rPr>
        <w:t>Ταυτοποίηση αναξιόπιστων προσώπων (για μη εγγεγραμμένα στο μητρώο ΦΠΑ πρόσωπα)</w:t>
      </w:r>
    </w:p>
    <w:p>
      <w:pPr>
        <w:pBdr>
          <w:top w:val="nil"/>
          <w:left w:val="nil"/>
          <w:bottom w:val="nil"/>
          <w:right w:val="nil"/>
          <w:between w:val="nil"/>
          <w:bar w:val="nil"/>
        </w:pBdr>
        <w:spacing w:before="0" w:after="240"/>
        <w:rPr>
          <w:noProof/>
        </w:rPr>
      </w:pPr>
      <w:r>
        <w:rPr>
          <w:noProof/>
        </w:rPr>
        <w:t>Το μέτρο, παρόμοιο με το προαναφερθέν, αποσκοπεί στην ταυτοποίηση αναξιόπιστων προσώπων. Ωστόσο, εν προκειμένω, στόχος είναι τα πρόσωπα που δεν έχουν (ακόμα) εγγραφεί στο μητρώο ΦΠΑ, όμως έχουν ήδη παραβιάσει ορισμένες υποχρεώσεις ΦΠΑ. Ο κατάλογος των αναξιόπιστων προσώπων δημοσιεύεται στον δικτυακό τόπο της φορολογικής διοίκησης.</w:t>
      </w:r>
    </w:p>
    <w:p>
      <w:pPr>
        <w:pBdr>
          <w:top w:val="nil"/>
          <w:left w:val="nil"/>
          <w:bottom w:val="nil"/>
          <w:right w:val="nil"/>
          <w:between w:val="nil"/>
          <w:bar w:val="nil"/>
        </w:pBdr>
        <w:spacing w:before="0" w:after="240"/>
        <w:rPr>
          <w:noProof/>
        </w:rPr>
      </w:pPr>
      <w:r>
        <w:rPr>
          <w:noProof/>
        </w:rPr>
        <w:t>Αν το εν λόγω αναξιόπιστο πρόσωπο εγγραφεί στο μητρώο ΦΠΑ, τότε αυτομάτως αποκτά το καθεστώς του αναξιόπιστου υποκείμενου στον φόρο προσώπου κατά την έννοια του μέτρου που περιγράφεται στο σημείο 1.3.4. Επιπλέον, όταν ένα αναξιόπιστο υποκείμενο στον φόρο πρόσωπο διαγράφεται από το μητρώο ΦΠΑ, το καθεστώς του αναξιόπιστου προσώπου διατηρείται. Προβλέπεται διαδικασία προσφυγής για την άρση του εν λόγω καθεστώτος, με βάση παρόμοιους όρους με εκείνους που ισχύουν για τα αναξιόπιστα υποκείμενα στον φόρο πρόσωπα.</w:t>
      </w:r>
    </w:p>
    <w:p>
      <w:pPr>
        <w:pBdr>
          <w:top w:val="nil"/>
          <w:left w:val="nil"/>
          <w:bottom w:val="nil"/>
          <w:right w:val="nil"/>
          <w:between w:val="nil"/>
          <w:bar w:val="nil"/>
        </w:pBdr>
        <w:spacing w:before="0" w:after="240"/>
        <w:rPr>
          <w:noProof/>
        </w:rPr>
      </w:pPr>
      <w:r>
        <w:rPr>
          <w:noProof/>
        </w:rPr>
        <w:t>Σύμφωνα με την Τσεχία, το μέτρο έχει αποτρεπτικό χαρακτήρα και διασφαλίζει τη συνέχεια μεταξύ του καθεστώτος του αναξιόπιστου προσώπου και του καθεστώτος του αναξιόπιστου υποκείμενου στον φόρο προσώπου. Ωστόσο, όπως ισχύει με τις παγίδες που επισημαίνονται στο σημείο 1.3.4 ανωτέρω, οι υπαίτιοι απάτης είναι σε θέση να παρακάμψουν αποτελεσματικά το μέτρο πριν από την εγγραφή στο μητρώο ΦΠΑ και σε διασυνοριακά σενάρια.</w:t>
      </w:r>
    </w:p>
    <w:p>
      <w:pPr>
        <w:pStyle w:val="ManualNumPar3"/>
        <w:rPr>
          <w:noProof/>
        </w:rPr>
      </w:pPr>
      <w:r>
        <w:t>1.3.6.</w:t>
      </w:r>
      <w:r>
        <w:tab/>
      </w:r>
      <w:r>
        <w:rPr>
          <w:noProof/>
        </w:rPr>
        <w:t>Πρόσθετη υποβολή πληροφοριών σε θέματα ΦΠΑ</w:t>
      </w:r>
    </w:p>
    <w:p>
      <w:pPr>
        <w:pBdr>
          <w:top w:val="nil"/>
          <w:left w:val="nil"/>
          <w:bottom w:val="nil"/>
          <w:right w:val="nil"/>
          <w:between w:val="nil"/>
          <w:bar w:val="nil"/>
        </w:pBdr>
        <w:spacing w:before="0" w:after="240"/>
        <w:rPr>
          <w:noProof/>
        </w:rPr>
      </w:pPr>
      <w:r>
        <w:rPr>
          <w:noProof/>
        </w:rPr>
        <w:t>Τα δεδομένα από τις πρόσθετες πληροφορίες σε θέματα ΦΠΑ που υποβάλλουν τα υποκείμενα στον φόρο πρόσωπα για κάθε ημερολογιακό μήνα διασταυρώνονται προκειμένου να εντοπιστούν πιθανά σενάρια φοροδιαφυγής. Το γεγονός αυτό έχει βοηθήσει τη φορολογική διοίκηση να βελτιώσει τη μέθοδο επιλογής των υποκείμενων στον φόρο προσώπων που θα υποβληθούν σε έλεγχο.</w:t>
      </w:r>
    </w:p>
    <w:p>
      <w:pPr>
        <w:pBdr>
          <w:top w:val="nil"/>
          <w:left w:val="nil"/>
          <w:bottom w:val="nil"/>
          <w:right w:val="nil"/>
          <w:between w:val="nil"/>
          <w:bar w:val="nil"/>
        </w:pBdr>
        <w:spacing w:before="0" w:after="240"/>
        <w:rPr>
          <w:noProof/>
        </w:rPr>
      </w:pPr>
      <w:r>
        <w:rPr>
          <w:noProof/>
        </w:rPr>
        <w:t>Μολονότι το εν λόγω συμβατικό εργαλείο είναι χρήσιμο για τον ταχύτερο εντοπισμό των υπαίτιων απάτης, ωστόσο η Τσεχία είναι της άποψης ότι έχει φθάσει στα όριά του, λαμβανομένης υπόψη της συνολικής ικανότητας της φορολογικής διοίκησης στην άσκηση ελέγχου.</w:t>
      </w:r>
    </w:p>
    <w:p>
      <w:pPr>
        <w:pStyle w:val="ManualNumPar3"/>
        <w:rPr>
          <w:noProof/>
        </w:rPr>
      </w:pPr>
      <w:r>
        <w:lastRenderedPageBreak/>
        <w:t>1.3.7.</w:t>
      </w:r>
      <w:r>
        <w:tab/>
      </w:r>
      <w:r>
        <w:rPr>
          <w:noProof/>
        </w:rPr>
        <w:t>Κατάσχεση</w:t>
      </w:r>
    </w:p>
    <w:p>
      <w:pPr>
        <w:pBdr>
          <w:top w:val="nil"/>
          <w:left w:val="nil"/>
          <w:bottom w:val="nil"/>
          <w:right w:val="nil"/>
          <w:between w:val="nil"/>
          <w:bar w:val="nil"/>
        </w:pBdr>
        <w:spacing w:before="0" w:after="240"/>
        <w:rPr>
          <w:noProof/>
        </w:rPr>
      </w:pPr>
      <w:r>
        <w:rPr>
          <w:noProof/>
        </w:rPr>
        <w:t>Σε μεμονωμένες περιπτώσεις, η φορολογική διοίκηση μπορεί να εκδώσει εντολή κατάσχεσης προκειμένου να διασφαλιστεί η καταβολή του ΦΠΑ.</w:t>
      </w:r>
    </w:p>
    <w:p>
      <w:pPr>
        <w:pBdr>
          <w:top w:val="nil"/>
          <w:left w:val="nil"/>
          <w:bottom w:val="nil"/>
          <w:right w:val="nil"/>
          <w:between w:val="nil"/>
          <w:bar w:val="nil"/>
        </w:pBdr>
        <w:spacing w:before="0" w:after="240"/>
        <w:rPr>
          <w:noProof/>
        </w:rPr>
      </w:pPr>
      <w:r>
        <w:rPr>
          <w:noProof/>
        </w:rPr>
        <w:t>Σύμφωνα με την Τσεχία, το μέτρο είναι πολύ αποτελεσματικό αλλά, λόγω της εφαρμογής του μόνο σε μεμονωμένες περιπτώσεις, δεν παρέχει γενική προστασία στο κοινό σύστημα ΦΠΑ.</w:t>
      </w:r>
    </w:p>
    <w:p>
      <w:pPr>
        <w:pStyle w:val="ManualNumPar3"/>
        <w:rPr>
          <w:noProof/>
        </w:rPr>
      </w:pPr>
      <w:r>
        <w:t>1.3.8.</w:t>
      </w:r>
      <w:r>
        <w:tab/>
      </w:r>
      <w:r>
        <w:rPr>
          <w:noProof/>
        </w:rPr>
        <w:t>Αυτόματη διαγραφή από το μητρώο ΦΠΑ</w:t>
      </w:r>
    </w:p>
    <w:p>
      <w:pPr>
        <w:pBdr>
          <w:top w:val="nil"/>
          <w:left w:val="nil"/>
          <w:bottom w:val="nil"/>
          <w:right w:val="nil"/>
          <w:between w:val="nil"/>
          <w:bar w:val="nil"/>
        </w:pBdr>
        <w:spacing w:before="0" w:after="240"/>
        <w:rPr>
          <w:noProof/>
        </w:rPr>
      </w:pPr>
      <w:r>
        <w:rPr>
          <w:noProof/>
        </w:rPr>
        <w:t xml:space="preserve">Το συγκεκριμένο μέτρο συνίσταται στην ακύρωση του αριθμού φορολογικού μητρώου ΦΠΑ ενός υποκείμενου στον φόρο προσώπου σε περίπτωση σοβαρών παραβιάσεων των υποχρεώσεων ΦΠΑ. Το μέτρο εφαρμόζεται σε σχέση με τις ομάδες ΦΠΑ και τα υποκείμενα στον φόρο πρόσωπα με κύκλο εργασιών που δεν υπερέβη το 1 εκατ. CZK κατά τη διάρκεια των προηγούμενων δώδεκα ημερολογιακών μηνών. </w:t>
      </w:r>
    </w:p>
    <w:p>
      <w:pPr>
        <w:pBdr>
          <w:top w:val="nil"/>
          <w:left w:val="nil"/>
          <w:bottom w:val="nil"/>
          <w:right w:val="nil"/>
          <w:between w:val="nil"/>
          <w:bar w:val="nil"/>
        </w:pBdr>
        <w:spacing w:before="0" w:after="240"/>
        <w:rPr>
          <w:noProof/>
        </w:rPr>
      </w:pPr>
      <w:r>
        <w:rPr>
          <w:noProof/>
        </w:rPr>
        <w:t>Η Τσεχία περιγράφει το μέτρο ως πολύ αποτελεσματικό τόσο σε εγχώριο επίπεδο όσο και για διασυνοριακές παραδόσεις. Ωστόσο, δεδομένου ότι το μέτρο μπορεί να εφαρμοστεί μόνο αφού σημειωθούν παραβάσεις, δεν είναι σε θέση να αποτρέψει εντελώς τον κίνδυνο απάτης.</w:t>
      </w:r>
    </w:p>
    <w:p>
      <w:pPr>
        <w:pStyle w:val="ManualNumPar3"/>
        <w:rPr>
          <w:noProof/>
        </w:rPr>
      </w:pPr>
      <w:r>
        <w:t>1.3.9.</w:t>
      </w:r>
      <w:r>
        <w:tab/>
      </w:r>
      <w:r>
        <w:rPr>
          <w:noProof/>
        </w:rPr>
        <w:t>Άρνηση του δικαιώματος έκπτωσης (ή απαλλαγής για ενδοκοινοτικές παραδόσεις) με βάση τον έλεγχο γνώσης</w:t>
      </w:r>
    </w:p>
    <w:p>
      <w:pPr>
        <w:pBdr>
          <w:top w:val="nil"/>
          <w:left w:val="nil"/>
          <w:bottom w:val="nil"/>
          <w:right w:val="nil"/>
          <w:between w:val="nil"/>
          <w:bar w:val="nil"/>
        </w:pBdr>
        <w:spacing w:before="0" w:after="240"/>
        <w:rPr>
          <w:noProof/>
        </w:rPr>
      </w:pPr>
      <w:r>
        <w:rPr>
          <w:noProof/>
        </w:rPr>
        <w:t xml:space="preserve">Το μέτρο εφαρμόζεται με στόχο την άρνηση του δικαιώματος έκπτωσης, ή του δικαιώματος εφαρμογής απαλλαγής, σε περίπτωση που ο αποκτών (στην πρώτη περίπτωση) ή ο προμηθευτής (στη δεύτερη) γνώριζε ή όφειλε να γνωρίζει (έλεγχος γνώσης) ότι συμμετείχε σε συναλλαγή που συνδέεται με δόλια απάτη στον τομέα του ΦΠΑ. Αυτό αντικατοπτρίζεται στη νομολογία του Δικαστηρίου της Ευρωπαϊκής Ένωσης («ΔΕΕ»), όπως διατυπώνεται στην υπόθεση </w:t>
      </w:r>
      <w:r>
        <w:rPr>
          <w:i/>
          <w:noProof/>
        </w:rPr>
        <w:t>Kittel</w:t>
      </w:r>
      <w:r>
        <w:rPr>
          <w:rStyle w:val="FootnoteReference"/>
          <w:noProof/>
        </w:rPr>
        <w:footnoteReference w:id="10"/>
      </w:r>
      <w:r>
        <w:rPr>
          <w:rStyle w:val="FootnoteReference"/>
          <w:noProof/>
        </w:rPr>
        <w:t>.</w:t>
      </w:r>
      <w:r>
        <w:rPr>
          <w:noProof/>
        </w:rPr>
        <w:t xml:space="preserve"> Η τσεχική διοίκηση χρησιμοποιεί «επιστολές γνωστοποίησης» με τις οποίες ενημερώνει τις επιχειρήσεις ότι ενδέχεται να εμπλέκονται σε μηχανισμό απάτης. Οι εν λόγω επιστολές είτε έχουν συγκεκριμένο αποδέκτη (μπορεί να αναφέρουν ή όχι τον ύποπτο επιχειρηματικό εταίρο) είτε είναι γενικού χαρακτήρα (κοινοποίηση στο ευρύ κοινό της ύπαρξης συγκεκριμένης κατάστασης κινδύνου απάτης στην Τσεχία ή στην Ευρωπαϊκή Ένωση).</w:t>
      </w:r>
    </w:p>
    <w:p>
      <w:pPr>
        <w:pBdr>
          <w:top w:val="nil"/>
          <w:left w:val="nil"/>
          <w:bottom w:val="nil"/>
          <w:right w:val="nil"/>
          <w:between w:val="nil"/>
          <w:bar w:val="nil"/>
        </w:pBdr>
        <w:spacing w:before="0" w:after="240"/>
        <w:rPr>
          <w:noProof/>
        </w:rPr>
      </w:pPr>
      <w:r>
        <w:rPr>
          <w:noProof/>
        </w:rPr>
        <w:t>Ωστόσο, σύμφωνα με την Τσεχία, στην περίπτωση οργανωμένης απάτης είναι δύσκολο για τη φορολογική διοίκηση να αποδείξει στην πράξη ότι η επιχείρηση γνώριζε ή όφειλε να γνωρίζει ότι εμπλέκεται σε απάτη.</w:t>
      </w:r>
    </w:p>
    <w:p>
      <w:pPr>
        <w:pStyle w:val="ManualNumPar3"/>
        <w:rPr>
          <w:noProof/>
        </w:rPr>
      </w:pPr>
      <w:r>
        <w:t>1.3.10.</w:t>
      </w:r>
      <w:r>
        <w:tab/>
      </w:r>
      <w:r>
        <w:rPr>
          <w:noProof/>
        </w:rPr>
        <w:t>Έλεγχος αιτούντων πριν από την εγγραφή στο μητρώο ΦΠΑ</w:t>
      </w:r>
    </w:p>
    <w:p>
      <w:pPr>
        <w:pBdr>
          <w:top w:val="nil"/>
          <w:left w:val="nil"/>
          <w:bottom w:val="nil"/>
          <w:right w:val="nil"/>
          <w:between w:val="nil"/>
          <w:bar w:val="nil"/>
        </w:pBdr>
        <w:spacing w:before="0" w:after="240"/>
        <w:rPr>
          <w:noProof/>
        </w:rPr>
      </w:pPr>
      <w:r>
        <w:rPr>
          <w:noProof/>
        </w:rPr>
        <w:t>Πραγματοποιείται συστηματική επαλήθευση πριν από την εγγραφή προκειμένου να εντοπιστούν, μεταξύ άλλων, πιθανοί αφανείς έμποροι· π.χ. πραγματοποιείται επιτόπια έρευνα προκειμένου να αποδειχθεί ότι δεν ασκείται ούτε προβλέπεται πραγματική οικονομική δραστηριότητα για να απορριφθεί η εγγραφή.</w:t>
      </w:r>
    </w:p>
    <w:p>
      <w:pPr>
        <w:pBdr>
          <w:top w:val="nil"/>
          <w:left w:val="nil"/>
          <w:bottom w:val="nil"/>
          <w:right w:val="nil"/>
          <w:between w:val="nil"/>
          <w:bar w:val="nil"/>
        </w:pBdr>
        <w:spacing w:before="0" w:after="0"/>
        <w:rPr>
          <w:noProof/>
        </w:rPr>
      </w:pPr>
      <w:r>
        <w:rPr>
          <w:noProof/>
        </w:rPr>
        <w:t xml:space="preserve">Η Τσεχία θεωρεί ότι το μέτρο αποτρέπει με ιδιαίτερα αποτελεσματικό τρόπο την είσοδο υπαίτιων απάτης στο σύστημα ΦΠΑ (και τη διάπραξη ενδοκοινοτικής απάτης), αλλά είναι δύσκολο να αποδείξει, με βάση αντικειμενικούς παράγοντες, ότι υπάρχουν βάσιμες υποψίες ότι ένας αριθμός φορολογικού μητρώου θα χρησιμοποιηθεί με δόλιο τρόπο, λαμβανομένων υπόψη των κριτηρίων του ΔΕΕ που παρατίθενται στην υπόθεση </w:t>
      </w:r>
      <w:r>
        <w:rPr>
          <w:i/>
          <w:noProof/>
        </w:rPr>
        <w:t>Ablessio</w:t>
      </w:r>
      <w:r>
        <w:rPr>
          <w:rStyle w:val="FootnoteReference"/>
          <w:noProof/>
        </w:rPr>
        <w:footnoteReference w:id="11"/>
      </w:r>
      <w:r>
        <w:rPr>
          <w:rStyle w:val="FootnoteReference"/>
          <w:noProof/>
        </w:rPr>
        <w:t>.</w:t>
      </w:r>
    </w:p>
    <w:p>
      <w:pPr>
        <w:pBdr>
          <w:top w:val="nil"/>
          <w:left w:val="nil"/>
          <w:bottom w:val="nil"/>
          <w:right w:val="nil"/>
          <w:between w:val="nil"/>
          <w:bar w:val="nil"/>
        </w:pBdr>
        <w:spacing w:before="0" w:after="0"/>
        <w:jc w:val="left"/>
        <w:rPr>
          <w:rStyle w:val="FootnoteReference"/>
          <w:noProof/>
        </w:rPr>
      </w:pPr>
      <w:r>
        <w:rPr>
          <w:noProof/>
        </w:rPr>
        <w:lastRenderedPageBreak/>
        <w:br/>
      </w:r>
    </w:p>
    <w:p>
      <w:pPr>
        <w:pStyle w:val="ManualNumPar3"/>
        <w:rPr>
          <w:noProof/>
        </w:rPr>
      </w:pPr>
      <w:r>
        <w:t>1.3.11.</w:t>
      </w:r>
      <w:r>
        <w:tab/>
      </w:r>
      <w:r>
        <w:rPr>
          <w:noProof/>
        </w:rPr>
        <w:t>Διοικητική συνεργασία στο πεδίο του ΦΠΑ [κανονισμός (ΕΕ) αριθ. 904/2010 του Συμβουλίου]</w:t>
      </w:r>
      <w:r>
        <w:rPr>
          <w:rStyle w:val="FootnoteReference"/>
          <w:noProof/>
        </w:rPr>
        <w:footnoteReference w:id="12"/>
      </w:r>
    </w:p>
    <w:p>
      <w:pPr>
        <w:rPr>
          <w:noProof/>
        </w:rPr>
      </w:pPr>
      <w:r>
        <w:rPr>
          <w:noProof/>
        </w:rPr>
        <w:t>Σύμφωνα με την Τσεχία, δίδεται μεγάλη προσοχή στη συνεργασία και την ανταλλαγή πληροφοριών με τα άλλα κράτη μέλη. Εκτός από τη συνεργασία που προβλέπεται στον κανονισμό (ΕΕ) αριθ. 904/2010, έχουν συναφθεί συμφωνίες συνεργασίας με τη Σλοβακία και την Πολωνία, ενώ μια ακόμα συμφωνία με τη Γερμανία βρίσκεται στο στάδιο της προετοιμασίας.</w:t>
      </w:r>
    </w:p>
    <w:p>
      <w:pPr>
        <w:rPr>
          <w:noProof/>
        </w:rPr>
      </w:pPr>
      <w:r>
        <w:rPr>
          <w:noProof/>
        </w:rPr>
        <w:t>Η Τσεχία συμμετέχει επίσης τακτικά στους λεγόμενους ταυτόχρονους πολυμερείς ελέγχους με άλλα κράτη μέλη. Επιπλέον, η Τσεχία συμμετέχει σε όλες τις εργασίες που εκτελούνται στο πλαίσιο του δικτύου Eurofisc [ενδοκοινοτική απάτη αφανούς εμπόρου (ΕΑΑΕ), μέσα μεταφοράς, τελωνειακά καθεστώτα, παρατηρητήριο, ηλεκτρονικό εμπόριο και Ανάλυση του Δικτύου Συναλλαγών (TNA)]. Τα δεδομένα του Eurofisc χρησιμοποιούνται ενεργά για τον εντοπισμό ύποπτων συναλλαγών.</w:t>
      </w:r>
    </w:p>
    <w:p>
      <w:pPr>
        <w:rPr>
          <w:noProof/>
        </w:rPr>
      </w:pPr>
      <w:r>
        <w:rPr>
          <w:noProof/>
        </w:rPr>
        <w:t>Σύμφωνα με την Τσεχία, η διοικητική συνεργασία στον τομέα του ΦΠΑ έχει αναμφισβήτητη σημασία αλλά δεν αποτρέπει πλήρως την εκδήλωση απάτης. Επιπλέον, δεν χρησιμεύει στον τομέα της αμιγώς εγχώριας απάτης.</w:t>
      </w:r>
    </w:p>
    <w:p>
      <w:pPr>
        <w:pStyle w:val="ManualNumPar3"/>
        <w:rPr>
          <w:noProof/>
        </w:rPr>
      </w:pPr>
      <w:r>
        <w:t>1.3.12.</w:t>
      </w:r>
      <w:r>
        <w:tab/>
      </w:r>
      <w:r>
        <w:rPr>
          <w:noProof/>
        </w:rPr>
        <w:t>Συμπέρασμα</w:t>
      </w:r>
    </w:p>
    <w:p>
      <w:pPr>
        <w:rPr>
          <w:noProof/>
        </w:rPr>
      </w:pPr>
      <w:r>
        <w:rPr>
          <w:noProof/>
        </w:rPr>
        <w:t>Το γενικό συμπέρασμα της Τσεχίας όσον αφορά τα προαναφερθέντα μέτρα είναι ότι, μολονότι έχουν συμβάλει σημαντικά στη μείωση της απάτης, ωστόσο δεν έχουν καταφέρει να εξαλείψουν πλήρως την απάτη αφανούς εμπόρου στο ισχύον σύστημα ΦΠΑ.</w:t>
      </w:r>
    </w:p>
    <w:p>
      <w:pPr>
        <w:pBdr>
          <w:top w:val="nil"/>
          <w:left w:val="nil"/>
          <w:bottom w:val="nil"/>
          <w:right w:val="nil"/>
          <w:between w:val="nil"/>
          <w:bar w:val="nil"/>
        </w:pBdr>
        <w:spacing w:before="0" w:after="240"/>
        <w:rPr>
          <w:noProof/>
        </w:rPr>
      </w:pPr>
      <w:r>
        <w:rPr>
          <w:noProof/>
        </w:rPr>
        <w:t>Δεδομένων των σημαντικών και πραγματικών προσπαθειών που καταβάλλονται για την καταπολέμηση της (αλυσιδωτής) απάτης και του γεγονότος ότι οι εν λόγω προσπάθειες δεν έχουν στεφθεί με απόλυτη επιτυχία, μπορεί να θεωρηθεί ότι πληρούται η προϋπόθεση που περιλαμβάνεται στο άρθρο 199γ παράγραφος 1 στοιχείο γ) της οδηγίας ΦΠΑ.</w:t>
      </w:r>
    </w:p>
    <w:p>
      <w:pPr>
        <w:pStyle w:val="ManualNumPar2"/>
        <w:rPr>
          <w:noProof/>
        </w:rPr>
      </w:pPr>
      <w:r>
        <w:t>1.4.</w:t>
      </w:r>
      <w:r>
        <w:tab/>
      </w:r>
      <w:r>
        <w:rPr>
          <w:noProof/>
        </w:rPr>
        <w:t>Τα αναμενόμενα εκτιμώμενα οφέλη ως προς τη φορολογική συμμόρφωση και την είσπραξη φόρων υπερκαλύπτουν κατά τουλάχιστον 25 % την αναμενόμενη συνολική πρόσθετη επιβάρυνση για τις επιχειρήσεις και τις φορολογικές αρχές.</w:t>
      </w:r>
    </w:p>
    <w:p>
      <w:pPr>
        <w:pBdr>
          <w:top w:val="nil"/>
          <w:left w:val="nil"/>
          <w:bottom w:val="nil"/>
          <w:right w:val="nil"/>
          <w:between w:val="nil"/>
          <w:bar w:val="nil"/>
        </w:pBdr>
        <w:spacing w:before="0" w:after="240"/>
        <w:rPr>
          <w:noProof/>
        </w:rPr>
      </w:pPr>
      <w:r>
        <w:rPr>
          <w:noProof/>
        </w:rPr>
        <w:t>Σύμφωνα με τις τσεχικές αρχές, η εισαγωγή του ΓΜΑΕ δεν θα απαιτεί αύξηση του προσωπικού όσον αφορά τη φορολογική διοίκηση, απλώς ανακατανομή ανθρώπινων πόρων. Το κόστος προσαρμογής της οργάνωσης της τσεχικής φορολογικής διοίκησης (συμπεριλαμβανομένων της κατάρτισης και της τροποποίησης των συστημάτων ΤΠ) εκτιμάται στα 4 εκατ. CZK.</w:t>
      </w:r>
    </w:p>
    <w:p>
      <w:pPr>
        <w:rPr>
          <w:rFonts w:eastAsia="Times New Roman"/>
          <w:noProof/>
          <w:color w:val="000000"/>
          <w:szCs w:val="24"/>
        </w:rPr>
      </w:pPr>
      <w:r>
        <w:rPr>
          <w:rFonts w:cs="Arial"/>
          <w:noProof/>
          <w:color w:val="000000"/>
          <w:szCs w:val="24"/>
        </w:rPr>
        <w:t>Όσον αφορά τα υποκείμενα στον φόρο πρόσωπα, η εισαγωγή του ΓΜΑΕ συνεπάγεται εφάπαξ κόστος για την τροποποίηση των συστημάτων ΤΠ. Σύμφωνα με τις εκτιμήσεις, ο ΓΜΑΕ θα πρέπει να εφαρμοστεί σε συνολικά 97 000 υποκείμενα στον φόρο πρόσωπα. Από την εν λόγω ομάδα, ποσοστό μεγαλύτερο του 60 % έχουν εμπειρία στην τομεακή αντιστροφή της επιβάρυνσης. Οι οικείες δομές ΤΠ και τα συστήματα τιμολόγησης είναι έτοιμα για τον ΓΜΑΕ, επομένως το μόνο που θα χρειαστεί είναι επιμέρους τροποποιήσεις των υφιστάμενων δομών. Όσον αφορά τα υπόλοιπα 37 500 υποκείμενα στον φόρο πρόσωπα, ίσως χρειαστεί να αγοράσουν νέες δομές ΤΠ ή να επεκτείνουν τις υπάρχουσες· ωστόσο, με βάση ερωτήματα που έχουν θέσει οι μεγαλύτεροι πάροχοι φορολογικού και λογιστικού λογισμικού, φαίνεται ότι οι αλλαγές αυτές αποτελούν μέρος των τακτικών επικαιροποιήσεων και δεν χρεώνονται χωριστά.</w:t>
      </w:r>
    </w:p>
    <w:p>
      <w:pPr>
        <w:rPr>
          <w:noProof/>
          <w:color w:val="000000"/>
          <w:szCs w:val="24"/>
        </w:rPr>
      </w:pPr>
      <w:r>
        <w:rPr>
          <w:rFonts w:cs="Arial"/>
          <w:noProof/>
          <w:color w:val="000000"/>
          <w:szCs w:val="24"/>
        </w:rPr>
        <w:lastRenderedPageBreak/>
        <w:t>Άλλες δαπάνες συνδέονται με την κατάρτιση των εργαζομένων· ωστόσο, κάθε νομοθετική αλλαγή ουσιαστικά συνεπάγεται τις εν λόγω δαπάνες. Δεδομένου ότι η αντιστροφή της επιβάρυνσης δεν αποτελεί ένα εντελώς καινούριο μέτρο, αναμένεται ότι οι δαπάνες αυτές δεν θα είναι σημαντικές.</w:t>
      </w:r>
    </w:p>
    <w:p>
      <w:pPr>
        <w:rPr>
          <w:noProof/>
          <w:color w:val="000000"/>
          <w:szCs w:val="24"/>
        </w:rPr>
      </w:pPr>
      <w:r>
        <w:rPr>
          <w:rFonts w:cs="Arial"/>
          <w:noProof/>
          <w:color w:val="000000"/>
          <w:szCs w:val="24"/>
        </w:rPr>
        <w:t xml:space="preserve">Άλλες δαπάνες που βαρύνουν τα υποκείμενα στον φόρο πρόσωπα προκύπτουν από την ανάγκη παρακολούθησης εάν, για κάθε συναλλαγή, τηρείται το όριο των 17 500 EUR, πάνω από το οποίο εφαρμόζεται ο ΓΜΑΕ. Ωστόσο, οι εν λόγω δαπάνες δεν θα είναι πολύ σημαντικές, δεδομένου ότι στις περισσότερες περιπτώσεις η παρακολούθηση αυτή πραγματοποιείται μέσω του λογιστικού λογισμικού. Επιπλέον, στο πλαίσιο του ΓΜΑΕ, η διαφοροποίηση των συναλλαγών βάσει του ποσού είναι σημαντικά ευκολότερη σε σύγκριση με τη διαφοροποίηση στην περίπτωση τομεακής προσέγγισης. </w:t>
      </w:r>
    </w:p>
    <w:p>
      <w:pPr>
        <w:rPr>
          <w:noProof/>
          <w:color w:val="000000"/>
          <w:szCs w:val="24"/>
        </w:rPr>
      </w:pPr>
      <w:r>
        <w:rPr>
          <w:rFonts w:cs="Arial"/>
          <w:noProof/>
          <w:color w:val="000000"/>
          <w:szCs w:val="24"/>
        </w:rPr>
        <w:t>Επιπλέον, σε ορισμένες περιπτώσεις, οι προμηθευτές αγαθών και οι πάροχοι υπηρεσιών ενδέχεται να πρέπει να εξακριβώσουν εάν ο πελάτης είναι υποκείμενο στον φόρο πρόσωπο και, συνεπώς, εάν εφαρμόζεται η αντιστροφή της επιβάρυνσης. Ωστόσο, στις περιπτώσεις αυτές μπορεί να χρησιμοποιηθεί το μητρώο των υποκείμενων στον φόρο προσώπων, το οποίο διατίθεται από τη φορολογική διοίκηση (σύνδεση με το λογισμικό του υποκείμενου στον φόρο προσώπου).</w:t>
      </w:r>
    </w:p>
    <w:p>
      <w:pPr>
        <w:rPr>
          <w:noProof/>
          <w:color w:val="000000"/>
          <w:szCs w:val="24"/>
        </w:rPr>
      </w:pPr>
      <w:r>
        <w:rPr>
          <w:rFonts w:cs="Arial"/>
          <w:noProof/>
          <w:color w:val="000000"/>
          <w:szCs w:val="24"/>
        </w:rPr>
        <w:t>Η Τσεχία διευκρίνισε περαιτέρω ότι, όταν το 2016 θεσπίστηκε η πρόσθετη υποβολή εκθέσεων ΦΠΑ, το κόστος για τα υποκείμενα στον φόρο πρόσωπα εκτιμάται ότι ανήλθε σε 370 EUR για τις μικρές επιχειρήσεις και μεταξύ 740 και 3 000 EUR για τις άλλες εταιρείες, ήτοι συνολικό ποσό περίπου 6 δισ. CZK για τις επιχειρήσεις. Οι τσεχικές αρχές εκτιμούν ότι το συνολικό κόστος για τα υποκείμενα στον φόρο πρόσωπα λόγω της εφαρμογής του ΓΜΑΕ θα αποτελέσει κατά προσέγγιση περίπου το 10 % του εν λόγω ποσού, δηλαδή 0,6 δισ. CZK.</w:t>
      </w:r>
    </w:p>
    <w:p>
      <w:pPr>
        <w:pBdr>
          <w:top w:val="nil"/>
          <w:left w:val="nil"/>
          <w:bottom w:val="nil"/>
          <w:right w:val="nil"/>
          <w:between w:val="nil"/>
          <w:bar w:val="nil"/>
        </w:pBdr>
        <w:spacing w:before="0" w:after="240"/>
        <w:rPr>
          <w:noProof/>
        </w:rPr>
      </w:pPr>
      <w:r>
        <w:rPr>
          <w:noProof/>
        </w:rPr>
        <w:t xml:space="preserve">Όσον αφορά τα οφέλη του συστήματος, γίνεται αναφορά στις εμπειρίες στην τομεακή αντιστροφή της επιβάρυνσης, οι οποίες οδήγησαν σε μείωση του ποσού απάτης κατά 98 % και σε μείωση του αριθμού των περιπτώσεων απάτης κατά 89 %. Σε αυτή τη βάση, αναμένεται ότι η απάτη θα μειώνεται κατά 5 δισ. CZK ετησίως. Εφόσον εφαρμοστεί για 2 έτη, το κέρδος θα ανέλθει σε 10 δισ. CZK. </w:t>
      </w:r>
      <w:r>
        <w:rPr>
          <w:rFonts w:cs="Arial"/>
          <w:noProof/>
          <w:color w:val="000000"/>
          <w:szCs w:val="24"/>
        </w:rPr>
        <w:t>Αφετέρου, όπως επισημαίνεται ανωτέρω, το κόστος που θα προκύψει για τις φορολογικές αρχές θα ανέλθει μόλις σε 0,004 δισ. CZK, ενώ το κόστος για τα υποκείμενα στον φόρο πρόσωπα αναμένεται να ανέλθει σε 0,6 δισ. CZK.</w:t>
      </w:r>
      <w:r>
        <w:rPr>
          <w:rFonts w:ascii="Arial" w:hAnsi="Arial" w:cs="Arial"/>
          <w:noProof/>
          <w:color w:val="000000"/>
          <w:sz w:val="20"/>
          <w:szCs w:val="20"/>
        </w:rPr>
        <w:t xml:space="preserve"> </w:t>
      </w:r>
      <w:r>
        <w:rPr>
          <w:noProof/>
        </w:rPr>
        <w:t>Εν κατακλείδι, το εκτιμώμενο κόστος αντιπροσωπεύει το 6,04 % των εκτιμώμενων οφελών.</w:t>
      </w:r>
    </w:p>
    <w:p>
      <w:pPr>
        <w:pBdr>
          <w:top w:val="nil"/>
          <w:left w:val="nil"/>
          <w:bottom w:val="nil"/>
          <w:right w:val="nil"/>
          <w:between w:val="nil"/>
          <w:bar w:val="nil"/>
        </w:pBdr>
        <w:spacing w:before="0" w:after="240"/>
        <w:rPr>
          <w:noProof/>
        </w:rPr>
      </w:pPr>
      <w:r>
        <w:rPr>
          <w:noProof/>
        </w:rPr>
        <w:t>Δεδομένου ότι τα εκτιμώμενα κέρδη (10 δισ. CZK) υπερβαίνουν κατά πολύ το συνολικό κόστος (0,604 δισ. CZK) σε ποσοστό μεγαλύτερο του 25 %, μπορεί να θεωρηθεί ότι πληρούται η συγκεκριμένη προϋπόθεση.</w:t>
      </w:r>
    </w:p>
    <w:p>
      <w:pPr>
        <w:pStyle w:val="ManualNumPar2"/>
        <w:rPr>
          <w:noProof/>
        </w:rPr>
      </w:pPr>
      <w:r>
        <w:t>1.5.</w:t>
      </w:r>
      <w:r>
        <w:tab/>
      </w:r>
      <w:r>
        <w:rPr>
          <w:noProof/>
        </w:rPr>
        <w:t>Η καθιέρωση του ΓΜΑΕ δεν θα οδηγήσει σε υψηλότερο κόστος για τις επιχειρήσεις και τις φορολογικές αρχές σε σύγκριση με το κόστος που προκύπτει από άλλα μέτρα ελέγχου.</w:t>
      </w:r>
    </w:p>
    <w:p>
      <w:pPr>
        <w:pBdr>
          <w:top w:val="nil"/>
          <w:left w:val="nil"/>
          <w:bottom w:val="nil"/>
          <w:right w:val="nil"/>
          <w:between w:val="nil"/>
          <w:bar w:val="nil"/>
        </w:pBdr>
        <w:spacing w:before="0" w:after="240"/>
        <w:rPr>
          <w:noProof/>
        </w:rPr>
      </w:pPr>
      <w:r>
        <w:rPr>
          <w:noProof/>
        </w:rPr>
        <w:t xml:space="preserve">Με βάση τους ανωτέρω υπολογισμούς, φαίνεται ότι το αναμενόμενο κόστος τόσο για τις επιχειρήσεις όσο και για τις φορολογικές διοικήσεις δεν είναι σημαντικό, μολονότι η Τσεχία αναγνωρίζει ότι είναι δύσκολο να προβεί σε ακριβή σύγκριση με άλλα μέτρα ελέγχου. </w:t>
      </w:r>
    </w:p>
    <w:p>
      <w:pPr>
        <w:pBdr>
          <w:top w:val="nil"/>
          <w:left w:val="nil"/>
          <w:bottom w:val="nil"/>
          <w:right w:val="nil"/>
          <w:between w:val="nil"/>
          <w:bar w:val="nil"/>
        </w:pBdr>
        <w:spacing w:before="0" w:after="240"/>
        <w:rPr>
          <w:noProof/>
        </w:rPr>
      </w:pPr>
      <w:r>
        <w:rPr>
          <w:noProof/>
        </w:rPr>
        <w:t>Η Τσεχία δεν έχει καμία πρόθεση να αλλάξει τη συνολική οργάνωση των φορολογικών ελέγχων της μετά την καθιέρωση του ΓΜΑΕ. Ως εκ τούτου, δεν θα προκύψει πρόσθετο κόστος (εκτός από το προαναφερθέν) για τη φορολογική διοίκηση ή τις ελεγχόμενες επιχειρήσεις.</w:t>
      </w:r>
    </w:p>
    <w:p>
      <w:pPr>
        <w:pBdr>
          <w:top w:val="nil"/>
          <w:left w:val="nil"/>
          <w:bottom w:val="nil"/>
          <w:right w:val="nil"/>
          <w:between w:val="nil"/>
          <w:bar w:val="nil"/>
        </w:pBdr>
        <w:spacing w:before="0" w:after="240"/>
        <w:rPr>
          <w:noProof/>
        </w:rPr>
      </w:pPr>
      <w:r>
        <w:rPr>
          <w:noProof/>
        </w:rPr>
        <w:t>Συνεπώς, η συγκεκριμένη προϋπόθεση πρέπει να θεωρηθεί ότι πληρούται.</w:t>
      </w:r>
    </w:p>
    <w:p>
      <w:pPr>
        <w:pStyle w:val="ManualNumPar1"/>
        <w:rPr>
          <w:noProof/>
        </w:rPr>
      </w:pPr>
      <w:r>
        <w:t>2.</w:t>
      </w:r>
      <w:r>
        <w:tab/>
      </w:r>
      <w:r>
        <w:rPr>
          <w:noProof/>
        </w:rPr>
        <w:t>Προβλεπόμενη ημερομηνία έναρξης της εφαρμογής του ΓΜΑΕ και περίοδος που θα καλύπτει [άρθρο 199γ παράγραφος 3 στοιχείο β) της οδηγίας ΦΠΑ].</w:t>
      </w:r>
    </w:p>
    <w:p>
      <w:pPr>
        <w:pBdr>
          <w:top w:val="nil"/>
          <w:left w:val="nil"/>
          <w:bottom w:val="nil"/>
          <w:right w:val="nil"/>
          <w:between w:val="nil"/>
          <w:bar w:val="nil"/>
        </w:pBdr>
        <w:spacing w:before="0" w:after="240"/>
        <w:rPr>
          <w:noProof/>
        </w:rPr>
      </w:pPr>
      <w:r>
        <w:rPr>
          <w:noProof/>
        </w:rPr>
        <w:lastRenderedPageBreak/>
        <w:t>Η Τσεχία ζήτησε να της επιτραπεί να ξεκινήσει την εφαρμογή του ΓΜΑΕ από την 1η Ιανουαρίου 2020 και έως την 30ή Ιουνίου 2022.</w:t>
      </w:r>
    </w:p>
    <w:p>
      <w:pPr>
        <w:pStyle w:val="ManualNumPar1"/>
        <w:rPr>
          <w:noProof/>
        </w:rPr>
      </w:pPr>
      <w:r>
        <w:t>3.</w:t>
      </w:r>
      <w:r>
        <w:tab/>
      </w:r>
      <w:r>
        <w:rPr>
          <w:noProof/>
        </w:rPr>
        <w:t>Ενέργειες για την ενημέρωση των υποκείμενων στον φόρο προσώπων [άρθρο 199γ παράγραφος 3 στοιχείο γ) της οδηγίας ΦΠΑ].</w:t>
      </w:r>
    </w:p>
    <w:p>
      <w:pPr>
        <w:pBdr>
          <w:top w:val="nil"/>
          <w:left w:val="nil"/>
          <w:bottom w:val="nil"/>
          <w:right w:val="nil"/>
          <w:between w:val="nil"/>
          <w:bar w:val="nil"/>
        </w:pBdr>
        <w:spacing w:before="0" w:after="240"/>
        <w:rPr>
          <w:noProof/>
        </w:rPr>
      </w:pPr>
      <w:r>
        <w:rPr>
          <w:noProof/>
        </w:rPr>
        <w:t>Τα υποκείμενα στον φόρο πρόσωπα θα ενημερωθούν ηλεκτρονικά για την εισαγωγή του ΓΜΑΕ, καθώς και για την ημερομηνία έναρξης της εφαρμογής. Επιπλέον, θα δημιουργηθούν επαφές και θα διεξαχθούν συζητήσεις με επιχειρηματικές ενώσεις και φοροτεχνικούς συμβούλους. Θα διανεμηθεί προωθητικό υλικό μέσω δημόσιων μέσων (π.χ. φυλλάδια, πληροφορίες στον δικτυακό τόπο της φορολογικής διοίκησης).</w:t>
      </w:r>
    </w:p>
    <w:p>
      <w:pPr>
        <w:pStyle w:val="ManualNumPar1"/>
        <w:rPr>
          <w:noProof/>
        </w:rPr>
      </w:pPr>
      <w:r>
        <w:t>4.</w:t>
      </w:r>
      <w:r>
        <w:tab/>
      </w:r>
      <w:r>
        <w:rPr>
          <w:noProof/>
        </w:rPr>
        <w:t>Αναλυτική περιγραφή των συνοδευτικών μέτρων [άρθρο 199γ παράγραφος 3 στοιχείο δ), σε συνάρτηση με την παράγραφο 2 της οδηγίας ΦΠΑ].</w:t>
      </w:r>
    </w:p>
    <w:p>
      <w:pPr>
        <w:pBdr>
          <w:top w:val="nil"/>
          <w:left w:val="nil"/>
          <w:bottom w:val="nil"/>
          <w:right w:val="nil"/>
          <w:between w:val="nil"/>
          <w:bar w:val="nil"/>
        </w:pBdr>
        <w:spacing w:before="0" w:after="240"/>
        <w:rPr>
          <w:noProof/>
        </w:rPr>
      </w:pPr>
      <w:r>
        <w:rPr>
          <w:noProof/>
        </w:rPr>
        <w:t>Η παρούσα διάταξη απαιτεί τη θέσπιση κατάλληλων και αποτελεσματικών υποχρεώσεων ηλεκτρονικής αναφοράς για όλα τα υποκείμενα στον φόρο πρόσωπα και, ειδικότερα, για τα υποκείμενα στον φόρο πρόσωπα τα οποία παραδίδουν ή παραλαμβάνουν αγαθά ή υπηρεσίες που υπόκεινται στον ΓΜΑΕ, ώστε να διασφαλιστούν η αποτελεσματική λειτουργία και παρακολούθηση της εφαρμογής του ΓΜΑΕ.</w:t>
      </w:r>
    </w:p>
    <w:p>
      <w:pPr>
        <w:pBdr>
          <w:top w:val="nil"/>
          <w:left w:val="nil"/>
          <w:bottom w:val="nil"/>
          <w:right w:val="nil"/>
          <w:between w:val="nil"/>
          <w:bar w:val="nil"/>
        </w:pBdr>
        <w:spacing w:before="0" w:after="240"/>
        <w:rPr>
          <w:noProof/>
        </w:rPr>
      </w:pPr>
      <w:r>
        <w:rPr>
          <w:noProof/>
        </w:rPr>
        <w:t>Η Τσεχία θεωρεί ότι οι υφιστάμενοι μηχανισμοί φορολογικού ελέγχου διασφαλίζουν επαρκώς την ορθή λειτουργία του ΓΜΑΕ και ότι δεν απαιτούνται πρόσθετα μέτρα ελέγχου.</w:t>
      </w:r>
      <w:r>
        <w:rPr>
          <w:b/>
          <w:noProof/>
        </w:rPr>
        <w:t xml:space="preserve"> </w:t>
      </w:r>
      <w:r>
        <w:rPr>
          <w:noProof/>
        </w:rPr>
        <w:t>Στα εν λόγω μέτρα περιλαμβάνονται ήδη τα πρόσθετα εργαλεία υποβολής εκθέσεων ΦΠΑ στα οποία παραπέμπει το τμήμα 1.3.6 ανωτέρω. Ειδικότερα, τα στοιχεία που αντλούνται στο πλαίσιο των εν λόγω υποχρεώσεων υποβολής εκθέσεων που έχουν θεσπιστεί ήδη σε εθνικό επίπεδο θα χρησιμοποιηθούν ως αναλυτικό μέσο για τον εντοπισμό ύποπτων αλυσίδων εφοδιασμού. Σύμφωνα με το συγκεκριμένο σύστημα υποβολής εκθέσεων, το οποίο συνεπάγεται την υποβολή ανακεφαλαιωτικού πίνακα ΦΠΑ (καταχώριση επιπλέον της δήλωσης ΦΠΑ) ο οποίος μπορεί να υποβληθεί ηλεκτρονικά, οι παραδόσεις στο πλαίσιο του ΓΜΑΕ θα πρέπει να δηλώνονται κατά τον ίδιο τρόπο όπως γίνεται ήδη για τις εγχώριες παραδόσεις στο πλαίσιο της αντιστροφής της επιβάρυνσης (αλλά με την προσθήκη ενός ειδικού κωδικού ΓΜΑΕ).</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Ο στόχος της παρούσας έγκρισης είναι περιορισμένος ως προς το πεδίο εφαρμογής και τη διάρκεια και δεν θίγει την ανάπτυξη ενός οριστικού συστήματος ΦΠΑ για ενδοενωσιακές, διασυνοριακές εμπορικές συναλλαγές μεταξύ επιχειρήσεων.</w:t>
      </w:r>
    </w:p>
    <w:p>
      <w:pPr>
        <w:pStyle w:val="ManualHeading2"/>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noProof/>
        </w:rPr>
      </w:pPr>
      <w:r>
        <w:rPr>
          <w:noProof/>
        </w:rPr>
        <w:t xml:space="preserve">Άρθρο 199γ της οδηγίας ΦΠΑ.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Λαμβανομένης υπόψη της διάταξης της οδηγίας ΦΠΑ στην οποία βασίζεται η πρόταση, δεν εφαρμόζεται η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Η απόφαση αφορά έγκριση που χορηγείται σε κράτος μέλος κατόπιν αίτησής του και σε καμία περίπτωση δεν συνιστά υποχρέωση.</w:t>
      </w:r>
    </w:p>
    <w:p>
      <w:pPr>
        <w:rPr>
          <w:noProof/>
        </w:rPr>
      </w:pPr>
      <w:r>
        <w:rPr>
          <w:noProof/>
        </w:rPr>
        <w:lastRenderedPageBreak/>
        <w:t>Το ειδικό μέτρο, δεδομένου του πεδίου εφαρμογής και των χρονικών περιορισμών που το χαρακτηρίζουν, είναι αναλογικό προς τον επιδιωκόμενο σκοπό, δηλαδή καταπολεμά την αλυσιδωτή απάτη, ενώ παράλληλα διεξάγονται διαπραγματεύσεις για το οριστικό σύστημα ΦΠΑ.</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spacing w:before="0" w:after="240"/>
        <w:rPr>
          <w:rFonts w:eastAsia="Arial Unicode MS"/>
          <w:noProof/>
        </w:rPr>
      </w:pPr>
      <w:r>
        <w:rPr>
          <w:noProof/>
        </w:rPr>
        <w:t>Προτεινόμενο μέσο: εκτελεστική απόφαση του Συμβουλίου.</w:t>
      </w:r>
    </w:p>
    <w:p>
      <w:pPr>
        <w:spacing w:before="0" w:after="240"/>
        <w:rPr>
          <w:rFonts w:eastAsia="Arial Unicode MS"/>
          <w:noProof/>
        </w:rPr>
      </w:pPr>
      <w:r>
        <w:rPr>
          <w:noProof/>
        </w:rPr>
        <w:t>Σύμφωνα με το άρθρο 199γ της οδηγίας ΦΠΑ, ο ΓΜΑΕ μπορεί να εφαρμοστεί μόνο κατόπιν έγκρισης του Συμβουλίου το οποίο αποφασίζει ομόφωνα έπειτα από πρόταση της Επιτροπής. Συνεπώς, η εκτελεστική απόφαση του Συμβουλίου είναι το καταλληλότερο νομικό μέσο, διότι μπορεί να απευθύνεται σε μεμονωμένο κράτος μέλος.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παρούσα πρόταση βασίζεται σε αίτηση που υπέβαλε η Τσεχία και αφορά μόνο το εν λόγω κράτος μέλος.</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 xml:space="preserve">Δεν υπήρξε ανάγκη εξωτερικής εμπειρογνωσίας.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noProof/>
        </w:rPr>
      </w:pPr>
      <w:r>
        <w:rPr>
          <w:noProof/>
        </w:rPr>
        <w:t>Η εισαγωγή του άρθρου 199γ στην οδηγία ΦΠΑ, στο οποίο βασίζεται η παρούσα έγκριση, αποτέλεσε αντικείμενο εκτίμησης επιπτώσεων, επί της οποίας η επιτροπή ρυθμιστικού ελέγχου γνωμοδότησε θετικά με συστάσεις στις 28 Νοεμβρίου 2016</w:t>
      </w:r>
      <w:r>
        <w:rPr>
          <w:rStyle w:val="FootnoteReference"/>
          <w:noProof/>
        </w:rPr>
        <w:footnoteReference w:id="13"/>
      </w:r>
      <w:r>
        <w:rPr>
          <w:rStyle w:val="FootnoteReference"/>
          <w:noProof/>
        </w:rPr>
        <w:t>.</w:t>
      </w:r>
    </w:p>
    <w:p>
      <w:pPr>
        <w:pStyle w:val="ManualHeading2"/>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έχει αρνητικές επιπτώσεις στον προϋπολογισμό της Ευρωπαϊκής Ένωσης.</w:t>
      </w:r>
    </w:p>
    <w:p>
      <w:pPr>
        <w:pStyle w:val="ManualHeading1"/>
        <w:rPr>
          <w:noProof/>
        </w:rPr>
      </w:pPr>
      <w:r>
        <w:rPr>
          <w:noProof/>
        </w:rPr>
        <w:t>5.</w:t>
      </w:r>
      <w:r>
        <w:rPr>
          <w:noProof/>
        </w:rPr>
        <w:tab/>
        <w:t>ΛΟΙΠΑ ΣΤΟΙΧΕΙΑ</w:t>
      </w:r>
    </w:p>
    <w:p>
      <w:pPr>
        <w:rPr>
          <w:noProof/>
        </w:rPr>
      </w:pPr>
      <w:r>
        <w:rPr>
          <w:noProof/>
        </w:rPr>
        <w:t>Η πρόταση περιορίζεται χρονικά.</w:t>
      </w:r>
    </w:p>
    <w:p>
      <w:pPr>
        <w:rPr>
          <w:noProof/>
        </w:rPr>
        <w:sectPr>
          <w:footerReference w:type="default" r:id="rId16"/>
          <w:footerReference w:type="first" r:id="rId17"/>
          <w:pgSz w:w="11907" w:h="16839"/>
          <w:pgMar w:top="1134" w:right="680" w:bottom="1134" w:left="1418" w:header="709" w:footer="709" w:gutter="0"/>
          <w:cols w:space="708"/>
          <w:docGrid w:linePitch="360"/>
        </w:sectPr>
      </w:pPr>
    </w:p>
    <w:p>
      <w:pPr>
        <w:pStyle w:val="Rfrenceinterinstitutionnelle"/>
        <w:rPr>
          <w:noProof/>
        </w:rPr>
      </w:pPr>
      <w:r>
        <w:rPr>
          <w:noProof/>
        </w:rPr>
        <w:lastRenderedPageBreak/>
        <w:t>2019/0137 (NLE)</w:t>
      </w:r>
    </w:p>
    <w:p>
      <w:pPr>
        <w:pStyle w:val="Statut"/>
        <w:rPr>
          <w:noProof/>
        </w:rPr>
      </w:pPr>
      <w:r>
        <w:rPr>
          <w:noProof/>
        </w:rPr>
        <w:t>Πρόταση</w:t>
      </w:r>
    </w:p>
    <w:p>
      <w:pPr>
        <w:pStyle w:val="Typedudocument"/>
        <w:rPr>
          <w:noProof/>
        </w:rPr>
      </w:pPr>
      <w:r>
        <w:rPr>
          <w:noProof/>
        </w:rPr>
        <w:t>EKTEΛΕΣΤΙΚΗ ΑΠΟΦΑΣΗ ΤΟΥ ΣΥΜΒΟΥΛΙΟΥ</w:t>
      </w:r>
    </w:p>
    <w:p>
      <w:pPr>
        <w:pStyle w:val="Titreobjet"/>
        <w:rPr>
          <w:noProof/>
        </w:rPr>
      </w:pPr>
      <w:r>
        <w:rPr>
          <w:noProof/>
        </w:rPr>
        <w:t>με την οποία επιτρέπεται στην Τσεχία να εφαρμόσει τον γενικευμένο μηχανισμό αντιστροφής της επιβάρυνσης, κατά παρέκκλιση του άρθρου 193 της οδηγίας 2006/112/ΕΚ</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w:t>
      </w:r>
    </w:p>
    <w:p>
      <w:pPr>
        <w:rPr>
          <w:noProof/>
        </w:rPr>
      </w:pPr>
      <w:r>
        <w:rPr>
          <w:noProof/>
        </w:rPr>
        <w:t>Έχοντας υπόψη την οδηγία 2006/112/ΕΚ του Συμβουλίου, της 28ης Νοεμβρίου 2006, σχετικά με το κοινό σύστημα φόρου προστιθέμενης αξίας</w:t>
      </w:r>
      <w:r>
        <w:rPr>
          <w:rStyle w:val="FootnoteReference"/>
          <w:noProof/>
        </w:rPr>
        <w:footnoteReference w:customMarkFollows="1" w:id="14"/>
        <w:t>1,</w:t>
      </w:r>
      <w:r>
        <w:rPr>
          <w:noProof/>
        </w:rPr>
        <w:t xml:space="preserve"> και ιδίως το άρθρο 199γ παράγραφος 4,</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Το άρθρο 199γ της οδηγίας 2006/112/ΕΚ επιτρέπει στα κράτη μέλη, κατά παρέκκλιση του άρθρου 193 της εν λόγω οδηγίας και υπό ορισμένες αυστηρές προϋποθέσεις, να εισαγάγουν γενικευμένο μηχανισμό αντιστροφής της επιβάρυνσης («ΓΜΑΕ») για μη διασυνοριακές παραδόσεις αγαθών και παροχές υπηρεσιών, υπό την προϋπόθεση ότι ο υπόχρεος για την καταβολή του ΦΠΑ είναι το υποκείμενο στον φόρο πρόσωπο στο οποίο γίνονται όλες οι παραδόσεις αγαθών ή οι παροχές υπηρεσιών πέραν του ορίου των 17 500 EUR ανά συναλλαγή.</w:t>
      </w:r>
    </w:p>
    <w:p>
      <w:pPr>
        <w:pStyle w:val="ManualConsidrant"/>
        <w:rPr>
          <w:noProof/>
        </w:rPr>
      </w:pPr>
      <w:r>
        <w:t>(2)</w:t>
      </w:r>
      <w:r>
        <w:tab/>
      </w:r>
      <w:r>
        <w:rPr>
          <w:noProof/>
        </w:rPr>
        <w:t>Με επιστολές που πρωτοκολλήθηκαν στην Επιτροπή στις 21 Ιανουαρίου 2019 και στις 22 Μαρτίου 2019, η Τσεχία ζήτησε άδεια να εφαρμόσει τον ΓΜΑΕ.</w:t>
      </w:r>
    </w:p>
    <w:p>
      <w:pPr>
        <w:pStyle w:val="ManualConsidrant"/>
        <w:rPr>
          <w:noProof/>
        </w:rPr>
      </w:pPr>
      <w:r>
        <w:t>(3)</w:t>
      </w:r>
      <w:r>
        <w:tab/>
      </w:r>
      <w:r>
        <w:rPr>
          <w:noProof/>
        </w:rPr>
        <w:t>Το 2014, το έλλειμμα ΦΠΑ της Τσεχίας ανήλθε στο 16,14 % της συνολικής φορολογικής υποχρέωσης ΦΠΑ, σύμφωνα με τη μέθοδο και τα στοιχεία που παρατίθενται στην τελική έκθεση 2016 της Επιτροπής για το έλλειμμα ΦΠΑ, της 23ης Αυγούστου 2016</w:t>
      </w:r>
      <w:r>
        <w:rPr>
          <w:noProof/>
        </w:rPr>
        <w:footnoteReference w:customMarkFollows="1" w:id="15"/>
        <w:t xml:space="preserve">2. Συνεπώς, το έλλειμμα ΦΠΑ της Τσεχίας υπερέβη τη διάμεση τιμή του ελλείμματος ΦΠΑ της Κοινότητας (10,4 %) κατά περισσότερο από 5 ποσοστιαίες μονάδες. </w:t>
      </w:r>
    </w:p>
    <w:p>
      <w:pPr>
        <w:pStyle w:val="ManualConsidrant"/>
        <w:rPr>
          <w:noProof/>
        </w:rPr>
      </w:pPr>
      <w:r>
        <w:t>(4)</w:t>
      </w:r>
      <w:r>
        <w:tab/>
      </w:r>
      <w:r>
        <w:rPr>
          <w:noProof/>
        </w:rPr>
        <w:t>Το επίπεδο αλυσιδωτής απάτης υπερέβη το 25 % του συνολικού ελλείμματος ΦΠΑ της Τσεχίας, σύμφωνα με την εκτίμηση επιπτώσεων</w:t>
      </w:r>
      <w:r>
        <w:rPr>
          <w:noProof/>
        </w:rPr>
        <w:footnoteReference w:customMarkFollows="1" w:id="16"/>
        <w:t>3 που συνοδεύει την πρόταση οδηγίας (ΕΕ) 2018/2057 του Συμβουλίου</w:t>
      </w:r>
      <w:r>
        <w:rPr>
          <w:noProof/>
        </w:rPr>
        <w:footnoteReference w:customMarkFollows="1" w:id="17"/>
        <w:t>4, η οποία εισήγαγε τον ΓΜΑΕ.</w:t>
      </w:r>
    </w:p>
    <w:p>
      <w:pPr>
        <w:pStyle w:val="ManualConsidrant"/>
        <w:rPr>
          <w:noProof/>
        </w:rPr>
      </w:pPr>
      <w:r>
        <w:t>(5)</w:t>
      </w:r>
      <w:r>
        <w:tab/>
      </w:r>
      <w:r>
        <w:rPr>
          <w:noProof/>
        </w:rPr>
        <w:t xml:space="preserve">Η Τσεχία παρείχε στην Επιτροπή λεπτομερή στοιχεία τα οποία καταδεικνύουν ότι, μολονότι στην Τσεχία εφαρμόστηκαν διάφορα μέτρα ελέγχου με θετικά </w:t>
      </w:r>
      <w:r>
        <w:rPr>
          <w:noProof/>
        </w:rPr>
        <w:lastRenderedPageBreak/>
        <w:t>αποτελέσματα, τα μέτρα αυτά δεν ήταν επαρκή για την καταπολέμηση της αλυσιδωτής απάτης. Η διοικητική συνεργασία στον τομέα του ΦΠΑ αποδείχθηκε εξίσου ανεπαρκής για την καταπολέμηση της αλυσιδωτής απάτης.</w:t>
      </w:r>
    </w:p>
    <w:p>
      <w:pPr>
        <w:pStyle w:val="ManualConsidrant"/>
        <w:rPr>
          <w:noProof/>
        </w:rPr>
      </w:pPr>
      <w:r>
        <w:t>(6)</w:t>
      </w:r>
      <w:r>
        <w:tab/>
      </w:r>
      <w:r>
        <w:rPr>
          <w:noProof/>
        </w:rPr>
        <w:t xml:space="preserve">Η Τσεχία παρείχε στην Επιτροπή λεπτομερή στοιχεία τα οποία καταδεικνύουν ότι τα εκτιμώμενα κέρδη που προέκυψαν από την εισαγωγή του ΓΜΑΕ αναμένεται να ανέλθουν σε 10 δισ. CZK. Η Τσεχία κατέδειξε επίσης ότι η συνολική πρόσθετη επιβάρυνση για τις επιχειρήσεις και τις φορολογικές αρχές αναμένεται να ανέλθει σε 0,604 δισ. CZK. Συνεπώς, τα εκτιμώμενα κέρδη υπερκαλύπτουν κατά περισσότερο από 25 % την αναμενόμενη συνολική πρόσθετη επιβάρυνση. </w:t>
      </w:r>
    </w:p>
    <w:p>
      <w:pPr>
        <w:pStyle w:val="ManualConsidrant"/>
        <w:rPr>
          <w:noProof/>
        </w:rPr>
      </w:pPr>
      <w:r>
        <w:t>(7)</w:t>
      </w:r>
      <w:r>
        <w:tab/>
      </w:r>
      <w:r>
        <w:rPr>
          <w:noProof/>
        </w:rPr>
        <w:t>Δεδομένου ότι η Τσεχία αναμένει ότι η συνολική πρόσθετη επιβάρυνση λόγω της εισαγωγής του ΓΜΑΕ δεν θα είναι σημαντική, ως αποτέλεσμα οι επιχειρήσεις και οι φορολογικές αρχές δεν θα επιβαρυνθούν με κόστος υψηλότερο εκείνου που προκύπτει από την εφαρμογή άλλων μέτρων ελέγχου.</w:t>
      </w:r>
    </w:p>
    <w:p>
      <w:pPr>
        <w:pStyle w:val="ManualConsidrant"/>
        <w:rPr>
          <w:noProof/>
        </w:rPr>
      </w:pPr>
      <w:r>
        <w:t>(8)</w:t>
      </w:r>
      <w:r>
        <w:tab/>
      </w:r>
      <w:r>
        <w:rPr>
          <w:noProof/>
        </w:rPr>
        <w:t>Η Τσεχία ζήτησε να της επιτραπεί να εφαρμόσει τον ΓΜΑΕ από την 1η Ιανουαρίου 2020 έως την 30ή Ιουνίου 2022.</w:t>
      </w:r>
    </w:p>
    <w:p>
      <w:pPr>
        <w:pStyle w:val="ManualConsidrant"/>
        <w:rPr>
          <w:noProof/>
        </w:rPr>
      </w:pPr>
      <w:r>
        <w:t>(9)</w:t>
      </w:r>
      <w:r>
        <w:tab/>
      </w:r>
      <w:r>
        <w:rPr>
          <w:noProof/>
        </w:rPr>
        <w:t>Η Τσεχία επιβεβαίωσε στην Επιτροπή ότι θα ληφθούν μέτρα για την ενημέρωση των υποκείμενων στον φόρο προσώπων σχετικά με την εφαρμογή του ΓΜΑΕ, μέσω μηνυμάτων ηλεκτρονικού ταχυδρομείου, δημόσιων διαλέξεων, συζητήσεων με επιχειρηματικές ενώσεις, μέσω του δικτυακού τόπου της διοίκησης και μέσω έντυπου και ηλεκτρονικού προωθητικού υλικού.</w:t>
      </w:r>
    </w:p>
    <w:p>
      <w:pPr>
        <w:pStyle w:val="ManualConsidrant"/>
        <w:rPr>
          <w:noProof/>
        </w:rPr>
      </w:pPr>
      <w:r>
        <w:t>(10)</w:t>
      </w:r>
      <w:r>
        <w:tab/>
      </w:r>
      <w:r>
        <w:rPr>
          <w:noProof/>
        </w:rPr>
        <w:t>Η Τσεχία παρείχε στην Επιτροπή λεπτομερή περιγραφή των υφιστάμενων μηχανισμών ελέγχου του ΦΠΑ και επιβεβαίωσε ότι, με την προσθήκη του ειδικού κωδικού ΓΜΑΕ, τα υφιστάμενα μέτρα θα επαρκούν για να εξασφαλίσουν την αποτελεσματική λειτουργία και παρακολούθηση του ΓΜΑΕ.</w:t>
      </w:r>
    </w:p>
    <w:p>
      <w:pPr>
        <w:pStyle w:val="ManualConsidrant"/>
        <w:rPr>
          <w:noProof/>
        </w:rPr>
      </w:pPr>
      <w:r>
        <w:t>(11)</w:t>
      </w:r>
      <w:r>
        <w:tab/>
      </w:r>
      <w:r>
        <w:rPr>
          <w:noProof/>
        </w:rPr>
        <w:t>Με βάση τις πληροφορίες που παρείχε η Τσεχία στην Επιτροπή, θεωρείται ότι η Τσεχία πληροί τις προϋποθέσεις που αναφέρονται στο άρθρο 199γ παράγραφος 1 της οδηγίας 2006/112/ΕΚ και ότι η αίτηση που υπέβαλε η Τσεχία συμμορφώνεται με τις λοιπές απαιτήσεις της παραγράφου 3 του εν λόγω άρθρου. Ως εκ τούτου, είναι σκόπιμο να επιτραπεί στην Τσεχία να εφαρμόσει τον ΓΜΑΕ για την αιτούμενη περίοδο.</w:t>
      </w:r>
    </w:p>
    <w:p>
      <w:pPr>
        <w:pStyle w:val="ManualConsidrant"/>
        <w:rPr>
          <w:noProof/>
        </w:rPr>
      </w:pPr>
      <w:r>
        <w:t>(12)</w:t>
      </w:r>
      <w:r>
        <w:tab/>
      </w:r>
      <w:r>
        <w:rPr>
          <w:noProof/>
        </w:rPr>
        <w:t xml:space="preserve">Η παρέκκλιση δεν θα έχει αρνητικό αντίκτυπο στους ιδίους πόρους της Ένωσης που προέρχονται από τον ΦΠΑ,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Επιτρέπεται στην Τσεχία να εφαρμόσει τον γενικευμένο μηχανισμό αντιστροφής της επιβάρυνσης, σύμφωνα με το άρθρο 199γ της οδηγίας 2006/112/ΕΚ, για την περίοδο από την 1η Ιανουαρίου 2020 έως τις 30 Ιουνίου 2022.</w:t>
      </w:r>
    </w:p>
    <w:p>
      <w:pPr>
        <w:pStyle w:val="Titrearticle"/>
        <w:rPr>
          <w:noProof/>
        </w:rPr>
      </w:pPr>
      <w:r>
        <w:rPr>
          <w:noProof/>
        </w:rPr>
        <w:lastRenderedPageBreak/>
        <w:t>Άρθρο 2</w:t>
      </w:r>
    </w:p>
    <w:p>
      <w:pPr>
        <w:keepNext/>
        <w:keepLines/>
        <w:rPr>
          <w:noProof/>
        </w:rPr>
      </w:pPr>
      <w:r>
        <w:rPr>
          <w:noProof/>
          <w:color w:val="000000"/>
        </w:rPr>
        <w:t>Η παρούσα απόφαση απευθύνεται στην Τσεχία.</w:t>
      </w:r>
    </w:p>
    <w:p>
      <w:pPr>
        <w:pStyle w:val="Fait"/>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sz w:val="24"/>
          <w:szCs w:val="22"/>
        </w:rPr>
        <w:tab/>
      </w:r>
      <w:r>
        <w:t>Οδηγία (ΕΕ) 2018/2057 του Συμβουλίου, της 20ής Δεκεμβρίου 2018, για την τροποποίηση της οδηγίας 2006/112/ΕΚ σχετικά με το κοινό σύστημα φόρου προστιθέμενης αξίας όσον αφορά την προσωρινή εφαρμογή γενικευμένου μηχανισμού αντιστροφής της επιβάρυνσης για τις παραδόσεις αγαθών και τις παροχές υπηρεσιών που υπερβαίνουν ένα ορισμένο όριο (ΕΕ L 329 της 27.12.2018, σ. 3-7).</w:t>
      </w:r>
    </w:p>
  </w:footnote>
  <w:footnote w:id="2">
    <w:p>
      <w:pPr>
        <w:pStyle w:val="FootnoteText"/>
      </w:pPr>
      <w:r>
        <w:rPr>
          <w:rStyle w:val="FootnoteReference"/>
        </w:rPr>
        <w:footnoteRef/>
      </w:r>
      <w:r>
        <w:rPr>
          <w:sz w:val="24"/>
          <w:szCs w:val="22"/>
        </w:rPr>
        <w:tab/>
      </w:r>
      <w:r>
        <w:t>Οδηγία 2006/112/ΕΚ του Συμβουλίου, της 28ης Νοεμβρίου 2006, σχετικά με το κοινό σύστημα φόρου προστιθέμενης αξίας (ΕΕ L 347 της 11.12.2006, σ. 1).</w:t>
      </w:r>
    </w:p>
  </w:footnote>
  <w:footnote w:id="3">
    <w:p>
      <w:pPr>
        <w:pStyle w:val="FootnoteText"/>
      </w:pPr>
      <w:r>
        <w:rPr>
          <w:rStyle w:val="FootnoteReference"/>
        </w:rPr>
        <w:footnoteRef/>
      </w:r>
      <w:r>
        <w:rPr>
          <w:sz w:val="24"/>
          <w:szCs w:val="22"/>
        </w:rPr>
        <w:tab/>
      </w:r>
      <w:r>
        <w:t>Ανακοίνωση της Επιτροπής προς το Ευρωπαϊκό Κοινοβούλιο, το Συμβούλιο και την Ευρωπαϊκή Οικονομική και Κοινωνική Επιτροπή σχετικά με ένα σχέδιο δράσης για τον ΦΠΑ - Προς έναν ενιαίο χώρο ΦΠΑ στην ΕΕ - Η ώρα των αποφάσεων [COM(2016) 148 final της 7.4.2016].</w:t>
      </w:r>
    </w:p>
  </w:footnote>
  <w:footnote w:id="4">
    <w:p>
      <w:pPr>
        <w:pStyle w:val="FootnoteText"/>
      </w:pPr>
      <w:r>
        <w:rPr>
          <w:rStyle w:val="FootnoteReference"/>
        </w:rPr>
        <w:footnoteRef/>
      </w:r>
      <w:r>
        <w:rPr>
          <w:sz w:val="24"/>
          <w:szCs w:val="22"/>
        </w:rPr>
        <w:tab/>
      </w:r>
      <w:r>
        <w:rPr>
          <w:rStyle w:val="FootnoteReference"/>
          <w:sz w:val="24"/>
          <w:szCs w:val="22"/>
        </w:rPr>
        <w:t>4</w:t>
      </w:r>
      <w:r>
        <w:tab/>
        <w:t>Στο μεταξύ, εγκρίθηκαν οι αναγκαίες προτάσεις από την Επιτροπή:</w:t>
      </w:r>
    </w:p>
    <w:p>
      <w:pPr>
        <w:pStyle w:val="FootnoteText"/>
        <w:ind w:firstLine="0"/>
      </w:pPr>
      <w:r>
        <w:t>Πρόταση οδηγίας του Συμβουλίου για την τροποποίηση της οδηγίας 2006/112/ΕΚ όσον αφορά την εναρμόνιση και απλούστευση ορισμένων κανόνων στο σύστημα φόρου προστιθέμενης αξίας και τη θέσπιση του οριστικού συστήματος για τη φορολόγηση των συναλλαγών μεταξύ κρατών μελών [COM(2017) 569 final της 4.10.2017].</w:t>
      </w:r>
    </w:p>
    <w:p>
      <w:pPr>
        <w:pStyle w:val="FootnoteText"/>
        <w:ind w:firstLine="0"/>
      </w:pPr>
      <w:r>
        <w:t>Πρόταση οδηγίας του Συμβουλίου για την τροποποίηση της οδηγίας 2006/112/ΕΚ όσον αφορά την εισαγωγή των αναλυτικών τεχνικών μέτρων για τη λειτουργία του οριστικού συστήματος ΦΠΑ για τη φορολόγηση των εμπορικών συναλλαγών μεταξύ των κρατών μελών [COM(2018) 329 final της 25.5.2018].</w:t>
      </w:r>
    </w:p>
  </w:footnote>
  <w:footnote w:id="5">
    <w:p>
      <w:pPr>
        <w:pStyle w:val="FootnoteText"/>
      </w:pPr>
      <w:r>
        <w:rPr>
          <w:rStyle w:val="FootnoteReference"/>
        </w:rPr>
        <w:footnoteRef/>
      </w:r>
      <w:r>
        <w:rPr>
          <w:sz w:val="24"/>
          <w:szCs w:val="22"/>
        </w:rPr>
        <w:tab/>
      </w:r>
      <w:r>
        <w:rPr>
          <w:rStyle w:val="FootnoteReference"/>
          <w:sz w:val="24"/>
          <w:szCs w:val="22"/>
        </w:rPr>
        <w:t>5</w:t>
      </w:r>
      <w:r>
        <w:tab/>
        <w:t xml:space="preserve">Η αλυσιδωτή απάτη (η οποία ορισμένες φορές αποκαλείται επίσης «απάτη αφανούς εμπόρου») πηγάζει από την υφιστάμενη απαλλαγή των ενδοκοινοτικών παραδόσεων, η οποία επιτρέπει την απόκτηση αγαθών χωρίς ΦΠΑ. Ορισμένοι έμποροι διαπράττουν στη συνέχεια φορολογική απάτη με το να μην καταβάλουν στις φορολογικές αρχές τον ΦΠΑ που εισπράττουν από τους πελάτες τους. Οι πελάτες αυτοί, ωστόσο, οι οποίοι έχουν λάβει έγκυρο τιμολόγιο, εξακολουθούν να δικαιούνται έκπτωση φόρου. Τα ίδια αγαθά μπορούν να παραδίδονται πολλές φορές, με απαλλαγή και πάλι των ενδοκοινοτικών παραδόσεων. Παρόμοια αλυσιδωτή απάτη μπορεί επίσης να συμβεί κατά την παροχή υπηρεσιών. </w:t>
      </w:r>
    </w:p>
  </w:footnote>
  <w:footnote w:id="6">
    <w:p>
      <w:pPr>
        <w:pStyle w:val="FootnoteText"/>
        <w:rPr>
          <w:lang w:val="pt-PT"/>
        </w:rPr>
      </w:pPr>
      <w:r>
        <w:rPr>
          <w:rStyle w:val="FootnoteReference"/>
        </w:rPr>
        <w:footnoteRef/>
      </w:r>
      <w:r>
        <w:rPr>
          <w:sz w:val="24"/>
          <w:szCs w:val="22"/>
          <w:lang w:val="pt-PT"/>
        </w:rPr>
        <w:tab/>
      </w:r>
      <w:r>
        <w:rPr>
          <w:lang w:val="pt-PT"/>
        </w:rPr>
        <w:t xml:space="preserve">COM(2016) 811 final </w:t>
      </w:r>
      <w:r>
        <w:t>της</w:t>
      </w:r>
      <w:r>
        <w:rPr>
          <w:lang w:val="pt-PT"/>
        </w:rPr>
        <w:t xml:space="preserve"> 21.12.2016.</w:t>
      </w:r>
    </w:p>
  </w:footnote>
  <w:footnote w:id="7">
    <w:p>
      <w:pPr>
        <w:pStyle w:val="FootnoteText"/>
        <w:rPr>
          <w:lang w:val="pt-PT"/>
        </w:rPr>
      </w:pPr>
      <w:r>
        <w:rPr>
          <w:rStyle w:val="FootnoteReference"/>
        </w:rPr>
        <w:footnoteRef/>
      </w:r>
      <w:r>
        <w:rPr>
          <w:sz w:val="24"/>
          <w:szCs w:val="22"/>
          <w:lang w:val="pt-PT"/>
        </w:rPr>
        <w:tab/>
      </w:r>
      <w:r>
        <w:rPr>
          <w:lang w:val="pt-PT"/>
        </w:rPr>
        <w:t xml:space="preserve">COM(2018) 329 final </w:t>
      </w:r>
      <w:r>
        <w:t>της</w:t>
      </w:r>
      <w:r>
        <w:rPr>
          <w:lang w:val="pt-PT"/>
        </w:rPr>
        <w:t xml:space="preserve"> 25.5.2018.</w:t>
      </w:r>
    </w:p>
  </w:footnote>
  <w:footnote w:id="8">
    <w:p>
      <w:pPr>
        <w:pStyle w:val="FootnoteText"/>
      </w:pPr>
      <w:r>
        <w:rPr>
          <w:rStyle w:val="FootnoteReference"/>
        </w:rPr>
        <w:footnoteRef/>
      </w:r>
      <w:r>
        <w:rPr>
          <w:sz w:val="24"/>
          <w:szCs w:val="22"/>
          <w:lang w:val="en-GB"/>
        </w:rPr>
        <w:tab/>
      </w:r>
      <w:r>
        <w:rPr>
          <w:lang w:val="en-GB"/>
        </w:rPr>
        <w:t>Center for Social and Economic Research (CASE), Study and Reports on the VAT Gap in the EU-28 Member States: 2016 Final Report (</w:t>
      </w:r>
      <w:hyperlink r:id="rId1" w:history="1">
        <w:r>
          <w:rPr>
            <w:rStyle w:val="Hyperlink"/>
            <w:lang w:val="en-GB"/>
          </w:rPr>
          <w:t>TAXUD/2015/CC/131</w:t>
        </w:r>
      </w:hyperlink>
      <w:r>
        <w:rPr>
          <w:lang w:val="en-GB"/>
        </w:rPr>
        <w:t xml:space="preserve">), 2016, </w:t>
      </w:r>
      <w:r>
        <w:t>σ</w:t>
      </w:r>
      <w:r>
        <w:rPr>
          <w:lang w:val="en-GB"/>
        </w:rPr>
        <w:t>. 19.</w:t>
      </w:r>
    </w:p>
  </w:footnote>
  <w:footnote w:id="9">
    <w:p>
      <w:pPr>
        <w:pStyle w:val="FootnoteText"/>
      </w:pPr>
      <w:r>
        <w:rPr>
          <w:rStyle w:val="FootnoteReference"/>
        </w:rPr>
        <w:footnoteRef/>
      </w:r>
      <w:r>
        <w:rPr>
          <w:sz w:val="24"/>
          <w:szCs w:val="22"/>
        </w:rPr>
        <w:tab/>
      </w:r>
      <w:r>
        <w:t>SWD(2016) 457 final της 21.12.2016, σ. 39.</w:t>
      </w:r>
    </w:p>
  </w:footnote>
  <w:footnote w:id="10">
    <w:p>
      <w:pPr>
        <w:pStyle w:val="FootnoteText"/>
      </w:pPr>
      <w:r>
        <w:rPr>
          <w:rStyle w:val="FootnoteReference"/>
        </w:rPr>
        <w:footnoteRef/>
      </w:r>
      <w:r>
        <w:rPr>
          <w:sz w:val="24"/>
          <w:szCs w:val="22"/>
        </w:rPr>
        <w:tab/>
      </w:r>
      <w:r>
        <w:t xml:space="preserve">Απόφαση της 6ης Ιουλίου 2006, </w:t>
      </w:r>
      <w:r>
        <w:rPr>
          <w:i/>
        </w:rPr>
        <w:t>Kittel</w:t>
      </w:r>
      <w:r>
        <w:t xml:space="preserve">, C-439/04, </w:t>
      </w:r>
      <w:r>
        <w:rPr>
          <w:rStyle w:val="outputecliaff"/>
        </w:rPr>
        <w:t>EU:C:2006:446.</w:t>
      </w:r>
    </w:p>
  </w:footnote>
  <w:footnote w:id="11">
    <w:p>
      <w:pPr>
        <w:pStyle w:val="FootnoteText"/>
      </w:pPr>
      <w:r>
        <w:rPr>
          <w:rStyle w:val="FootnoteReference"/>
        </w:rPr>
        <w:footnoteRef/>
      </w:r>
      <w:r>
        <w:rPr>
          <w:sz w:val="24"/>
          <w:szCs w:val="22"/>
        </w:rPr>
        <w:tab/>
      </w:r>
      <w:r>
        <w:t xml:space="preserve">Απόφαση της 14ης Μαρτίου 2013, </w:t>
      </w:r>
      <w:r>
        <w:rPr>
          <w:i/>
        </w:rPr>
        <w:t>Ablessio</w:t>
      </w:r>
      <w:r>
        <w:t xml:space="preserve">, C-527/11, </w:t>
      </w:r>
      <w:r>
        <w:rPr>
          <w:rStyle w:val="outputecliaff"/>
        </w:rPr>
        <w:t xml:space="preserve">EU:C:2013:168. </w:t>
      </w:r>
    </w:p>
  </w:footnote>
  <w:footnote w:id="12">
    <w:p>
      <w:pPr>
        <w:pStyle w:val="FootnoteText"/>
      </w:pPr>
      <w:r>
        <w:rPr>
          <w:rStyle w:val="FootnoteReference"/>
        </w:rPr>
        <w:footnoteRef/>
      </w:r>
      <w:r>
        <w:rPr>
          <w:sz w:val="24"/>
          <w:szCs w:val="22"/>
        </w:rPr>
        <w:tab/>
      </w:r>
      <w:r>
        <w:t xml:space="preserve">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(αναδιατύπωση) (ΕΕ L 268 της 12.10.2010, σ. 1). </w:t>
      </w:r>
    </w:p>
  </w:footnote>
  <w:footnote w:id="13">
    <w:p>
      <w:pPr>
        <w:pStyle w:val="FootnoteText"/>
      </w:pPr>
      <w:r>
        <w:rPr>
          <w:rStyle w:val="FootnoteReference"/>
        </w:rPr>
        <w:footnoteRef/>
      </w:r>
      <w:r>
        <w:rPr>
          <w:sz w:val="24"/>
          <w:szCs w:val="22"/>
        </w:rPr>
        <w:tab/>
      </w:r>
      <w:r>
        <w:t xml:space="preserve">Βλέπε: </w:t>
      </w:r>
      <w:hyperlink r:id="rId2" w:history="1">
        <w:r>
          <w:rPr>
            <w:rStyle w:val="Hyperlink"/>
          </w:rPr>
          <w:t>http://ec.europa.eu/smart-regulation/impact/ia_carried_out/cia_2016_en.htm</w:t>
        </w:r>
      </w:hyperlink>
    </w:p>
  </w:footnote>
  <w:footnote w:id="14">
    <w:p>
      <w:pPr>
        <w:pStyle w:val="FootnoteText"/>
      </w:pPr>
      <w:r>
        <w:rPr>
          <w:rStyle w:val="FootnoteReference"/>
          <w:lang w:val="en-GB"/>
        </w:rPr>
        <w:t>1</w:t>
      </w:r>
      <w:r>
        <w:rPr>
          <w:lang w:val="en-GB"/>
        </w:rPr>
        <w:t xml:space="preserve"> </w:t>
      </w:r>
      <w:r>
        <w:rPr>
          <w:lang w:val="en-GB"/>
        </w:rPr>
        <w:tab/>
      </w:r>
      <w:r>
        <w:t>ΕΕ</w:t>
      </w:r>
      <w:r>
        <w:rPr>
          <w:lang w:val="en-GB"/>
        </w:rPr>
        <w:t xml:space="preserve"> L 347 </w:t>
      </w:r>
      <w:r>
        <w:t>της</w:t>
      </w:r>
      <w:r>
        <w:rPr>
          <w:lang w:val="en-GB"/>
        </w:rPr>
        <w:t xml:space="preserve"> 11.12.2006, </w:t>
      </w:r>
      <w:r>
        <w:t>σ</w:t>
      </w:r>
      <w:r>
        <w:rPr>
          <w:lang w:val="en-GB"/>
        </w:rPr>
        <w:t>. 1.</w:t>
      </w:r>
    </w:p>
  </w:footnote>
  <w:footnote w:id="15">
    <w:p>
      <w:pPr>
        <w:pStyle w:val="FootnoteText"/>
      </w:pPr>
      <w:r>
        <w:rPr>
          <w:rStyle w:val="FootnoteReference"/>
          <w:lang w:val="en-GB"/>
        </w:rPr>
        <w:t>2</w:t>
      </w:r>
      <w:r>
        <w:rPr>
          <w:lang w:val="en-GB"/>
        </w:rPr>
        <w:t xml:space="preserve"> </w:t>
      </w:r>
      <w:r>
        <w:rPr>
          <w:lang w:val="en-GB"/>
        </w:rPr>
        <w:tab/>
        <w:t>Center for Social and Economic Research (CASE), Study and Reports on the VAT Gap in the EU-28 Member States: 2016 Final Report (</w:t>
      </w:r>
      <w:hyperlink r:id="rId3" w:history="1">
        <w:r>
          <w:rPr>
            <w:rStyle w:val="Hyperlink"/>
            <w:lang w:val="en-GB"/>
          </w:rPr>
          <w:t>TAXUD/2015/CC/131</w:t>
        </w:r>
      </w:hyperlink>
      <w:r>
        <w:rPr>
          <w:lang w:val="en-GB"/>
        </w:rPr>
        <w:t xml:space="preserve">), 2016, </w:t>
      </w:r>
      <w:r>
        <w:t>σ</w:t>
      </w:r>
      <w:r>
        <w:rPr>
          <w:lang w:val="en-GB"/>
        </w:rPr>
        <w:t>. 19.</w:t>
      </w:r>
    </w:p>
  </w:footnote>
  <w:footnote w:id="16">
    <w:p>
      <w:pPr>
        <w:pStyle w:val="FootnoteText"/>
      </w:pPr>
      <w:r>
        <w:rPr>
          <w:rStyle w:val="FootnoteReference"/>
        </w:rPr>
        <w:t>3</w:t>
      </w:r>
      <w:r>
        <w:t xml:space="preserve"> </w:t>
      </w:r>
      <w:r>
        <w:tab/>
        <w:t>SWD(2016) 457 final της 21.12.2016, σ. 39.</w:t>
      </w:r>
    </w:p>
  </w:footnote>
  <w:footnote w:id="17">
    <w:p>
      <w:pPr>
        <w:pStyle w:val="FootnoteText"/>
      </w:pPr>
      <w:r>
        <w:rPr>
          <w:rStyle w:val="FootnoteReference"/>
        </w:rPr>
        <w:t>4</w:t>
      </w:r>
      <w:r>
        <w:t xml:space="preserve"> </w:t>
      </w:r>
      <w:r>
        <w:tab/>
        <w:t xml:space="preserve">Οδηγία (ΕΕ) 2018/2057 του Συμβουλίου, της 20ής Δεκεμβρίου 2018, για την τροποποίηση της οδηγίας 2006/112/ΕΚ σχετικά με το κοινό σύστημα φόρου προστιθέμενης αξίας όσον αφορά την προσωρινή εφαρμογή γενικευμένου μηχανισμού αντιστροφής της επιβάρυνσης για τις παραδόσεις αγαθών και τις παροχές υπηρεσιών που υπερβαίνουν ένα ορισμένο όριο (ΕΕ L 329 της 27.12.2018, σ.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B2E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2848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5811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10C2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C43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68ED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2222DA"/>
    <w:lvl w:ilvl="0">
      <w:start w:val="1"/>
      <w:numFmt w:val="decimal"/>
      <w:pStyle w:val="ListNumber"/>
      <w:lvlText w:val="%1."/>
      <w:lvlJc w:val="left"/>
      <w:pPr>
        <w:tabs>
          <w:tab w:val="num" w:pos="360"/>
        </w:tabs>
        <w:ind w:left="360" w:hanging="360"/>
      </w:pPr>
    </w:lvl>
  </w:abstractNum>
  <w:abstractNum w:abstractNumId="7">
    <w:nsid w:val="FFFFFF89"/>
    <w:multiLevelType w:val="singleLevel"/>
    <w:tmpl w:val="ACE8F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18:16"/>
    <w:docVar w:name="DQCResult_Distribution" w:val="0;1"/>
    <w:docVar w:name="DQCResult_DocumentContent" w:val="0;0"/>
    <w:docVar w:name="DQCResult_DocumentSize" w:val="0;0"/>
    <w:docVar w:name="DQCResult_DocumentVersions" w:val="0;0"/>
    <w:docVar w:name="DQCResult_InvalidFootnotes" w:val="0;4"/>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7CA523-3A32-4F92-9AAB-83BFF3AB3908"/>
    <w:docVar w:name="LW_COVERPAGE_TYPE" w:val="1"/>
    <w:docVar w:name="LW_CROSSREFERENCE" w:val="&lt;UNUSED&gt;"/>
    <w:docVar w:name="LW_DocType" w:val="COM"/>
    <w:docVar w:name="LW_EMISSION" w:val="21.6.2019"/>
    <w:docVar w:name="LW_EMISSION_ISODATE" w:val="2019-06-21"/>
    <w:docVar w:name="LW_EMISSION_LOCATION" w:val="BRX"/>
    <w:docVar w:name="LW_EMISSION_PREFIX" w:val="Βρυξέλλες,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37"/>
    <w:docVar w:name="LW_REF.II.NEW.CP_YEAR" w:val="2019"/>
    <w:docVar w:name="LW_REF.INST.NEW" w:val="COM"/>
    <w:docVar w:name="LW_REF.INST.NEW_ADOPTED" w:val="final"/>
    <w:docVar w:name="LW_REF.INST.NEW_TEXT" w:val="(2019) 2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56?\u949? \u964?\u951?\u957? \u959?\u960?\u959?\u943?\u945? \u949?\u960?\u953?\u964?\u961?\u941?\u960?\u949?\u964?\u945?\u953? \u963?\u964?\u951?\u957? \u932?\u963?\u949?\u967?\u943?\u945? \u957?\u945? \u949?\u966?\u945?\u961?\u956?\u972?\u963?\u949?\u953? \u964?\u959?\u957? \u947?\u949?\u957?\u953?\u954?\u949?\u965?\u956?\u941?\u957?\u959? \u956?\u951?\u967?\u945?\u957?\u953?\u963?\u956?\u972? \u945?\u957?\u964?\u953?\u963?\u964?\u961?\u959?\u966?\u942?\u962? \u964?\u951?\u962? \u949?\u960?\u953?\u946?\u940?\u961?\u965?\u957?\u963?\u951?\u962?, \u954?\u945?\u964?\u940? \u960?\u945?\u961?\u941?\u954?\u954?\u955?\u953?\u963?\u951? \u964?\u959?\u965? \u940?\u961?\u952?\u961?\u959?\u965? 193 \u964?\u951?\u962? \u959?\u948?\u951?\u947?\u943?\u945?\u962? 2006/112/\u917?\u922?"/>
    <w:docVar w:name="LW_TYPE.DOC.CP" w:val="EKTE\u923?\u917?\u931?\u932?\u921?\u922?\u919?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1"/>
      </w:numPr>
      <w:contextualSpacing/>
    </w:pPr>
  </w:style>
  <w:style w:type="character" w:customStyle="1" w:styleId="outputecliaff">
    <w:name w:val="outputecliaff"/>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1"/>
      </w:numPr>
      <w:contextualSpacing/>
    </w:pPr>
  </w:style>
  <w:style w:type="character" w:customStyle="1" w:styleId="outputecliaff">
    <w:name w:val="outputecliaff"/>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sites/taxation/files/2016-09_vat-gap-report_final.pdf" TargetMode="External"/><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s://ec.europa.eu/taxation_customs/sites/taxation/files/2016-09_vat-gap-report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6BE4-FEDA-456C-83C4-4B529881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4417</Words>
  <Characters>25621</Characters>
  <Application>Microsoft Office Word</Application>
  <DocSecurity>0</DocSecurity>
  <Lines>420</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2019-06-20T17:46:00Z</dcterms:created>
  <dcterms:modified xsi:type="dcterms:W3CDTF">2019-06-21T08:18:00Z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