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D948D8D7-4F73-4E77-9E75-A41CFA374FE9" style="width:450.75pt;height:366pt">
            <v:imagedata r:id="rId9" o:title=""/>
          </v:shape>
        </w:pict>
      </w:r>
    </w:p>
    <w:p>
      <w:pPr>
        <w:rPr>
          <w:noProof/>
          <w:color w:val="000000" w:themeColor="text1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t>OBRAZLOŽENJE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1.</w:t>
      </w:r>
      <w:r>
        <w:rPr>
          <w:noProof/>
          <w:color w:val="000000" w:themeColor="text1"/>
        </w:rPr>
        <w:tab/>
        <w:t>KONTEKST PREPORUKE</w:t>
      </w:r>
    </w:p>
    <w:p>
      <w:pPr>
        <w:pStyle w:val="ManualHeading2"/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  <w:color w:val="000000" w:themeColor="text1"/>
          <w:u w:color="000000"/>
          <w:bdr w:val="nil"/>
        </w:rPr>
        <w:tab/>
      </w:r>
      <w:r>
        <w:rPr>
          <w:noProof/>
          <w:color w:val="000000" w:themeColor="text1"/>
        </w:rPr>
        <w:t>Razlozi i ciljevi preporuke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Komisija za ribarstvo zapadnog dijela središnjeg Atlantika (WECAFC) savjetodavno je tijelo osnovano 1973. na temelju članka VI. Statuta Organizacije za hranu i poljoprivredu (FAO) Ujedinjenih naroda. Svrha mu je promicanje očuvanja, upravljanja i razvoja živih morskih resursa u svojem području nadležnosti. Međutim, odluke WECAFC-a nisu obvezujuće za njegove članove. Tajništvom WECAFC-a upravlja i financira ga FAO. Unija je članica WECAFC-a.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  <w:color w:val="000000" w:themeColor="text1"/>
        </w:rPr>
      </w:pPr>
      <w:r>
        <w:rPr>
          <w:noProof/>
          <w:color w:val="000000" w:themeColor="text1"/>
        </w:rPr>
        <w:t>U kontekstu „promicanja regionalnog upravljanja ribarstvom i suradnje u ključnim područjima povezanima s oceanima radi popunjavanja praznina u regionalnom upravljanju iz Zajedničke komunikacije Visokog predstavnika Unije za vanjske poslove i sigurnosnu politiku i Europske komisije o međunarodnom upravljanju oceanima: plan za budućnost naših oceana”, Unija se u okviru mjere 2. obvezala da će „podržati jačanje statusa Odbora za ribarstvo istočnog dijela središnjeg Atlantika i Komisije za ribarstvo zapadnog dijela središnjeg Atlantika do 2020.”.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Postupak strateškog preusmjeravanja pokrenut je 2012. i uključivao je pregled uspješnosti (2013.–2014.), strateški plan (2014.), dvije radionice o „preusmjeravanju i strateškom planiranju” (2014. i 2015.) te analizu troškova i koristi od preusmjeravanja (2016.). </w:t>
      </w:r>
      <w:r>
        <w:rPr>
          <w:noProof/>
        </w:rPr>
        <w:t>Na 16. plenarnoj sjednici WECAFC-a 2016. članovi predmetne komisije dogovorile su se da će pokrenuti postupak kojim će se razjasniti određena ključna pitanja povezana s osnivanjem regionalne organizacije za upravljanje ribarstvom (RFMO) u području WECAFC-a.</w:t>
      </w:r>
      <w:r>
        <w:rPr>
          <w:noProof/>
          <w:color w:val="000000" w:themeColor="text1"/>
        </w:rPr>
        <w:t xml:space="preserve"> Krajem 2018. tajništvo WECAFC-a pripremilo je „dokument za raspravu” radi razjašnjenja pitanja povezanih s ciljevima, područjem nadležnosti, obuhvaćenosti stokova, institucijskom strukturom, financijskim posljedicama itd. Na Barbadosu je 25. i 26. ožujka 2019. održana prva pripremna radionica o preusmjeravanju WECAFC-a u svrhu pripreme 17. plenarne sjednice WECAFC-a, koja će se održati u srpnju 2019. i na kojoj će se raspravljati o temi osnivanja RFMO-a u području WECAFC-a.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 w:themeColor="text1"/>
        </w:rPr>
      </w:pPr>
      <w:r>
        <w:rPr>
          <w:noProof/>
          <w:color w:val="000000" w:themeColor="text1"/>
        </w:rPr>
        <w:t>Stvaranjem obvezujućeg instrumenta za reformu WECAFC-a u zapadnom dijelu središnjeg atlantskog područja osigurat će se čvrsti temelj za održivo upravljanje i očuvanje tamošnjih morskih bioloških resursa. To je u skladu s člankom 28. Uredbe (EU) br. 1380/2013 Europskog parlamenta i Vijeća o zajedničkoj ribarstvenoj politici i zaključcima Vijeća od 19. ožujka 2012. o Komunikaciji Komisije „Vanjska dimenzija zajedničke ribarstvene politike”.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  <w:color w:val="000000" w:themeColor="text1"/>
          <w:u w:color="000000"/>
          <w:bdr w:val="nil"/>
        </w:rPr>
        <w:tab/>
      </w:r>
      <w:r>
        <w:rPr>
          <w:noProof/>
          <w:color w:val="000000" w:themeColor="text1"/>
        </w:rPr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Regionalne organizacije za upravljanje ribarstvom (RFMO) međunarodne su organizacije koje osnivaju države. Njihovi su članovi zemlje u određenoj regiji (obalne države), organizacije za regionalnu integraciju (kao što je EU) i subjekti u ribarstvu s ribolovnim interesima na određenom području. Neki RFMO-i upravljaju svim ribljim stokovima na određenom području, dok se drugi bave određenim vrlo migratornim vrstama (prije svega tunom) na širem geografskom području. Iako neki RFMO-i imaju tek savjetodavnu ulogu, većina ih ima upravljačke ovlasti za utvrđivanje ograničenja ulova i ribolovnog napora, određivanje tehničkih mjera i obveza kontrole.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U skladu s Komunikacijom Komisije „Sudjelovanje u regionalnim organizacijama za ribarstvo (RFO)” Europska unija, koju zastupa Komisija, aktivno sudjeluje u 6 organizacija koje se bave tunom i 11 organizacija koje se ne bave tunom.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>Promicanje mjera za poboljšanje djelotvornosti RFMO-a i, ako je relevantno, poboljšanje njihova upravljanja središnja je značajka djelovanja EU-a u tim forumima. To je u skladu sa zajedničkom komunikacijom Visokog predstavnika EU-a za vanjske poslove i sigurnosnu politiku i Europske komisije pod nazivom „Međunarodno upravljanje oceanima: plan za budućnost naših oceana” i zaključcima Vijeća o toj zajedničkoj komunikaciji.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  <w:color w:val="000000" w:themeColor="text1"/>
        </w:rPr>
        <w:tab/>
        <w:t>PRAVNI ELEMENTI PREPORUKE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  <w:color w:val="000000" w:themeColor="text1"/>
          <w:u w:color="000000"/>
          <w:bdr w:val="nil"/>
        </w:rPr>
        <w:tab/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Cilj je ove Preporuke dobivanje odobrenja Vijeća kojim se Komisiju ovlašćuje da u ime EU-a pregovara o osnivanju regionalne organizacije za upravljanje ribarstvom u području zapadnog dijela središnjeg Atlantika.  Pravna osnova na temelju koje Vijeće odobrava otvaranje pregovora jest članak 218. stavci 3. i 4. Ugovora o funkcioniranju Europske unije (UFEU). </w:t>
      </w:r>
    </w:p>
    <w:p>
      <w:pPr>
        <w:pStyle w:val="ManualHeading2"/>
        <w:rPr>
          <w:rFonts w:eastAsia="Arial Unicode MS"/>
          <w:noProof/>
          <w:color w:val="000000" w:themeColor="text1"/>
          <w:u w:color="000000"/>
          <w:bdr w:val="nil"/>
        </w:rPr>
      </w:pPr>
      <w:r>
        <w:rPr>
          <w:noProof/>
          <w:color w:val="000000" w:themeColor="text1"/>
          <w:u w:color="000000"/>
          <w:bdr w:val="nil"/>
        </w:rPr>
        <w:t>•</w:t>
      </w:r>
      <w:r>
        <w:rPr>
          <w:noProof/>
          <w:color w:val="000000" w:themeColor="text1"/>
          <w:u w:color="000000"/>
          <w:bdr w:val="nil"/>
        </w:rPr>
        <w:tab/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>U skladu s člankom 218. stavcima 3. i 4. UFEU-a Komisija podnosi preporuke Vijeću, koje donosi odluku o odobravanju otvaranja pregovora. Vijeće može pregovaraču dostaviti smjernice i imenovati poseban odbor za nadgledanje pregovora u skladu s pregovaračkim smjernicama.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  <w:r>
        <w:rPr>
          <w:noProof/>
          <w:color w:val="000000" w:themeColor="text1"/>
        </w:rPr>
        <w:tab/>
        <w:t xml:space="preserve">REZULTATI SAVJETOVANJA S DIONICIMA </w:t>
      </w:r>
    </w:p>
    <w:p>
      <w:pPr>
        <w:pStyle w:val="ManualHeading2"/>
        <w:tabs>
          <w:tab w:val="clear" w:pos="850"/>
          <w:tab w:val="left" w:pos="993"/>
        </w:tabs>
        <w:ind w:left="0" w:firstLine="0"/>
        <w:rPr>
          <w:rFonts w:eastAsia="Arial Unicode MS"/>
          <w:b w:val="0"/>
          <w:noProof/>
          <w:color w:val="000000" w:themeColor="text1"/>
        </w:rPr>
      </w:pPr>
      <w:r>
        <w:rPr>
          <w:b w:val="0"/>
          <w:noProof/>
        </w:rPr>
        <w:t>Ova inicijativa povezana je s obvezom preuzetom u skladu sa Zajedničkom komunikacijom Visokog predstavnika Unije za vanjske poslove i sigurnosnu politiku i Europske komisije pod naslovom „Međunarodno upravljanje oceanima: plan za budućnost naših oceana”, za koju je organizirano savjetovanje s dionicima. Osim toga, Komisija je u ožujku 2019. u okviru radne skupine Vijeća predstavila neslužbeni dokument u kojem se predlaže potpora EU-a za postupak reforme WECAFC-a, koji su u velikoj mjeri podržale države članice.</w:t>
      </w:r>
    </w:p>
    <w:p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4.</w:t>
      </w:r>
      <w:r>
        <w:rPr>
          <w:noProof/>
          <w:color w:val="000000" w:themeColor="text1"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Pristupanje EU-a Konvenciji moglo bi zahtijevati plaćanje godišnjeg financijskog doprinosa novoj organizaciji, procijenjenog na 100 000 EUR, iz proračunske linije 11.03.02 (Obvezni doprinosi RFMO-ima). Taj doprinos može varirati ovisno o konačnom dogovoru o kriterijima na temelju kojih će se izračunavati doprinos stranaka u troškovima organizacije. Točan iznos predvidjet će se u odgovarajućim proračunskim linijama u postupku donošenja godišnjeg proračuna.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>Dobrovoljni doprinosi proračunu organizacije u okviru proračunske linije 11.06.62.03 radi promicanja znanstvenih istraživanja također mogu biti relevantni, ali je u ovoj fazi teško odrediti njihov točan iznos. U okviru proračunske linije 11.01.04.01 predviđena je i tehnička pomoć za pružanje znanstvenih savjeta na sastancima NPFC-a. Trošak te tehničke pomoći procjenjuje se na 10 000 EUR godišnje.</w:t>
      </w:r>
    </w:p>
    <w:p>
      <w:pPr>
        <w:rPr>
          <w:noProof/>
          <w:color w:val="000000" w:themeColor="text1"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Preporuka za</w:t>
      </w:r>
    </w:p>
    <w:p>
      <w:pPr>
        <w:pStyle w:val="Typedudocument"/>
        <w:rPr>
          <w:noProof/>
        </w:rPr>
      </w:pPr>
      <w:r>
        <w:rPr>
          <w:noProof/>
        </w:rPr>
        <w:t>ODLUKU VIJEĆA</w:t>
      </w:r>
    </w:p>
    <w:p>
      <w:pPr>
        <w:pStyle w:val="Titreobjet"/>
        <w:rPr>
          <w:noProof/>
        </w:rPr>
      </w:pPr>
      <w:r>
        <w:rPr>
          <w:noProof/>
        </w:rPr>
        <w:t>o odobravanju otvaranja pregovora o osnivanju regionalne organizacije ili uspostavi sustava za upravljanje ribarstvom radi očuvanja i upravljanja živim morskim resursima u zapadnom dijelu središnjeg Atlantskog oceana</w:t>
      </w:r>
      <w:r>
        <w:rPr>
          <w:noProof/>
        </w:rPr>
        <w:br/>
      </w:r>
    </w:p>
    <w:p>
      <w:pPr>
        <w:pStyle w:val="Institutionquiagit"/>
        <w:rPr>
          <w:noProof/>
          <w:color w:val="000000" w:themeColor="text1"/>
        </w:rPr>
      </w:pPr>
      <w:r>
        <w:rPr>
          <w:noProof/>
          <w:color w:val="000000" w:themeColor="text1"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218. stavke 3. i 4.,</w:t>
      </w:r>
    </w:p>
    <w:p>
      <w:pPr>
        <w:rPr>
          <w:noProof/>
        </w:rPr>
      </w:pPr>
      <w:r>
        <w:rPr>
          <w:noProof/>
        </w:rPr>
        <w:t xml:space="preserve">uzimajući u obzir preporuku Europske komisije, </w:t>
      </w:r>
    </w:p>
    <w:p>
      <w:pPr>
        <w:rPr>
          <w:noProof/>
        </w:rPr>
      </w:pPr>
      <w:r>
        <w:rPr>
          <w:noProof/>
        </w:rPr>
        <w:t xml:space="preserve">budući da: 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Unija je nadležna za donošenje mjera za očuvanje morskih bioloških resursa u okviru zajedničke ribarstvene politike i sklapanje sporazuma s trećim zemljama i međunarodnim organizacijama.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Na temelju Odluke Vijeća 98/392/EZ Unija je ugovorna stranka Konvencije Ujedinjenih naroda o pravu mora od 10. prosinca 1982. Tom se konvencijom od svih članica međunarodne zajednice zahtijeva da surađuju u očuvanju bioloških resursa mora i upravljanju njima.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 temelju Odluke Vijeća 98/414/EZ Unija je ugovorna stranka Sporazuma o provedbi odredaba Konvencije Ujedinjenih naroda o pravu mora od 10. prosinca 1982. u pogledu očuvanja i upravljanja pograničnim ribljim naseljima i stokovima vrlo migratornih vrsta.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Uredbom (EU) br. 1380/2013 Europskog parlamenta i Vijeća propisano je da Unija provodi svoju vanjsku politiku za ribarstvo sukladno svojim međunarodnim obvezama i ciljevima politike te ciljevima i načelima određenima u člancima 2. i 3. te uredbe, kako bi se osiguralo održivo iskorištavanje, upravljanje i očuvanje morskih bioloških resursa i morskog okoliša.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Komisija za ribarstvo zapadnog dijela središnjeg Atlantika (WECAFC) savjetodavno je tijelo osnovano 1973. na temelju članka VI. Statuta Organizacije za hranu i poljoprivredu (FAO) Ujedinjenih naroda u cilju promicanja očuvanja, upravljanja i razvoja živih morskih resursa u njegovu području nadležnosti.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WECAFC je 2012. pokrenuo postupak strateškog preusmjeravanja koji je obuhvaćao pregled uspješnosti (2013.–2014.), strateški plan (2014.), dvije radionice o „preusmjeravanju i strateškom planiranju” (2014. i 2015.) te prvu pripremnu radionicu (ožujak 2019.).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Od srpnja 2019. održavat će se međunarodna savjetovanja radi sklapanja međunarodnog sporazuma o osnivanju regionalne organizacije ili uspostavi sustava za upravljanje ribarstvom koji će imati ovlast donošenja pravno obvezujućih odluka o očuvanju i upravljanju živim morskim resursima u zapadnom dijelu središnjeg Atlantskog oceana uz sudjelovanje članova WECAFC-a,</w:t>
      </w:r>
    </w:p>
    <w:p>
      <w:pPr>
        <w:rPr>
          <w:noProof/>
          <w:color w:val="000000" w:themeColor="text1"/>
        </w:rPr>
      </w:pPr>
    </w:p>
    <w:p>
      <w:pPr>
        <w:pStyle w:val="Formuledadoption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Komisiju se ovlašćuje da, u ime Europske unije, u pregovorima dogovori sporazum o osnivanju regionalne organizacije ili uspostavi instrumenta za upravljanje ribarstvom radi očuvanja i upravljanja živim morskim resursima u zapadnom dijelu središnjeg Atlantskog oceana.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rPr>
          <w:noProof/>
          <w:color w:val="000000" w:themeColor="text1"/>
          <w:szCs w:val="24"/>
        </w:rPr>
      </w:pPr>
      <w:r>
        <w:rPr>
          <w:noProof/>
        </w:rPr>
        <w:t>Pregovori se vode uz savjetovanje s [naziv posebnog odbora koji će imenovati Vijeće] i na temelju pregovaračkih smjernica utvrđenih u prilogu ovoj Odluci.</w:t>
      </w:r>
      <w:r>
        <w:rPr>
          <w:noProof/>
          <w:color w:val="000000" w:themeColor="text1"/>
          <w:szCs w:val="24"/>
        </w:rPr>
        <w:t xml:space="preserve"> 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Ova je Odluka upućena Komisiji.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  <w:t>Za Vijeće</w:t>
      </w:r>
    </w:p>
    <w:p>
      <w:pPr>
        <w:pStyle w:val="Personnequisigne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2F82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9404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7FA92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69C83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9AE95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700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652DA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4C4CE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26 08:59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948D8D7-4F73-4E77-9E75-A41CFA374FE9"/>
    <w:docVar w:name="LW_COVERPAGE_TYPE" w:val="1"/>
    <w:docVar w:name="LW_CROSSREFERENCE" w:val="&lt;UNUSED&gt;"/>
    <w:docVar w:name="LW_DocType" w:val="COM"/>
    <w:docVar w:name="LW_EMISSION" w:val="27.6.2019."/>
    <w:docVar w:name="LW_EMISSION_ISODATE" w:val="2019-06-27"/>
    <w:docVar w:name="LW_EMISSION_LOCATION" w:val="BRX"/>
    <w:docVar w:name="LW_EMISSION_PREFIX" w:val="Bruxelles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2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eporuka za"/>
    <w:docVar w:name="LW_SUPERTITRE" w:val="&lt;UNUSED&gt;"/>
    <w:docVar w:name="LW_TITRE.OBJ.CP" w:val="o odobravanju otvaranja pregovora o osnivanju regionalne organizacije ili uspostavi sustava za upravljanje ribarstvom radi o\u269?uvanja i upravljanja \u382?ivim morskim resursima u zapadnom dijelu sredi\u353?njeg Atlantskog oceana_x000b_"/>
    <w:docVar w:name="LW_TYPE.DOC.CP" w:val="ODLUKU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59CE7B-CC54-4BA2-A9B7-7CF48F89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1236</Words>
  <Characters>7790</Characters>
  <Application>Microsoft Office Word</Application>
  <DocSecurity>0</DocSecurity>
  <Lines>139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dcterms:created xsi:type="dcterms:W3CDTF">2019-06-25T12:37:00Z</dcterms:created>
  <dcterms:modified xsi:type="dcterms:W3CDTF">2019-06-26T06:59:00Z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