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FD72F0E-8B3A-486B-B9F4-3231A7D32B89" style="width:450.75pt;height:452.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ZAŁĄCZNIK </w:t>
      </w:r>
    </w:p>
    <w:p>
      <w:pPr>
        <w:pStyle w:val="Objetacteprincipal"/>
        <w:rPr>
          <w:noProof/>
        </w:rPr>
      </w:pPr>
      <w:r>
        <w:rPr>
          <w:noProof/>
        </w:rPr>
        <w:t>Wytyczne dotyczące rokowań, które ma przeprowadzić Komisja w imieniu Unii Europejskiej, w sprawie ustanowienia regionalnej organizacji lub instrumentu ds. zarządzania rybołówstwem w celu ochrony żywych zasobów morza w środkowo-zachodnim Oceanie Atlantyckim oraz zarządzania nimi</w:t>
      </w:r>
    </w:p>
    <w:p>
      <w:pPr>
        <w:pStyle w:val="NumPar1"/>
        <w:numPr>
          <w:ilvl w:val="0"/>
          <w:numId w:val="9"/>
        </w:numPr>
        <w:rPr>
          <w:noProof/>
        </w:rPr>
      </w:pPr>
      <w:r>
        <w:rPr>
          <w:noProof/>
        </w:rPr>
        <w:t>Celem rokowań jest umożliwienie Unii Europejskiej uczestnictwa w procesie negocjacji w ramach Komisji ds. Rybołówstwa na Środkowo-Zachodnim Atlantyku (WECAFC) w celu zawarcia umowy w sprawie ustanowienia regionalnej organizacji lub instrumentu ds. zarządzania rybołówstwem, które mogłyby podejmować prawnie wiążące decyzje w celu ochrony żywych zasobów morza w środkowo-zachodnim Oceanie Atlantyckim i zarządzania nimi (dalej: „umowa”).</w:t>
      </w:r>
    </w:p>
    <w:p>
      <w:pPr>
        <w:pStyle w:val="NumPar1"/>
        <w:rPr>
          <w:noProof/>
        </w:rPr>
      </w:pPr>
      <w:r>
        <w:rPr>
          <w:noProof/>
        </w:rPr>
        <w:t>W trakcie rokowań z pozostałymi stronami zaangażowanymi w ustanowienie regionalnej organizacji lub instrumentu ds. zarządzania rybołówstwem w celu ochrony żywych zasobów morza w środkowo-zachodnim Oceanie Atlantyckim i zarządzania nimi, Komisja podejmuje działania w celu zapewnienia, by umowa:</w:t>
      </w:r>
    </w:p>
    <w:p>
      <w:pPr>
        <w:pStyle w:val="Tiret1"/>
        <w:numPr>
          <w:ilvl w:val="0"/>
          <w:numId w:val="10"/>
        </w:numPr>
        <w:rPr>
          <w:noProof/>
        </w:rPr>
      </w:pPr>
      <w:r>
        <w:rPr>
          <w:noProof/>
        </w:rPr>
        <w:t xml:space="preserve">była zgodna z prawem międzynarodowym, a w szczególności z postanowieniami Konwencji Narodów Zjednoczonych o prawie morza z 1982 r., porozumienia odnoszącego się do ochrony międzystrefowych zasobów rybnych i zasobów rybnych masowo migrujących i zarządzania nimi z 1995 r. oraz Porozumienia o wspieraniu przestrzegania przez statki rybackie międzynarodowych środków ochrony i zarządzania na pełnym morzu z 1995 r., bez uszczerbku dla praw i obowiązków państw nadbrzeżnych, oraz Umowy o środkach stosowanych przez państwo portu w celu zapobiegania nielegalnym, nieraportowanym i nieuregulowanym połowom oraz ich powstrzymywania i eliminowania z 2009 r.; </w:t>
      </w:r>
    </w:p>
    <w:p>
      <w:pPr>
        <w:pStyle w:val="Tiret1"/>
        <w:rPr>
          <w:noProof/>
        </w:rPr>
      </w:pPr>
      <w:r>
        <w:rPr>
          <w:noProof/>
        </w:rPr>
        <w:t>zapewniała zgodność środków ochrony i zarządzania ustanowionych dla tych samych stad w wodach podlegających jurysdykcji krajowej ze środkami przyjętymi w odniesieniu do morza pełnego, zgodnie z art. 118 Konwencji Narodów Zjednoczonych o prawie morza (UNCLOS) oraz art. 8 porozumienia ONZ w sprawie zasobów rybnych (UNFSA);</w:t>
      </w:r>
    </w:p>
    <w:p>
      <w:pPr>
        <w:pStyle w:val="Tiret1"/>
        <w:rPr>
          <w:noProof/>
        </w:rPr>
      </w:pPr>
      <w:r>
        <w:rPr>
          <w:noProof/>
        </w:rPr>
        <w:t>nie naruszała roli i uprawnień Międzynarodowej Komisji ds. Ochrony Tuńczyka Atlantyckiego (ICCAT) lub Organizacji Rybołówstwa Północno-Zachodniego Atlantyku (NAFO) oraz zapewniała ścisłą współpracę i koordynację między właściwymi środkami podejmowanymi odpowiednio na podstawie umowy oraz przez ICCAT lub NAFO;</w:t>
      </w:r>
    </w:p>
    <w:p>
      <w:pPr>
        <w:pStyle w:val="Tiret1"/>
        <w:rPr>
          <w:noProof/>
        </w:rPr>
      </w:pPr>
      <w:r>
        <w:rPr>
          <w:noProof/>
        </w:rPr>
        <w:t>promowała podejście Unii w zakresie ochrony i zarządzania we wszystkich oceanach oraz wzmacniała jej zaangażowanie w długofalową ochronę i zrównoważone wykorzystanie zasobów rybołówstwa w skali światowej;</w:t>
      </w:r>
    </w:p>
    <w:p>
      <w:pPr>
        <w:pStyle w:val="Tiret1"/>
        <w:rPr>
          <w:noProof/>
        </w:rPr>
      </w:pPr>
      <w:r>
        <w:rPr>
          <w:noProof/>
        </w:rPr>
        <w:t>była zgodna z celami i zasadami, którymi kieruje się Unia w ramach wspólnej polityki rybołówstwa, określonymi w rozporządzeniu (UE) nr 1380/2013;</w:t>
      </w:r>
    </w:p>
    <w:p>
      <w:pPr>
        <w:pStyle w:val="Tiret1"/>
        <w:rPr>
          <w:noProof/>
        </w:rPr>
      </w:pPr>
      <w:r>
        <w:rPr>
          <w:noProof/>
        </w:rPr>
        <w:t>ustanowiła regionalną organizację lub instrument ds. zarządzania rybołówstwem, które będą mogły podejmować prawnie wiążące decyzje w celu ochrony żywych zasobów morza w środkowo-zachodnim Oceanie Atlantyckim i zarządzania nimi;</w:t>
      </w:r>
    </w:p>
    <w:p>
      <w:pPr>
        <w:pStyle w:val="Tiret1"/>
        <w:rPr>
          <w:noProof/>
        </w:rPr>
      </w:pPr>
      <w:r>
        <w:rPr>
          <w:noProof/>
        </w:rPr>
        <w:t>umożliwiała udział podmiotów rybackich i regionalnych organizacji integracji gospodarczej, którym państwa członkowskie przekazały uprawnienia w sprawach objętych umową;</w:t>
      </w:r>
    </w:p>
    <w:p>
      <w:pPr>
        <w:pStyle w:val="Tiret1"/>
        <w:rPr>
          <w:noProof/>
        </w:rPr>
      </w:pPr>
      <w:r>
        <w:rPr>
          <w:noProof/>
        </w:rPr>
        <w:t>miała na celu głównie ochronę zasobów rybnych i zarządzanie nimi, w tym zwiadami rybackimi, poprzez stosowanie zasady ostrożnego zarządzania zasobami oraz zapewniała, by eksploatacja żywych zasobów morza prowadziła do odtworzenia i utrzymania populacji poławianych gatunków powyżej poziomów pozwalających uzyskać maksymalny podtrzymywalny połów; zapewniając jednocześnie godny poziom życia tym, którzy są zależni od działalności połowowej, i przyczyniając się do dostępności żywności pochodzenia morskiego.</w:t>
      </w:r>
    </w:p>
    <w:p>
      <w:pPr>
        <w:pStyle w:val="Tiret1"/>
        <w:rPr>
          <w:noProof/>
        </w:rPr>
      </w:pPr>
      <w:r>
        <w:rPr>
          <w:noProof/>
        </w:rPr>
        <w:t>miała na celu wdrożenie podejścia ekosystemowego do zarządzania rybołówstwem, w kontekście zmian klimatu, aby przyczynić się do zrównoważonego zarządzania oceanami we wszystkich jego aspektach, zapewnić minimalizowanie wszelkiego rodzaju negatywnego wpływu działalności połowowej na ekosystem morski oraz dążyć do uniknięcia degradacji środowiska morskiego.</w:t>
      </w:r>
    </w:p>
    <w:p>
      <w:pPr>
        <w:pStyle w:val="Tiret1"/>
        <w:rPr>
          <w:noProof/>
        </w:rPr>
      </w:pPr>
      <w:r>
        <w:rPr>
          <w:noProof/>
        </w:rPr>
        <w:t>obejmowała całość lub część obszaru obecnie podlegającego WECAFC, najlepiej z uwzględnieniem wyłącznych stref ekonomicznych (w.s.e.) państw nadbrzeżnych;</w:t>
      </w:r>
    </w:p>
    <w:p>
      <w:pPr>
        <w:pStyle w:val="Tiret1"/>
        <w:rPr>
          <w:noProof/>
        </w:rPr>
      </w:pPr>
      <w:r>
        <w:rPr>
          <w:noProof/>
        </w:rPr>
        <w:t>uwzględniała skuteczny proces podejmowania decyzji, najlepiej poprzez zapewnienie, w stosownych przypadkach, mechanizmów głosowania większością głosów i procedur sprzeciwu;</w:t>
      </w:r>
    </w:p>
    <w:p>
      <w:pPr>
        <w:pStyle w:val="Tiret1"/>
        <w:rPr>
          <w:noProof/>
        </w:rPr>
      </w:pPr>
      <w:r>
        <w:rPr>
          <w:noProof/>
        </w:rPr>
        <w:t>uwzględniała odpowiednie, sprzyjające włączeniu i przejrzyste mechanizmy gromadzenia odpowiednich danych oraz opracowywania solidnych opinii naukowych stanowiących podstawę procesu decyzyjnego, a także odpowiedniego zaangażowania zainteresowanych stron;</w:t>
      </w:r>
    </w:p>
    <w:p>
      <w:pPr>
        <w:pStyle w:val="Tiret1"/>
        <w:rPr>
          <w:noProof/>
        </w:rPr>
      </w:pPr>
      <w:r>
        <w:rPr>
          <w:noProof/>
        </w:rPr>
        <w:t>uwzględniała odpowiednie mechanizmy mające na celu promowanie skutecznego monitorowania i kontroli działalności połowowej oraz nadzoru nad nią, zwalczanie nielegalnych, nieraportowanych i nieuregulowanych połowów (połowów NNN), oraz promowanie regulacji dotyczących operacji przeładunkowych, programu inspekcji zarówno na morzu, jak i w porcie oraz identyfikowalności produktów rybołówstwa;</w:t>
      </w:r>
    </w:p>
    <w:p>
      <w:pPr>
        <w:pStyle w:val="Tiret1"/>
        <w:rPr>
          <w:noProof/>
        </w:rPr>
      </w:pPr>
      <w:r>
        <w:rPr>
          <w:noProof/>
        </w:rPr>
        <w:t>wspierała współpracę w zakresie zwalczania pracy przymusowej w związku z połowami NNN oraz w zakresie promowania godnej pracy w sektorze rybołówstwa zgodnie z Konwencją Międzynarodowej Organizacji Pracy (MOP) dotyczącą pracy w sektorze rybołówstwa;</w:t>
      </w:r>
    </w:p>
    <w:p>
      <w:pPr>
        <w:pStyle w:val="Tiret1"/>
        <w:rPr>
          <w:noProof/>
        </w:rPr>
      </w:pPr>
      <w:r>
        <w:rPr>
          <w:noProof/>
        </w:rPr>
        <w:t>uwzględniała mechanizm wspierania przestrzegania umowy oraz środków przyjętych przez organizację lub instrument ustanowione na mocy umowy;</w:t>
      </w:r>
    </w:p>
    <w:p>
      <w:pPr>
        <w:pStyle w:val="Tiret1"/>
        <w:rPr>
          <w:noProof/>
        </w:rPr>
      </w:pPr>
      <w:r>
        <w:rPr>
          <w:noProof/>
        </w:rPr>
        <w:t>ustanawiała okresowy przegląd środków przyjętych przez organizację lub instrument ustanowiony umową;</w:t>
      </w:r>
    </w:p>
    <w:p>
      <w:pPr>
        <w:pStyle w:val="Tiret1"/>
        <w:rPr>
          <w:noProof/>
        </w:rPr>
      </w:pPr>
      <w:r>
        <w:rPr>
          <w:noProof/>
        </w:rPr>
        <w:t>określała odpowiednią strukturę i organy administracyjne oraz wystarczające zasoby finansowe, w które wszyscy członkowie będą wnosić odpowiedni wkład;</w:t>
      </w:r>
    </w:p>
    <w:p>
      <w:pPr>
        <w:pStyle w:val="Tiret1"/>
        <w:rPr>
          <w:noProof/>
        </w:rPr>
      </w:pPr>
      <w:r>
        <w:rPr>
          <w:noProof/>
        </w:rPr>
        <w:t>umożliwiała dostęp floty UE do zasobów rybnych w odnośnym obszarze i odpowiedni udział w tych zasobach;</w:t>
      </w:r>
    </w:p>
    <w:p>
      <w:pPr>
        <w:pStyle w:val="Tiret1"/>
        <w:rPr>
          <w:noProof/>
        </w:rPr>
      </w:pPr>
      <w:r>
        <w:rPr>
          <w:noProof/>
        </w:rPr>
        <w:t>uwzględniała proces pokojowego rozstrzygania sporów;</w:t>
      </w:r>
    </w:p>
    <w:p>
      <w:pPr>
        <w:pStyle w:val="Tiret1"/>
        <w:rPr>
          <w:noProof/>
        </w:rPr>
      </w:pPr>
      <w:r>
        <w:rPr>
          <w:noProof/>
        </w:rPr>
        <w:t>uwzględniała, w odpowiednich przypadkach, wszelkie szczególne okoliczności dotyczące małych rozwijających się państw wyspiarskich na odnośnym obszarze.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E8E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5272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46012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AEDB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BEC56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28C14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527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81843F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6 09:01: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AFD72F0E-8B3A-486B-B9F4-3231A7D32B89"/>
    <w:docVar w:name="LW_COVERPAGE_TYPE" w:val="1"/>
    <w:docVar w:name="LW_CROSSREFERENCE" w:val="&lt;UNUSED&gt;"/>
    <w:docVar w:name="LW_DocType" w:val="ANNEX"/>
    <w:docVar w:name="LW_EMISSION" w:val="27.6.2019"/>
    <w:docVar w:name="LW_EMISSION_ISODATE" w:val="2019-06-27"/>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_x000b_"/>
    <w:docVar w:name="LW_OBJETACTEPRINCIPAL.CP" w:val="_x000b_"/>
    <w:docVar w:name="LW_PART_NBR" w:val="1"/>
    <w:docVar w:name="LW_PART_NBR_TOTAL" w:val="1"/>
    <w:docVar w:name="LW_REF.INST.NEW" w:val="COM"/>
    <w:docVar w:name="LW_REF.INST.NEW_ADOPTED" w:val="final"/>
    <w:docVar w:name="LW_REF.INST.NEW_TEXT" w:val="(2019) 2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ZA\u321?\u260?CZNIK"/>
    <w:docVar w:name="LW_TYPE.DOC.CP" w:val="ZA\u321?\u260?CZNIK"/>
    <w:docVar w:name="LW_TYPEACTEPRINCIPAL" w:val="zalecenia w sprawie decyzji Rady upowa\u380?niaj\u261?cej do podj\u281?cia rokowa\u324? w&lt;LWCR:NBS&gt;sprawie ustanowienia regionalnej organizacji lub instrumentu ds. zarz\u261?dzania rybo\u322?ówstwem w&lt;LWCR:NBS&gt;celu ochrony \u380?ywych zasobów morza w&lt;LWCR:NBS&gt;\u347?rodkowo-zachodnim Oceanie Atlantyckim oraz zarz\u261?dzania nimi_x000b__x000b_"/>
    <w:docVar w:name="LW_TYPEACTEPRINCIPAL.CP" w:val="zalecenia w sprawie decyzji Rady upowa\u380?niaj\u261?cej do podj\u281?cia rokowa\u324? w sprawie ustanowienia regionalnej organizacji lub instrumentu ds. zarz\u261?dzania rybo\u322?ówstwem w celu ochrony \u380?ywych zasobów morza w \u347?rodkowo-zachodnim Oceanie Atlantyckim oraz zarz\u261?dzania nimi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36B95F-28A8-4BEE-8731-027FC89A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712</Words>
  <Characters>5133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VARSAMOS Stamatios (MARE)</dc:creator>
  <cp:lastModifiedBy>WES PDFC Administrator</cp:lastModifiedBy>
  <cp:revision>8</cp:revision>
  <dcterms:created xsi:type="dcterms:W3CDTF">2019-06-25T12:04:00Z</dcterms:created>
  <dcterms:modified xsi:type="dcterms:W3CDTF">2019-06-26T07:01:00Z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