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1598E32-ECA3-47C1-85CB-F62A2A0966E6" style="width:450.8pt;height:424.85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ANNESS </w:t>
      </w:r>
    </w:p>
    <w:p>
      <w:pPr>
        <w:pStyle w:val="Objetacteprincipal"/>
        <w:rPr>
          <w:noProof/>
        </w:rPr>
      </w:pPr>
      <w:r>
        <w:rPr>
          <w:noProof/>
        </w:rPr>
        <w:t>Direttivi għan-negozjati li l-Kummissjoni għandha twettaq f’isem l-Unjoni Ewropea biex titwaqqaf organizzazzjoni reġjonali tal-ġestjoni tas-sajd jew biex jiġi stabbilit strument għall-konservazzjoni u għall-ġestjoni tar-riżorsi ħajjin tal-baħar fl-Atlantiku Ċentrali tal-Punent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In-negozjati għandhom l-għan li jippermettu lill-Unjoni Ewropea tieħu sehem fil-proċess tan-negozjati tal-Kummissjoni tas-Sajd għall-Atlantiku Ċentrali tal-Punent (il-WECAFC) sabiex jiġi konkluż ftehim biex tiġi stabbilita organizzazzjoni reġjonali tal-ġestjoni tas-sajd li tkun tista’ tieħu deċiżjonijiet li jkunu legalment vinkolanti dwar il-konservazzjoni u l-ġestjoni tar-riżorsi ħajjin tal-baħar fl-Atlantiku Ċentrali tal-Punent jew biex jiġi stabbilit strument li jkun jista’ jagħmel dan (minn hawn ’il quddiem imsejjaħ “il-Ftehim”).</w:t>
      </w:r>
    </w:p>
    <w:p>
      <w:pPr>
        <w:pStyle w:val="NumPar1"/>
        <w:rPr>
          <w:noProof/>
        </w:rPr>
      </w:pPr>
      <w:r>
        <w:rPr>
          <w:noProof/>
        </w:rPr>
        <w:t>Fin-negozjati mal-Partijiet l-oħrajn involuti fit-twaqqif ta’ organizzazzjoni reġjonali tal-ġestjoni tas-sajd jew fl-istabbiliment ta’ strument għall-konservazzjoni u għall-ġestjoni tar-riżorsi ħajjin tal-baħar fl-Atlantiku Ċentrali tal-Punent, il-Kummissjoni għandha taġixxi b’tali mod li tiżgura li l-Ftehim:</w:t>
      </w:r>
    </w:p>
    <w:p>
      <w:pPr>
        <w:pStyle w:val="Tiret1"/>
        <w:numPr>
          <w:ilvl w:val="0"/>
          <w:numId w:val="10"/>
        </w:numPr>
        <w:rPr>
          <w:noProof/>
        </w:rPr>
      </w:pPr>
      <w:r>
        <w:rPr>
          <w:noProof/>
        </w:rPr>
        <w:t xml:space="preserve">ikun konsistenti mal-liġi internazzjonali, u b’mod partikulari mad-dispożizzjonijiet tal-Konvenzjoni tan-Nazzjonijiet Uniti tal-1982 dwar il-Liġi tal-Baħar, tal-Ftehim tal-1995 dwar il-konservazzjoni u l-amministrazzjoni ta’ ħażniet ta’ ħut li jpassi f’żona limitata (straddling) u ħażniet ta’ ħut li jpassi ħafna (highly migratory), tal-Ftehim tal-1995 biex jippromwovi l-osservanza tal-miżuri internazzjonali ta’ konservazzjoni u ta’ ġestjoni minn bastimenti tas-sajd f’ibħra internazzjonali, mingħajr ma jaffettwa d-drittijiet u l-obbligi tal-istati kostali, u tal-Ftehim tal-2009 dwar miżuri tal-Istat tal-port li jimpedixxu, jiskoraġġixxu u jeliminaw is-sajd illegali, mhux rappurtat u mhux regolat; </w:t>
      </w:r>
    </w:p>
    <w:p>
      <w:pPr>
        <w:pStyle w:val="Tiret1"/>
        <w:rPr>
          <w:noProof/>
        </w:rPr>
      </w:pPr>
      <w:r>
        <w:rPr>
          <w:noProof/>
        </w:rPr>
        <w:t>jiżgura li l-miżuri ta’ konservazzjoni u ta’ ġestjoni stabbiliti għall-istess stokkijiet fl-ilmijiet li jkunu jinsabu fil-ġuriżdizzjoni nazzjonali jkunu kompatibbli mal-miżuri adottati għall-ibħra internazzjonali skont l-Artikolu 118 tal-Konvenzjoni tan-Nazzjonijiet Uniti dwar il-Liġi tal-Baħar (l-UNCLOS) u skont l-Artikolu 8 tal-Ftehim fuq l-implimentazzjoni tad-dispożizzjonijiet tal-Konvenzjoni tan-Nazzjonijiet Uniti fuq il-Liġi tal-Baħar tal-10 ta’ Diċembru 1982 dwar il-konservazzjoni u l-amministrazzjoni ta’ ħażniet ta’ ħut li jpassi f’żona limitata (straddling) u ħażniet ta’ ħut li jpassi ħafna (highly migratory) (l-UNFSA);</w:t>
      </w:r>
    </w:p>
    <w:p>
      <w:pPr>
        <w:pStyle w:val="Tiret1"/>
        <w:rPr>
          <w:noProof/>
        </w:rPr>
      </w:pPr>
      <w:r>
        <w:rPr>
          <w:noProof/>
        </w:rPr>
        <w:t>ma jkunx imur kontra r-rwol u l-mandati tal-Kummissjoni Internazzjonali għall-Konservazzjoni tat-Tonn tal-Atlantiku (l-ICCAT) u/jew tal-Organizzazzjoni tas-Sajd fl-Atlantiku tal-Majjistral (in-NAFO) u jkun jiżgura kooperazzjoni u koordinazzjoni mill-qrib bejn il-miżuri rilevanti li jittieħdu abbażi tal-Ftehim u l-miżuri li jittieħdu mill-ICCAT u/jew min-NAFO rispettivament;</w:t>
      </w:r>
    </w:p>
    <w:p>
      <w:pPr>
        <w:pStyle w:val="Tiret1"/>
        <w:rPr>
          <w:noProof/>
        </w:rPr>
      </w:pPr>
      <w:r>
        <w:rPr>
          <w:noProof/>
        </w:rPr>
        <w:t>jippromwovi l-approċċ tal-Unjoni b’rabta mal-ġestjoni u mal-konservazzjoni fl-oċeani tad-dinja kollha u jsaħħaħ l-impenn tagħha favur l-użu sostenibbli u l-konservazzjoni fit-tul tar-riżorsi tas-sajd fid-dinja kollha;</w:t>
      </w:r>
    </w:p>
    <w:p>
      <w:pPr>
        <w:pStyle w:val="Tiret1"/>
        <w:rPr>
          <w:noProof/>
        </w:rPr>
      </w:pPr>
      <w:r>
        <w:rPr>
          <w:noProof/>
        </w:rPr>
        <w:t>ikun konsistenti mal-objettivi u mal-prinċipji li l-Unjoni tipprova tilħaq permezz tal-politika komuni tas-sajd kif stabbilit fir-Regolament (UE) Nru 1380/2013;</w:t>
      </w:r>
    </w:p>
    <w:p>
      <w:pPr>
        <w:pStyle w:val="Tiret1"/>
        <w:rPr>
          <w:noProof/>
        </w:rPr>
      </w:pPr>
      <w:r>
        <w:rPr>
          <w:noProof/>
        </w:rPr>
        <w:t>jistabbilixxi organizzazzjoni reġjonali tal-ġestjoni tas-sajd li tkun tista’ tieħu deċiżjonijiet li jkunu legalment vinkolanti dwar il-konservazzjoni u l-ġestjoni tar-riżorsi ħajjin tal-baħar fl-Atlantiku Ċentrali tal-Punent jew strument li jkun jista’ jagħmel dan;</w:t>
      </w:r>
    </w:p>
    <w:p>
      <w:pPr>
        <w:pStyle w:val="Tiret1"/>
        <w:rPr>
          <w:noProof/>
        </w:rPr>
      </w:pPr>
      <w:r>
        <w:rPr>
          <w:noProof/>
        </w:rPr>
        <w:t>jippermetti lill-entitajiet tas-sajd u lill-organizzazzjonijiet reġjonali għall-integrazzjoni ekonomika (ir-REIOs) li l-Istati Membri jkunu tawhom setgħat b’rabta mal-kwistjonijiet koperti mill-Ftehim jieħdu sehem fih;</w:t>
      </w:r>
    </w:p>
    <w:p>
      <w:pPr>
        <w:pStyle w:val="Tiret1"/>
        <w:rPr>
          <w:noProof/>
        </w:rPr>
      </w:pPr>
      <w:r>
        <w:rPr>
          <w:noProof/>
        </w:rPr>
        <w:t>ikollu, bħala għan ewlieni tiegħu, il-konservazzjoni u l-ġestjoni tar-riżorsi tas-sajd, fosthom is-sajd esploratorju, billi jimplimenta l-approċċ prekawzjonarju, u jkun jimmira li jiżgura li r-riżorsi bijoloġiċi ħajjin tal-baħar jintużaw b’mod li l-popolazzjonijiet tal-ispeċijiet maqbuda jirkupraw u jinżammu f’livelli li jkunu ’l fuq minn dawk li jistgħu jipproduċu r-rendiment massimu sostenibbli, filwaqt li jipprovdi standard ġust tal-għajxien għal dawk li jiddependu fuq l-attivitajiet tas-sajd u jikkontribwixxi għad-disponibbiltà tal-provvisti ta’ frott il-baħar;</w:t>
      </w:r>
    </w:p>
    <w:p>
      <w:pPr>
        <w:pStyle w:val="Tiret1"/>
        <w:rPr>
          <w:noProof/>
        </w:rPr>
      </w:pPr>
      <w:r>
        <w:rPr>
          <w:noProof/>
        </w:rPr>
        <w:t>ikun jimmira li jimplimenta l-approċċ ibbażat fuq l-ekosistema għall-ġestjoni tas-sajd fil-kuntest tat-tibdil fil-klima, sabiex jikkontribwixxi għall-ġestjoni sostenibbli tal-oċeani fil-lati kollha tagħha, jiżgura li jitnaqqsu kemm jista’ jkun l-impatti negattivi tal-attivitajiet tas-sajd fuq l-ekosistema tal-baħar u jipprova jevita li jkun hemm degradazzjoni tal-ambjent tal-baħar;</w:t>
      </w:r>
    </w:p>
    <w:p>
      <w:pPr>
        <w:pStyle w:val="Tiret1"/>
        <w:rPr>
          <w:noProof/>
        </w:rPr>
      </w:pPr>
      <w:r>
        <w:rPr>
          <w:noProof/>
        </w:rPr>
        <w:t>ikun ikopri parti miż-żona attwali tal-WECAFC jew iż-żona kollha tagħha, u preferibbilment anke ż-żoni ekonomiċi esklussivi (iż-ŻEE) tal-Istati kostali;</w:t>
      </w:r>
    </w:p>
    <w:p>
      <w:pPr>
        <w:pStyle w:val="Tiret1"/>
        <w:rPr>
          <w:noProof/>
        </w:rPr>
      </w:pPr>
      <w:r>
        <w:rPr>
          <w:noProof/>
        </w:rPr>
        <w:t>ikun jinkludi proċess effiċjenti tat-teħid tad-deċiżjonijiet, li jkun jipprevedi, preferibbilment, mekkaniżmi ta’ votazzjoni b’maġġoranza u proċeduri ta’ oġġezzjoni, meta dan ikun applikabbli;</w:t>
      </w:r>
    </w:p>
    <w:p>
      <w:pPr>
        <w:pStyle w:val="Tiret1"/>
        <w:rPr>
          <w:noProof/>
        </w:rPr>
      </w:pPr>
      <w:r>
        <w:rPr>
          <w:noProof/>
        </w:rPr>
        <w:t>ikun jinkludi mekkaniżmi xierqa li jkunu inklużivi u trasparenti għall-ġbir tad-</w:t>
      </w:r>
      <w:r>
        <w:rPr>
          <w:i/>
          <w:noProof/>
        </w:rPr>
        <w:t>data</w:t>
      </w:r>
      <w:r>
        <w:rPr>
          <w:noProof/>
        </w:rPr>
        <w:t xml:space="preserve"> rilevanti u għat-tfassil ta’ pariri xjentifiċi b’saħħithom li fuqhom ikun jista’ jissejjes it-teħid tad-deċiżjonijiet, u jkun jiżgura li l-partijiet ikkonċernati jkunu involuti kif xieraq fih;</w:t>
      </w:r>
    </w:p>
    <w:p>
      <w:pPr>
        <w:pStyle w:val="Tiret1"/>
        <w:rPr>
          <w:noProof/>
        </w:rPr>
      </w:pPr>
      <w:r>
        <w:rPr>
          <w:noProof/>
        </w:rPr>
        <w:t>ikun jinkludi mekkaniżmi xierqa biex jippromwovi l-monitoraġġ, il-kontroll u s-sorveljanza effettivi tal-attivitajiet tas-sajd biex jiġi miġġieled is-sajd illegali, mhux irrappurtat u mhux irregolat (is-sajd IUU), u mekkaniżmi xierqa biex jippromwovi r-regolazzjoni tal-attivitajiet tat-trażbord, programm ta’ spezzjoni kemm fil-portijiet u kemm fuq il-baħar, u t-traċċabbiltà tal-prodotti tas-sajd;</w:t>
      </w:r>
    </w:p>
    <w:p>
      <w:pPr>
        <w:pStyle w:val="Tiret1"/>
        <w:rPr>
          <w:noProof/>
        </w:rPr>
      </w:pPr>
      <w:r>
        <w:rPr>
          <w:noProof/>
        </w:rPr>
        <w:t>ikun jappoġġa l-kooperazzjoni fil-ġlieda kontra x-xogħol furzat marbut mas-sajd IUU u l-kooperazzjoni biex jiġi promoss xogħol deċenti fil-qasam tas-sajd skont il-Konvenzjoni tal-Organizzazzjoni Internazzjonali tax-Xogħol (l-ILO) dwar ix-xogħol fil-qasam tas-sajd;</w:t>
      </w:r>
    </w:p>
    <w:p>
      <w:pPr>
        <w:pStyle w:val="Tiret1"/>
        <w:rPr>
          <w:noProof/>
        </w:rPr>
      </w:pPr>
      <w:r>
        <w:rPr>
          <w:noProof/>
        </w:rPr>
        <w:t>ikun jinkludi mekkaniżmu biex jippromwovi l-konformità mal-Ftehim u mal-miżuri li tadotta l-organizzazzjoni stabbilita permezz tiegħu jew li jadotta l-istrument stabbilit permezz tiegħu;</w:t>
      </w:r>
    </w:p>
    <w:p>
      <w:pPr>
        <w:pStyle w:val="Tiret1"/>
        <w:rPr>
          <w:noProof/>
        </w:rPr>
      </w:pPr>
      <w:r>
        <w:rPr>
          <w:noProof/>
        </w:rPr>
        <w:t>jistabbilixxi analiżi regolari tal-miżuri li tadotta l-organizzazzjoni stabbilita permezz tiegħu jew li jadotta l-istrument stabbilit permezz tiegħu;</w:t>
      </w:r>
    </w:p>
    <w:p>
      <w:pPr>
        <w:pStyle w:val="Tiret1"/>
        <w:rPr>
          <w:noProof/>
        </w:rPr>
      </w:pPr>
      <w:r>
        <w:rPr>
          <w:noProof/>
        </w:rPr>
        <w:t>ikun jinkludi struttura u korpi amministrattivi xierqa u jkollu biżżejjed riżorsi finanzjarji li l-Istati Membri kollha jikkontribwixxu għalihom b’mod ġust;</w:t>
      </w:r>
    </w:p>
    <w:p>
      <w:pPr>
        <w:pStyle w:val="Tiret1"/>
        <w:rPr>
          <w:noProof/>
        </w:rPr>
      </w:pPr>
      <w:r>
        <w:rPr>
          <w:noProof/>
        </w:rPr>
        <w:t>jagħti aċċess lill-flotta tal-UE għar-riżorsi tas-sajd fiż-żona koperta u jagħtiha sehem xieraq minnhom;</w:t>
      </w:r>
    </w:p>
    <w:p>
      <w:pPr>
        <w:pStyle w:val="Tiret1"/>
        <w:rPr>
          <w:noProof/>
        </w:rPr>
      </w:pPr>
      <w:r>
        <w:rPr>
          <w:noProof/>
        </w:rPr>
        <w:t>ikun jinkludi proċess biex it-tilwim jissolva b’mod paċifiku;</w:t>
      </w:r>
    </w:p>
    <w:p>
      <w:pPr>
        <w:pStyle w:val="Tiret1"/>
        <w:rPr>
          <w:noProof/>
        </w:rPr>
      </w:pPr>
      <w:r>
        <w:rPr>
          <w:noProof/>
        </w:rPr>
        <w:t>iqis iċ-ċirkustanzi speċifiċi tal-Istati gżejjer żgħar li qed jiżviluppaw u li jkunu jinsabu fiż-żona koperta, jekk ikun hemm bżonn.</w:t>
      </w:r>
    </w:p>
    <w:p>
      <w:pPr>
        <w:pStyle w:val="Tiret1"/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DE8E0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5272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46012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CAED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BEC56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28C14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D5274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1843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26 09:00:5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r-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1598E32-ECA3-47C1-85CB-F62A2A0966E6"/>
    <w:docVar w:name="LW_COVERPAGE_TYPE" w:val="1"/>
    <w:docVar w:name="LW_CROSSREFERENCE" w:val="&lt;UNUSED&gt;"/>
    <w:docVar w:name="LW_DocType" w:val="ANNEX"/>
    <w:docVar w:name="LW_EMISSION" w:val="27.6.2019"/>
    <w:docVar w:name="LW_EMISSION_ISODATE" w:val="2019-06-27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_x000b_"/>
    <w:docVar w:name="LW_OBJETACTEPRINCIPAL.CP" w:val="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Rakkomandazzjoni g\u295?al De\u267?i\u380?joni tal-Kunsill li tawtorizza l-ftu\u295? tan-negozjati biex titwaqqaf organizzazzjoni re\u289?jonali tal-\u289?estjoni tas-sajd jew biex ji\u289?i stabbilit strument g\u295?all-konservazzjoni u g\u295?all-\u289?estjoni tar-ri\u380?orsi \u295?ajjin tal-ba\u295?ar fl-Atlantiku \u266?entrali tal-Punent"/>
    <w:docVar w:name="LW_TYPEACTEPRINCIPAL.CP" w:val="Rakkomandazzjoni g\u295?al De\u267?i\u380?joni tal-Kunsill li tawtorizza l-ftu\u295? tan-negozjati biex titwaqqaf organizzazzjoni re\u289?jonali tal-\u289?estjoni tas-sajd jew biex ji\u289?i stabbilit strument g\u295?all-konservazzjoni u g\u295?all-\u289?estjoni tar-ri\u380?orsi \u295?ajjin tal-ba\u295?ar fl-Atlantiku \u266?entrali tal-Punen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E1B537-5AB2-4F54-865D-5DD64F6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782</Words>
  <Characters>5983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VARSAMOS Stamatios (MARE)</dc:creator>
  <cp:lastModifiedBy>DIGIT/C6</cp:lastModifiedBy>
  <cp:revision>8</cp:revision>
  <dcterms:created xsi:type="dcterms:W3CDTF">2019-06-25T06:56:00Z</dcterms:created>
  <dcterms:modified xsi:type="dcterms:W3CDTF">2019-06-26T07:00:00Z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