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406673D-21F8-4B43-9E9B-09A004BBEFDD" style="width:450.9pt;height:379.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rPr>
          <w:noProof/>
        </w:rPr>
      </w:pPr>
      <w:r>
        <w:rPr>
          <w:noProof/>
        </w:rPr>
        <w:t>В съответствие с член 395, параграф 1 от Директива 2006/112/ЕО от 28 ноември 2006 г. относно общата система на данъка върху добавената стойност (наричана по-нататък „Директивата за ДДС“</w:t>
      </w:r>
      <w:r>
        <w:rPr>
          <w:rStyle w:val="FootnoteReference"/>
          <w:noProof/>
        </w:rPr>
        <w:footnoteReference w:id="1"/>
      </w:r>
      <w:r>
        <w:rPr>
          <w:noProof/>
        </w:rPr>
        <w:t>) Съветът, като действа с единодушие по предложение на Комисията, може да разреши на всяка държава членка да прилага специални мерки за дерогация от разпоредбите на посочената директива с цел да опрости процедурата за събиране на ДДС или да предотврати някои форми на отклонение от данъчно облагане или избягване на данъци.</w:t>
      </w:r>
    </w:p>
    <w:p>
      <w:pPr>
        <w:rPr>
          <w:noProof/>
        </w:rPr>
      </w:pPr>
      <w:r>
        <w:rPr>
          <w:noProof/>
        </w:rPr>
        <w:t xml:space="preserve">С писмо, заведено в Комисията на 11 март 2019 г., Румъния поиска разрешение да продължи да прилага мярка за дерогация от член 193 от Директивата за ДДС, с който се определя лицето – платец на ДДС. </w:t>
      </w:r>
    </w:p>
    <w:p>
      <w:pPr>
        <w:rPr>
          <w:noProof/>
        </w:rPr>
      </w:pPr>
      <w:r>
        <w:rPr>
          <w:noProof/>
        </w:rPr>
        <w:t>В съответствие с член 395, параграф 2 от Директивата за ДДС Комисията информира с писма от 9 април 2019 г. останалите държави членки за отправеното от Румъния искане. С писмо от 10 април 2019 г. Комисията уведоми Румъния, че разполага с цялата необходима информация, за да разгледа искането.</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pBdr>
          <w:top w:val="nil"/>
          <w:left w:val="nil"/>
          <w:bottom w:val="nil"/>
          <w:right w:val="nil"/>
          <w:between w:val="nil"/>
          <w:bar w:val="nil"/>
        </w:pBdr>
        <w:spacing w:before="0" w:after="240"/>
        <w:rPr>
          <w:rFonts w:eastAsia="Arial Unicode MS"/>
          <w:noProof/>
        </w:rPr>
      </w:pPr>
      <w:r>
        <w:rPr>
          <w:noProof/>
        </w:rPr>
        <w:t>В член 193 от Директивата за ДДС се предвижда, че в общия случай платец на ДДС е данъчно задълженото лице, което доставя стоките или услугите.</w:t>
      </w:r>
    </w:p>
    <w:p>
      <w:pPr>
        <w:pBdr>
          <w:top w:val="nil"/>
          <w:left w:val="nil"/>
          <w:bottom w:val="nil"/>
          <w:right w:val="nil"/>
          <w:between w:val="nil"/>
          <w:bar w:val="nil"/>
        </w:pBdr>
        <w:spacing w:before="0" w:after="240"/>
        <w:rPr>
          <w:noProof/>
        </w:rPr>
      </w:pPr>
      <w:r>
        <w:rPr>
          <w:noProof/>
        </w:rPr>
        <w:t>По силата на член 395 от Директивата за ДДС държавите членки могат да прилагат с разрешение от Съвета мерки за дерогация от разпоредбите на Директивата, за да опростят процедурата за събиране на ДДС или да предотвратят някои форми на отклонение от данъчно облагане или избягване на данъци.</w:t>
      </w:r>
    </w:p>
    <w:p>
      <w:pPr>
        <w:rPr>
          <w:noProof/>
        </w:rPr>
      </w:pPr>
      <w:r>
        <w:rPr>
          <w:noProof/>
        </w:rPr>
        <w:t>През 2009 г. Румъния поиска дерогация, с която да ѝ бъде разрешено да прилага механизма за обратно начисляване, наред с другото, по отношение на доставките на изделия от дърво. При тази процедура платец на ДДС е данъчно задълженото лице, което е получател на доставките. Посочените изделия от дърво включват по-специално стоящата маса на горите, кръгло или разцепено дърво за обработка, дърва за горене, изделия от дървен материал, дърво с четвъртита форма или дървени стърготини, както и сурова или обработена дървесина или полуготови изделия от дърво.</w:t>
      </w:r>
    </w:p>
    <w:p>
      <w:pPr>
        <w:rPr>
          <w:noProof/>
        </w:rPr>
      </w:pPr>
      <w:r>
        <w:rPr>
          <w:noProof/>
        </w:rPr>
        <w:t>Искането беше одобрено с Решение за изпълнение 2010/583/ЕС на Съвета</w:t>
      </w:r>
      <w:r>
        <w:rPr>
          <w:rStyle w:val="FootnoteReference"/>
          <w:noProof/>
        </w:rPr>
        <w:footnoteReference w:id="2"/>
      </w:r>
      <w:r>
        <w:rPr>
          <w:noProof/>
        </w:rPr>
        <w:t xml:space="preserve"> за периода до 31 декември 2013 г., а по отношение на изделията от дърво впоследствие то беше удължено до 31 декември 2016 г. с Решение за изпълнение 2013/2016/ЕС на Съвета</w:t>
      </w:r>
      <w:r>
        <w:rPr>
          <w:rStyle w:val="FootnoteReference"/>
          <w:noProof/>
        </w:rPr>
        <w:footnoteReference w:id="3"/>
      </w:r>
      <w:r>
        <w:rPr>
          <w:noProof/>
        </w:rPr>
        <w:t xml:space="preserve"> и до 31 декември 2019 г. с Решение за изпълнение (ЕС) 2016/1206 на Съвета</w:t>
      </w:r>
      <w:r>
        <w:rPr>
          <w:rStyle w:val="FootnoteReference"/>
          <w:noProof/>
        </w:rPr>
        <w:footnoteReference w:id="4"/>
      </w:r>
      <w:r>
        <w:rPr>
          <w:noProof/>
        </w:rPr>
        <w:t xml:space="preserve">. </w:t>
      </w:r>
    </w:p>
    <w:p>
      <w:pPr>
        <w:rPr>
          <w:noProof/>
        </w:rPr>
      </w:pPr>
      <w:r>
        <w:rPr>
          <w:noProof/>
        </w:rPr>
        <w:t>Сега Румъния отново поиска удължаване на срока на действие на дерогацията във връзка с прилагането на механизма за обратно начисляване по отношение на доставките на тези изделия от дърво.</w:t>
      </w:r>
    </w:p>
    <w:p>
      <w:pPr>
        <w:rPr>
          <w:noProof/>
        </w:rPr>
      </w:pPr>
      <w:r>
        <w:rPr>
          <w:noProof/>
        </w:rPr>
        <w:t xml:space="preserve">Въз основа на предоставения от Румъния доклад, който беше представен заедно с искането за удължаване на срока на действие на мярката, определянето на получателя за лице — платец на ДДС, при доставките на горепосочените изделия от дърво е довело до предотвратяване на отклонението от данъчно облагане и на избягването на данъци в този сектор, който се характеризира с множество дребни прекупвачи и посредници, контролът върху които се оказва труден. Поради това удължаването на мярката за нов ограничен срок изглежда обосновано, тъй като видимо тя не е оказала отрицателно въздействие върху предотвратяването на измамите в сектора на търговията на дребно, нито в други сектори или други държави членки. Като се има предвид непромененото правно и фактическо положение, се предлага удължаване на срока на действие на мярката за дерогация, вследствие на което Румъния ще може да прилага тази мярка за дерогация до 31 декември 2022 г. </w:t>
      </w:r>
    </w:p>
    <w:p>
      <w:pPr>
        <w:pBdr>
          <w:top w:val="nil"/>
          <w:left w:val="nil"/>
          <w:bottom w:val="nil"/>
          <w:right w:val="nil"/>
          <w:between w:val="nil"/>
          <w:bar w:val="nil"/>
        </w:pBdr>
        <w:spacing w:before="0" w:after="240"/>
        <w:rPr>
          <w:noProof/>
        </w:rPr>
      </w:pPr>
      <w:r>
        <w:rPr>
          <w:noProof/>
        </w:rPr>
        <w:t xml:space="preserve">По начало дерогациите се предоставят за ограничен срок, така щото да може да се прецени дали специалната мярка е подходяща и ефективна и да се осигури достатъчно време на държавите членки за въвеждане на други конвенционални мерки за преодоляване на съответния проблем до изтичането на срока на действие на мярката за дерогация. Дерогация за използване на механизма за обратно начисляване се разрешава само по изключение за определени области с повече измами и се употребява в краен случай. </w:t>
      </w:r>
    </w:p>
    <w:p>
      <w:pPr>
        <w:pBdr>
          <w:top w:val="nil"/>
          <w:left w:val="nil"/>
          <w:bottom w:val="nil"/>
          <w:right w:val="nil"/>
          <w:between w:val="nil"/>
          <w:bar w:val="nil"/>
        </w:pBdr>
        <w:spacing w:before="0" w:after="240"/>
      </w:pPr>
      <w:r>
        <w:rPr>
          <w:noProof/>
        </w:rPr>
        <w:t>Следователно до изтичането на срока на действие на тази дерогация Румъния следва да въведе други конвенционални мерки за борба и предотвратяване на по-нататъшното разпространение на измамите с ДДС в търговията с дървен материал. В резултат на това би следвало да отпадне нуждата от продължаване на дерогацията от член 193 от Директива 2006/112/ЕО по отношение на тези доставки.</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 действащите разпоредби в тази област на политиката</w:t>
      </w:r>
    </w:p>
    <w:p>
      <w:pPr>
        <w:pBdr>
          <w:top w:val="nil"/>
          <w:left w:val="nil"/>
          <w:bottom w:val="nil"/>
          <w:right w:val="nil"/>
          <w:between w:val="nil"/>
          <w:bar w:val="nil"/>
        </w:pBdr>
        <w:spacing w:before="0" w:after="240"/>
        <w:rPr>
          <w:rFonts w:eastAsia="Arial Unicode MS"/>
          <w:noProof/>
        </w:rPr>
      </w:pPr>
      <w:r>
        <w:rPr>
          <w:noProof/>
        </w:rPr>
        <w:t>Подобни дерогации във връзка с член 193 от Директивата за ДДС са предоставени на други държави членки.</w:t>
      </w:r>
    </w:p>
    <w:p>
      <w:pPr>
        <w:pBdr>
          <w:top w:val="nil"/>
          <w:left w:val="nil"/>
          <w:bottom w:val="nil"/>
          <w:right w:val="nil"/>
          <w:between w:val="nil"/>
          <w:bar w:val="nil"/>
        </w:pBdr>
        <w:spacing w:before="0" w:after="240"/>
        <w:rPr>
          <w:rFonts w:eastAsia="Arial Unicode MS"/>
          <w:noProof/>
          <w:color w:val="000000" w:themeColor="text1"/>
        </w:rPr>
      </w:pPr>
      <w:r>
        <w:rPr>
          <w:noProof/>
        </w:rPr>
        <w:t xml:space="preserve">Следователно предложената мярка е съобразена с действащите разпоредби на Директивата за ДДС. </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rFonts w:eastAsia="Arial Unicode MS"/>
          <w:noProof/>
        </w:rPr>
      </w:pPr>
      <w:r>
        <w:rPr>
          <w:noProof/>
        </w:rPr>
        <w:t>Член 395 от Директивата за ДДС.</w:t>
      </w:r>
    </w:p>
    <w:p>
      <w:pPr>
        <w:pStyle w:val="ManualHeading2"/>
        <w:rPr>
          <w:rFonts w:eastAsia="Arial Unicode MS"/>
          <w:noProof/>
          <w:u w:color="000000"/>
          <w:bdr w:val="nil"/>
        </w:rPr>
      </w:pPr>
      <w:r>
        <w:rPr>
          <w:noProof/>
        </w:rPr>
        <w:t>•</w:t>
      </w:r>
      <w:r>
        <w:rPr>
          <w:noProof/>
        </w:rPr>
        <w:tab/>
        <w:t xml:space="preserve">Субсидиарност (извън областите на изключителна компетентност) </w:t>
      </w:r>
    </w:p>
    <w:p>
      <w:pPr>
        <w:pBdr>
          <w:top w:val="nil"/>
          <w:left w:val="nil"/>
          <w:bottom w:val="nil"/>
          <w:right w:val="nil"/>
          <w:between w:val="nil"/>
          <w:bar w:val="nil"/>
        </w:pBdr>
        <w:spacing w:before="0" w:after="240"/>
        <w:rPr>
          <w:rFonts w:eastAsia="Arial Unicode MS"/>
          <w:noProof/>
        </w:rPr>
      </w:pPr>
      <w:r>
        <w:rPr>
          <w:noProof/>
        </w:rPr>
        <w:t>Като се има предвид разпоредбата от Директивата за ДДС, на основание на която е съставено предложението, принципът на субсидиарност не се прилага.</w:t>
      </w:r>
    </w:p>
    <w:p>
      <w:pPr>
        <w:pStyle w:val="ManualHeading2"/>
        <w:rPr>
          <w:rFonts w:eastAsia="Arial Unicode MS"/>
          <w:noProof/>
          <w:u w:color="000000"/>
          <w:bdr w:val="nil"/>
        </w:rPr>
      </w:pPr>
      <w:r>
        <w:rPr>
          <w:noProof/>
        </w:rPr>
        <w:t>•</w:t>
      </w:r>
      <w:r>
        <w:rPr>
          <w:noProof/>
        </w:rPr>
        <w:tab/>
        <w:t>Пропорционалност</w:t>
      </w:r>
    </w:p>
    <w:p>
      <w:pPr>
        <w:pBdr>
          <w:top w:val="nil"/>
          <w:left w:val="nil"/>
          <w:bottom w:val="nil"/>
          <w:right w:val="nil"/>
          <w:between w:val="nil"/>
          <w:bar w:val="nil"/>
        </w:pBdr>
        <w:spacing w:before="0" w:after="240"/>
        <w:rPr>
          <w:noProof/>
        </w:rPr>
      </w:pPr>
      <w:r>
        <w:rPr>
          <w:noProof/>
        </w:rPr>
        <w:t xml:space="preserve">Решението се отнася до предоставяне на разрешение на държава членка по нейно искане и не представлява задължение. </w:t>
      </w:r>
    </w:p>
    <w:p>
      <w:pPr>
        <w:rPr>
          <w:rFonts w:eastAsia="Arial Unicode MS"/>
          <w:noProof/>
        </w:rPr>
      </w:pPr>
      <w:r>
        <w:rPr>
          <w:noProof/>
        </w:rPr>
        <w:t>Предвид ограничения обхват на дерогацията специалната мярка е пропорционална на поставената цел.</w:t>
      </w:r>
    </w:p>
    <w:p>
      <w:pPr>
        <w:pStyle w:val="ManualHeading2"/>
        <w:rPr>
          <w:rFonts w:eastAsia="Arial Unicode MS"/>
          <w:noProof/>
          <w:u w:color="000000"/>
          <w:bdr w:val="nil"/>
        </w:rPr>
      </w:pPr>
      <w:r>
        <w:rPr>
          <w:noProof/>
        </w:rPr>
        <w:t>•</w:t>
      </w:r>
      <w:r>
        <w:rPr>
          <w:noProof/>
        </w:rPr>
        <w:tab/>
        <w:t>Избор на инструмент</w:t>
      </w:r>
    </w:p>
    <w:p>
      <w:pPr>
        <w:spacing w:before="0" w:after="240"/>
        <w:rPr>
          <w:rFonts w:eastAsia="Arial Unicode MS"/>
          <w:noProof/>
        </w:rPr>
      </w:pPr>
      <w:r>
        <w:rPr>
          <w:noProof/>
        </w:rPr>
        <w:t>Предлаган инструмент: решение за изпълнение на Съвета.</w:t>
      </w:r>
    </w:p>
    <w:p>
      <w:pPr>
        <w:spacing w:before="0" w:after="240"/>
        <w:rPr>
          <w:rFonts w:eastAsia="Arial Unicode MS"/>
          <w:noProof/>
        </w:rPr>
      </w:pPr>
      <w:r>
        <w:rPr>
          <w:noProof/>
        </w:rPr>
        <w:t>По силата на член 395 от Директива 2006/112/EО на Съвета дерогация от общите разпоредби за ДДС е възможна единствено след разрешение от Съвета, действащ с единодушие по предложение на Комисията. Решение за изпълнение на Съвета е най-подходящият инструмент, тъй като негов адресат може да бъде отделна държава членка.</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rFonts w:eastAsia="Arial Unicode MS"/>
          <w:noProof/>
        </w:rPr>
      </w:pPr>
      <w:r>
        <w:rPr>
          <w:noProof/>
        </w:rPr>
        <w:t>Настоящото предложение се основава на искане, отправено от Румъния, и засяга само тази държава членка.</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pBdr>
          <w:top w:val="nil"/>
          <w:left w:val="nil"/>
          <w:bottom w:val="nil"/>
          <w:right w:val="nil"/>
          <w:between w:val="nil"/>
          <w:bar w:val="nil"/>
        </w:pBdr>
        <w:spacing w:before="0" w:after="240"/>
        <w:rPr>
          <w:rFonts w:eastAsia="Arial Unicode MS"/>
          <w:noProof/>
        </w:rPr>
      </w:pPr>
      <w:r>
        <w:rPr>
          <w:noProof/>
        </w:rPr>
        <w:t>Не бяха необходими външни експертни становища.</w:t>
      </w:r>
    </w:p>
    <w:p>
      <w:pPr>
        <w:pStyle w:val="ManualHeading2"/>
        <w:rPr>
          <w:rFonts w:eastAsia="Arial Unicode MS"/>
          <w:noProof/>
          <w:u w:color="000000"/>
          <w:bdr w:val="nil"/>
        </w:rPr>
      </w:pPr>
      <w:r>
        <w:rPr>
          <w:noProof/>
        </w:rPr>
        <w:t>•</w:t>
      </w:r>
      <w:r>
        <w:rPr>
          <w:noProof/>
        </w:rPr>
        <w:tab/>
        <w:t>Оценка на въздействието</w:t>
      </w:r>
    </w:p>
    <w:p>
      <w:pPr>
        <w:rPr>
          <w:noProof/>
        </w:rPr>
      </w:pPr>
      <w:r>
        <w:rPr>
          <w:noProof/>
        </w:rPr>
        <w:t>Предложението за решение за изпълнение на Съвета има за цел да се предотвратят някои форми на отклонение от данъчно облагане или избягване на данъци в дървопреработвателния сектор и следователно има потенциално положително въздействие, тъй като ще продължи предотвратяването на прилаганите преди това схеми за измама в този дървопреработвателен сектор. Според Румъния неудължаването на срока на действие на мярката неизбежно би довело до повторната поява на тези схеми.</w:t>
      </w:r>
    </w:p>
    <w:p>
      <w:pPr>
        <w:rPr>
          <w:noProof/>
        </w:rPr>
      </w:pPr>
      <w:r>
        <w:rPr>
          <w:noProof/>
        </w:rPr>
        <w:t>Въздействието обаче при всички случаи ще бъде ограничено поради тесния обхват на дерогацията и ограничения ѝ срок на действие.</w:t>
      </w:r>
    </w:p>
    <w:p>
      <w:pPr>
        <w:pStyle w:val="ManualHeading1"/>
        <w:rPr>
          <w:noProof/>
        </w:rPr>
      </w:pPr>
      <w:r>
        <w:rPr>
          <w:noProof/>
        </w:rPr>
        <w:t>4.</w:t>
      </w:r>
      <w:r>
        <w:rPr>
          <w:noProof/>
        </w:rPr>
        <w:tab/>
        <w:t>ОТРАЖЕНИЕ ВЪРХУ БЮДЖЕТА</w:t>
      </w:r>
    </w:p>
    <w:p>
      <w:pPr>
        <w:rPr>
          <w:noProof/>
        </w:rPr>
      </w:pPr>
      <w:r>
        <w:rPr>
          <w:noProof/>
        </w:rPr>
        <w:t>Предложението няма да има отрицателно отражение върху бюджета на ЕС.</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механизми за наблюдение, оценка и докладване</w:t>
      </w:r>
    </w:p>
    <w:p>
      <w:pPr>
        <w:keepNext/>
        <w:tabs>
          <w:tab w:val="left" w:pos="850"/>
        </w:tabs>
        <w:ind w:left="850" w:hanging="850"/>
        <w:outlineLvl w:val="1"/>
        <w:rPr>
          <w:noProof/>
        </w:rPr>
      </w:pPr>
      <w:r>
        <w:rPr>
          <w:noProof/>
        </w:rPr>
        <w:t>Предложението е ограничено във времето.</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2019/0144 (NLE)</w:t>
      </w:r>
    </w:p>
    <w:p>
      <w:pPr>
        <w:pStyle w:val="Statut"/>
        <w:rPr>
          <w:noProof/>
        </w:rPr>
      </w:pPr>
      <w:r>
        <w:rPr>
          <w:noProof/>
        </w:rPr>
        <w:t>Предложение за</w:t>
      </w:r>
    </w:p>
    <w:p>
      <w:pPr>
        <w:pStyle w:val="Typedudocument"/>
        <w:rPr>
          <w:noProof/>
        </w:rPr>
      </w:pPr>
      <w:r>
        <w:rPr>
          <w:noProof/>
        </w:rPr>
        <w:t>РЕШЕНИЕ ЗА ИЗПЪЛНЕНИЕ НА СЪВЕТА</w:t>
      </w:r>
    </w:p>
    <w:p>
      <w:pPr>
        <w:pStyle w:val="Titreobjet"/>
        <w:rPr>
          <w:noProof/>
        </w:rPr>
      </w:pPr>
      <w:r>
        <w:rPr>
          <w:noProof/>
        </w:rPr>
        <w:t xml:space="preserve">за изменение на Решение за изпълнение 2013/676/ЕС за предоставяне на разрешение на Румъния да продължи да прилага специална мярка за дерогация от член 193 от Директива 2006/112/ЕО относно общата система на данъка върху добавената стойност </w:t>
      </w:r>
    </w:p>
    <w:p>
      <w:pPr>
        <w:pStyle w:val="Institutionquiagit"/>
        <w:rPr>
          <w:noProof/>
        </w:rPr>
      </w:pPr>
      <w:r>
        <w:rPr>
          <w:noProof/>
        </w:rPr>
        <w:t>СЪВЕТЪТ НА ЕВРОПЕЙСКИЯ СЪЮЗ,</w:t>
      </w:r>
    </w:p>
    <w:p>
      <w:pPr>
        <w:rPr>
          <w:noProof/>
        </w:rPr>
      </w:pPr>
      <w:r>
        <w:rPr>
          <w:noProof/>
        </w:rPr>
        <w:t xml:space="preserve">като взе предвид Договора за функционирането на Европейския съюз, </w:t>
      </w:r>
    </w:p>
    <w:p>
      <w:pPr>
        <w:rPr>
          <w:noProof/>
        </w:rPr>
      </w:pPr>
      <w:r>
        <w:rPr>
          <w:noProof/>
        </w:rPr>
        <w:t>като взе предвид Директива 2006/112/ЕО на Съвета от 28 ноември 2006 г. относно общата система на данъка върху добавената стойност</w:t>
      </w:r>
      <w:r>
        <w:rPr>
          <w:rStyle w:val="FootnoteReference"/>
          <w:noProof/>
        </w:rPr>
        <w:footnoteReference w:id="5"/>
      </w:r>
      <w:r>
        <w:rPr>
          <w:noProof/>
        </w:rPr>
        <w:t>, и по-специално член 395, параграф 1 от нея,</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С Решение за изпълнение 2010/583/ЕС на Съвета</w:t>
      </w:r>
      <w:r>
        <w:rPr>
          <w:rStyle w:val="FootnoteReference"/>
          <w:noProof/>
        </w:rPr>
        <w:footnoteReference w:id="6"/>
      </w:r>
      <w:r>
        <w:rPr>
          <w:noProof/>
        </w:rPr>
        <w:t xml:space="preserve"> и впоследствие с Решение за изпълнение 2013/676/ЕС на Съвета</w:t>
      </w:r>
      <w:r>
        <w:rPr>
          <w:rStyle w:val="FootnoteReference"/>
          <w:noProof/>
        </w:rPr>
        <w:footnoteReference w:id="7"/>
      </w:r>
      <w:r>
        <w:rPr>
          <w:noProof/>
        </w:rPr>
        <w:t xml:space="preserve"> на Румъния беше разрешено да прилага специална мярка за дерогация, за да може при доставките на изделия от дърво от данъчно задължени лица да определя получателя за лице — платец на данъка върху добавената стойност (ДДС) върху тези доставки. Срокът на действие на разрешението, предоставено по силата на Решение за изпълнение 2013/2016/ЕС на Съвета, бе удължен до 31 декември 2019 г. с Решение за изпълнение (ЕС) 2016/1206 на Съвета</w:t>
      </w:r>
      <w:r>
        <w:rPr>
          <w:rStyle w:val="FootnoteReference"/>
          <w:noProof/>
        </w:rPr>
        <w:footnoteReference w:id="8"/>
      </w:r>
      <w:r>
        <w:rPr>
          <w:noProof/>
        </w:rPr>
        <w:t>.</w:t>
      </w:r>
    </w:p>
    <w:p>
      <w:pPr>
        <w:pStyle w:val="ManualConsidrant"/>
        <w:rPr>
          <w:noProof/>
        </w:rPr>
      </w:pPr>
      <w:r>
        <w:t>(2)</w:t>
      </w:r>
      <w:r>
        <w:tab/>
      </w:r>
      <w:r>
        <w:rPr>
          <w:noProof/>
        </w:rPr>
        <w:t>С писмо, заведено в Комисията на 11 март 2019 г., Румъния поиска разрешение да продължи да прилага специалната мярка, за която е получила разрешение по силата на Решение за изпълнение 2013/676/ЕС. Искането беше придружено от доклад за прилагането на мярката, както се изисква по силата на член 3 от посоченото решение за изпълнение.</w:t>
      </w:r>
    </w:p>
    <w:p>
      <w:pPr>
        <w:pStyle w:val="ManualConsidrant"/>
        <w:rPr>
          <w:noProof/>
        </w:rPr>
      </w:pPr>
      <w:r>
        <w:t>(3)</w:t>
      </w:r>
      <w:r>
        <w:tab/>
      </w:r>
      <w:r>
        <w:rPr>
          <w:noProof/>
        </w:rPr>
        <w:t>С писма от 9 април 2019 г. Комисията информира останалите държави членки за отправеното от Румъния искане. С писмо от 10 април 2019 г. Комисията уведоми Румъния, че разполага с цялата необходима информация, за да разгледа искането.</w:t>
      </w:r>
    </w:p>
    <w:p>
      <w:pPr>
        <w:pStyle w:val="ManualConsidrant"/>
        <w:rPr>
          <w:noProof/>
        </w:rPr>
      </w:pPr>
      <w:r>
        <w:t>(4)</w:t>
      </w:r>
      <w:r>
        <w:tab/>
      </w:r>
      <w:r>
        <w:rPr>
          <w:noProof/>
        </w:rPr>
        <w:t>Според информацията, предоставена от Румъния в нейното искане, фактическото положение, което оправдава прилагането на специалната мярка, не се е променило. Освен това в анализ на румънските органи се посочва, че мярката се е оказала ефективна за намаляване на отклонението от данъчно облагане.</w:t>
      </w:r>
    </w:p>
    <w:p>
      <w:pPr>
        <w:pStyle w:val="ManualConsidrant"/>
        <w:rPr>
          <w:noProof/>
        </w:rPr>
      </w:pPr>
      <w:r>
        <w:t>(5)</w:t>
      </w:r>
      <w:r>
        <w:tab/>
      </w:r>
      <w:r>
        <w:rPr>
          <w:noProof/>
        </w:rPr>
        <w:t>Комисията счита, че специалната мярка е пропорционална на поставените цели, тъй като тя е ограничена до тясно специфични доставки в сектор, който създава значителни проблеми по отношение на отклонението от данъчно облагане или избягването на данъци. Тя счита освен това, че по-нататъшното прилагане на мярката не би оказало никакво неблагоприятно въздействие върху предотвратяването на измамите в сектора на търговията на дребно, нито в други сектори или други държави членки.</w:t>
      </w:r>
    </w:p>
    <w:p>
      <w:pPr>
        <w:pStyle w:val="ManualConsidrant"/>
        <w:rPr>
          <w:noProof/>
        </w:rPr>
      </w:pPr>
      <w:r>
        <w:t>(6)</w:t>
      </w:r>
      <w:r>
        <w:tab/>
      </w:r>
      <w:r>
        <w:rPr>
          <w:noProof/>
        </w:rPr>
        <w:t>Поради това на Румъния следва да се разреши да продължи да прилага специалната мярка за допълнителен ограничен срок — до 31 декември 2022 г.</w:t>
      </w:r>
    </w:p>
    <w:p>
      <w:pPr>
        <w:pStyle w:val="ManualConsidrant"/>
        <w:rPr>
          <w:noProof/>
        </w:rPr>
      </w:pPr>
      <w:r>
        <w:t>(7)</w:t>
      </w:r>
      <w:r>
        <w:tab/>
      </w:r>
      <w:r>
        <w:rPr>
          <w:noProof/>
        </w:rPr>
        <w:t>По начало дерогациите се разрешават за ограничен срок, така щото да може да се прецени дали специалните мерки са подходящи и ефективни. Дерогациите осигуряват достатъчно време на държавите членки за въвеждане на други конвенционални мерки за преодоляване на въпросния проблем до изтичането на срока на действие на специалните мерки. Дерогация за използване на механизма за обратно начисляване се разрешава само по изключение за определени области, където се срещат измами, и се употребява в краен случай. Поради това Румъния следва да въведе други конвенционални мерки за борба и предотвратяване на по-нататъшното разпространение на измамите с ДДС в търговията с дървен материал и в дървопреработвателния сектор и съответно вече би трябвало да отпадне нуждата от дерогация от член 193 от Директива 2006/112/ЕО по отношение на тези доставки. Следователно на настоящия етап не е необходимо в Решение за изпълнение 2013/676/ЕС да се включва специална разпоредба за отправяне на нови искания за удължаване на срока на действие на дерогацията, предоставена по силата на същото решение за изпълнение, за периода след 31 декември 2022 г.</w:t>
      </w:r>
    </w:p>
    <w:p>
      <w:pPr>
        <w:pStyle w:val="ManualConsidrant"/>
        <w:rPr>
          <w:noProof/>
        </w:rPr>
      </w:pPr>
      <w:r>
        <w:t>(8)</w:t>
      </w:r>
      <w:r>
        <w:tab/>
      </w:r>
      <w:r>
        <w:rPr>
          <w:noProof/>
        </w:rPr>
        <w:t>Мярката за дерогация няма отрицателно въздействие върху собствените ресурси на Съюза, формирани от ДДС.</w:t>
      </w:r>
    </w:p>
    <w:p>
      <w:pPr>
        <w:pStyle w:val="ManualConsidrant"/>
        <w:rPr>
          <w:noProof/>
        </w:rPr>
      </w:pPr>
      <w:r>
        <w:t>(9)</w:t>
      </w:r>
      <w:r>
        <w:tab/>
      </w:r>
      <w:r>
        <w:rPr>
          <w:noProof/>
        </w:rPr>
        <w:t>Поради това Решение за изпълнение 2013/676/ЕС следва да бъде съответно изменено,</w:t>
      </w:r>
    </w:p>
    <w:p>
      <w:pPr>
        <w:pStyle w:val="Formuledadoption"/>
        <w:rPr>
          <w:noProof/>
        </w:rPr>
      </w:pPr>
      <w:r>
        <w:rPr>
          <w:noProof/>
        </w:rPr>
        <w:t xml:space="preserve">ПРИЕ НАСТОЯЩОТО РЕШЕНИЕ: </w:t>
      </w:r>
    </w:p>
    <w:p>
      <w:pPr>
        <w:pStyle w:val="Titrearticle"/>
        <w:rPr>
          <w:noProof/>
        </w:rPr>
      </w:pPr>
      <w:r>
        <w:rPr>
          <w:noProof/>
        </w:rPr>
        <w:t>Член 1</w:t>
      </w:r>
    </w:p>
    <w:p>
      <w:pPr>
        <w:rPr>
          <w:noProof/>
        </w:rPr>
      </w:pPr>
      <w:r>
        <w:rPr>
          <w:noProof/>
        </w:rPr>
        <w:t>Решение за изпълнение 2013/676/ЕС на Съвета се изменя, както следва:</w:t>
      </w:r>
    </w:p>
    <w:p>
      <w:pPr>
        <w:rPr>
          <w:noProof/>
        </w:rPr>
      </w:pPr>
      <w:r>
        <w:rPr>
          <w:noProof/>
        </w:rPr>
        <w:t>1) В член 1 датата „31 декември 2019 г.“ се заменя с датата „31 декември 2022 г.“;</w:t>
      </w:r>
    </w:p>
    <w:p>
      <w:pPr>
        <w:rPr>
          <w:noProof/>
        </w:rPr>
      </w:pPr>
      <w:r>
        <w:rPr>
          <w:noProof/>
        </w:rPr>
        <w:t>2) Член 3 се заличава.</w:t>
      </w:r>
    </w:p>
    <w:p>
      <w:pPr>
        <w:pStyle w:val="Titrearticle"/>
        <w:rPr>
          <w:noProof/>
        </w:rPr>
      </w:pPr>
      <w:r>
        <w:rPr>
          <w:noProof/>
        </w:rPr>
        <w:t>Член 2</w:t>
      </w:r>
    </w:p>
    <w:p>
      <w:pPr>
        <w:keepNext/>
        <w:keepLines/>
        <w:rPr>
          <w:noProof/>
        </w:rPr>
      </w:pPr>
      <w:r>
        <w:rPr>
          <w:noProof/>
          <w:color w:val="000000"/>
        </w:rPr>
        <w:t>Адресат на настоящото решение е Румъния</w:t>
      </w:r>
      <w:r>
        <w:t>.</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ОВ L 347, 11.12.2006 г., стр. 1.</w:t>
      </w:r>
    </w:p>
  </w:footnote>
  <w:footnote w:id="2">
    <w:p>
      <w:pPr>
        <w:pStyle w:val="FootnoteText"/>
      </w:pPr>
      <w:r>
        <w:rPr>
          <w:rStyle w:val="FootnoteReference"/>
        </w:rPr>
        <w:footnoteRef/>
      </w:r>
      <w:r>
        <w:tab/>
        <w:t>Решение за изпълнение 2010/583/ЕС на Съвета от 27 септември 2010 г. за предоставяне на разрешение на Румъния да въведе специална мярка за дерогация от член 193 от Директива 2006/112/ЕО относно общата система на данъка върху добавената стойност (ОВ L 256, 30.9.2010 г., стр. 27).</w:t>
      </w:r>
    </w:p>
  </w:footnote>
  <w:footnote w:id="3">
    <w:p>
      <w:pPr>
        <w:pStyle w:val="FootnoteText"/>
      </w:pPr>
      <w:r>
        <w:rPr>
          <w:rStyle w:val="FootnoteReference"/>
        </w:rPr>
        <w:footnoteRef/>
      </w:r>
      <w:r>
        <w:tab/>
        <w:t>Решение за изпълнение 2013/676/ЕС на Съвета от 15 ноември 2013 г. за предоставяне на разрешение на Румъния да продължи да прилага специална мярка за дерогация от член 193 от Директива 2006/112/ЕО относно общата система на данъка върху добавената стойност (ОВ L 316, 27.11.2013 г., стр. 31).</w:t>
      </w:r>
    </w:p>
  </w:footnote>
  <w:footnote w:id="4">
    <w:p>
      <w:pPr>
        <w:pStyle w:val="FootnoteText"/>
      </w:pPr>
      <w:r>
        <w:rPr>
          <w:rStyle w:val="FootnoteReference"/>
        </w:rPr>
        <w:footnoteRef/>
      </w:r>
      <w:r>
        <w:tab/>
        <w:t>Решение за изпълнение (ЕС) 2016/1206 на Съвета от 18 юли 2016 г. за изменение на Решение за изпълнение 2013/676/ЕС за предоставяне на разрешение на Румъния да продължи да прилага специална мярка за дерогация от член 193 от Директива 2006/112/ЕО относно общата система на данъка върху добавената стойност (ОВ L 198, 23.7.2016 г., стр. 47).</w:t>
      </w:r>
    </w:p>
  </w:footnote>
  <w:footnote w:id="5">
    <w:p>
      <w:pPr>
        <w:pStyle w:val="FootnoteText"/>
      </w:pPr>
      <w:r>
        <w:rPr>
          <w:rStyle w:val="FootnoteReference"/>
        </w:rPr>
        <w:footnoteRef/>
      </w:r>
      <w:r>
        <w:tab/>
        <w:t>OВ L 347, 11.12.2006 г., стр. 1.</w:t>
      </w:r>
    </w:p>
  </w:footnote>
  <w:footnote w:id="6">
    <w:p>
      <w:pPr>
        <w:pStyle w:val="FootnoteText"/>
      </w:pPr>
      <w:r>
        <w:rPr>
          <w:rStyle w:val="FootnoteReference"/>
        </w:rPr>
        <w:footnoteRef/>
      </w:r>
      <w:r>
        <w:tab/>
        <w:t>Решение за изпълнение 2010/583/ЕС на Съвета от 27 септември 2010 г. за предоставяне на разрешение на Румъния да въведе специална мярка за дерогация от член 193 от Директива 2006/112/ЕО относно общата система на данъка върху добавената стойност (ОВ L 256, 30.9.2010 г., стр. 27).</w:t>
      </w:r>
    </w:p>
  </w:footnote>
  <w:footnote w:id="7">
    <w:p>
      <w:pPr>
        <w:pStyle w:val="FootnoteText"/>
      </w:pPr>
      <w:r>
        <w:rPr>
          <w:rStyle w:val="FootnoteReference"/>
        </w:rPr>
        <w:footnoteRef/>
      </w:r>
      <w:r>
        <w:tab/>
        <w:t>Решение за изпълнение 2013/676/ЕС на Съвета от 15 ноември 2013 г. за предоставяне на разрешение на Румъния да продължи да прилага специална мярка за дерогация от член 193 от Директива 2006/112/ЕО относно общата система на данъка върху добавената стойност (ОВ L 316, 27.11.2013 г., стр. 31).</w:t>
      </w:r>
    </w:p>
  </w:footnote>
  <w:footnote w:id="8">
    <w:p>
      <w:pPr>
        <w:pStyle w:val="FootnoteText"/>
      </w:pPr>
      <w:r>
        <w:rPr>
          <w:rStyle w:val="FootnoteReference"/>
        </w:rPr>
        <w:footnoteRef/>
      </w:r>
      <w:r>
        <w:tab/>
        <w:t>Решение за изпълнение (ЕС) 2016/1206 на Съвета от 18 юли 2016 г. за изменение на Решение за изпълнение 2013/676/ЕС за предоставяне на разрешение на Румъния да продължи да прилага специална мярка за дерогация от член 193 от Директива 2006/112/ЕО относно общата система на данъка върху добавената стойност (ОВ L 198, 23.7.2016 г., стр.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205A4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2C93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E239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2B6AF45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36E714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FCE9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FC41DA"/>
    <w:lvl w:ilvl="0">
      <w:start w:val="1"/>
      <w:numFmt w:val="decimal"/>
      <w:pStyle w:val="ListNumber"/>
      <w:lvlText w:val="%1."/>
      <w:lvlJc w:val="left"/>
      <w:pPr>
        <w:tabs>
          <w:tab w:val="num" w:pos="360"/>
        </w:tabs>
        <w:ind w:left="360" w:hanging="360"/>
      </w:pPr>
    </w:lvl>
  </w:abstractNum>
  <w:abstractNum w:abstractNumId="7">
    <w:nsid w:val="FFFFFF89"/>
    <w:multiLevelType w:val="singleLevel"/>
    <w:tmpl w:val="2F7027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4 12:24:1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406673D-21F8-4B43-9E9B-09A004BBEFDD"/>
    <w:docVar w:name="LW_COVERPAGE_TYPE" w:val="1"/>
    <w:docVar w:name="LW_CROSSREFERENCE" w:val="&lt;UNUSED&gt;"/>
    <w:docVar w:name="LW_DocType" w:val="COM"/>
    <w:docVar w:name="LW_EMISSION" w:val="28.6.2019"/>
    <w:docVar w:name="LW_EMISSION_ISODATE" w:val="2019-06-28"/>
    <w:docVar w:name="LW_EMISSION_LOCATION" w:val="BRX"/>
    <w:docVar w:name="LW_EMISSION_PREFIX" w:val="Брюксел, "/>
    <w:docVar w:name="LW_EMISSION_SUFFIX" w:val=" \u1075?."/>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144"/>
    <w:docVar w:name="LW_REF.II.NEW.CP_YEAR" w:val="2019"/>
    <w:docVar w:name="LW_REF.INST.NEW" w:val="COM"/>
    <w:docVar w:name="LW_REF.INST.NEW_ADOPTED" w:val="final"/>
    <w:docVar w:name="LW_REF.INST.NEW_TEXT" w:val="(2019) 3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56?\u1077?\u1096?\u1077?\u1085?\u1080?\u1077? \u1079?\u1072? \u1080?\u1079?\u1087?\u1098?\u1083?\u1085?\u1077?\u1085?\u1080?\u1077? 2013/676/\u1045?\u1057? \u1079?\u1072? \u1087?\u1088?\u1077?\u1076?\u1086?\u1089?\u1090?\u1072?\u1074?\u1103?\u1085?\u1077? \u1085?\u1072? \u1088?\u1072?\u1079?\u1088?\u1077?\u1096?\u1077?\u1085?\u1080?\u1077? \u1085?\u1072? \u1056?\u1091?\u1084?\u1098?\u1085?\u1080?\u1103? \u1076?\u1072? \u1087?\u1088?\u1086?\u1076?\u1098?\u1083?\u1078?\u1080? \u1076?\u1072? \u1087?\u1088?\u1080?\u1083?\u1072?\u1075?\u1072? \u1089?\u1087?\u1077?\u1094?\u1080?\u1072?\u1083?\u1085?\u1072? \u1084?\u1103?\u1088?\u1082?\u1072? \u1079?\u1072? \u1076?\u1077?\u1088?\u1086?\u1075?\u1072?\u1094?\u1080?\u1103? \u1086?\u1090? \u1095?\u1083?\u1077?\u1085? 193 \u1086?\u1090? \u1044?\u1080?\u1088?\u1077?\u1082?\u1090?\u1080?\u1074?\u1072? 2006/112/\u1045?\u1054? \u1086?\u1090?\u1085?\u1086?\u1089?\u1085?\u1086? \u1086?\u1073?\u1097?\u1072?\u1090?\u1072? \u1089?\u1080?\u1089?\u1090?\u1077?\u1084?\u1072? \u1085?\u1072? \u1076?\u1072?\u1085?\u1098?\u1082?\u1072? \u1074?\u1098?\u1088?\u1093?\u1091? \u1076?\u1086?\u1073?\u1072?\u1074?\u1077?\u1085?\u1072?\u1090?\u1072? \u1089?\u1090?\u1086?\u1081?\u1085?\u1086?\u1089?\u1090? "/>
    <w:docVar w:name="LW_TYPE.DOC.CP" w:val="\u1056?\u1045?\u1064?\u1045?\u1053?\u1048?\u1045? \u1047?\u1040? \u1048?\u1047?\u1055?\u1066?\u1051?\u1053?\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3006795-18B2-457D-B224-E5E989B8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Pages>
  <Words>1694</Words>
  <Characters>9437</Characters>
  <Application>Microsoft Office Word</Application>
  <DocSecurity>0</DocSecurity>
  <Lines>185</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2019-06-13T10:27:00Z</dcterms:created>
  <dcterms:modified xsi:type="dcterms:W3CDTF">2019-06-24T10:24:00Z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