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45DD62-C449-44F1-8D03-AAE08E80EEB2" style="width:450.9pt;height:365.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rPr>
          <w:noProof/>
        </w:rPr>
      </w:pPr>
      <w:r>
        <w:rPr>
          <w:noProof/>
        </w:rPr>
        <w:t>Vastavalt 28. novembri 2006. aasta direktiivi 2006/112/EÜ (mis käsitleb ühist käibemaksusüsteemi) (edaspidi „käibemaksudirektiiv“)</w:t>
      </w:r>
      <w:r>
        <w:rPr>
          <w:rStyle w:val="FootnoteReference"/>
          <w:noProof/>
        </w:rPr>
        <w:footnoteReference w:id="1"/>
      </w:r>
      <w:r>
        <w:rPr>
          <w:noProof/>
        </w:rPr>
        <w:t xml:space="preserve"> artikli 395 lõikele 1 võib nõukogu ühehäälselt komisjoni ettepaneku põhjal anda igale liikmesriigile loa võtta erimeetmeid kõnealuse direktiivi sätetest erandite tegemiseks, et lihtsustada käibemaksu kogumise menetlust või hoida ära teatavat liiki maksudest kõrvalehoidumist või maksustamise vältimist.</w:t>
      </w:r>
    </w:p>
    <w:p>
      <w:pPr>
        <w:rPr>
          <w:noProof/>
        </w:rPr>
      </w:pPr>
      <w:r>
        <w:rPr>
          <w:noProof/>
        </w:rPr>
        <w:t xml:space="preserve">Komisjonis 11. märtsil 2019 registreeritud kirjaga taotles Rumeenia luba jätkuvalt kohaldada meedet, millega tehakse erand käibemaksudirektiivi artiklist 193, mis käsitleb käibemaksu maksmise eest vastutavat isikut. </w:t>
      </w:r>
    </w:p>
    <w:p>
      <w:pPr>
        <w:rPr>
          <w:noProof/>
        </w:rPr>
      </w:pPr>
      <w:r>
        <w:rPr>
          <w:noProof/>
        </w:rPr>
        <w:t>Käibemaksudirektiivi artikli 395 lõike 2 kohaselt teatas komisjon Rumeenia taotlusest teistele liikmesriikidele 9. aprilli 2019. aasta kirjaga. Komisjon teatas 10. aprill 2019. aasta kirjaga Rumeeniale, et tal on taotluse hindamiseks kogu vajalik teave.</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Käibemaksudirektiivi artikli 193 kohaselt peab harilikult tasuma käibemaksu kaupu tarniv või teenuseid osutav maksukohustuslane.</w:t>
      </w:r>
    </w:p>
    <w:p>
      <w:pPr>
        <w:pBdr>
          <w:top w:val="nil"/>
          <w:left w:val="nil"/>
          <w:bottom w:val="nil"/>
          <w:right w:val="nil"/>
          <w:between w:val="nil"/>
          <w:bar w:val="nil"/>
        </w:pBdr>
        <w:spacing w:before="0" w:after="240"/>
        <w:rPr>
          <w:noProof/>
        </w:rPr>
      </w:pPr>
      <w:r>
        <w:rPr>
          <w:noProof/>
        </w:rPr>
        <w:t>Vastavalt käibemaksudirektiivi artiklile 395 võivad liikmesriigid kohaldada meetmeid, millega tehakse erand käibemaksudirektiivi sätetest, et lihtsustada käibemaksu kogumise menetlust või hoida ära teatavat liiki maksudest kõrvalehoidumist või maksustamise vältimist, kui nõukogu on neile selleks andnud loa.</w:t>
      </w:r>
    </w:p>
    <w:p>
      <w:pPr>
        <w:rPr>
          <w:noProof/>
        </w:rPr>
      </w:pPr>
      <w:r>
        <w:rPr>
          <w:noProof/>
        </w:rPr>
        <w:t>Rumeenia taotles 2009. aastal erandit, et saada luba kohaldada pöördmaksustamist muu hulgas puittoodete tarnete suhtes. Selle menetluse kohaselt vastutab käibemaksu tasumise eest maksukohustuslane, kellele tarneid tehakse. Kõnealused puittooted hõlmavad konkreetsemalt kasvavat metsa, ümarpuitu või lõigatud puitu, küttepuitu, puidutooteid, samuti nelinurkse ristlõikega puitu või puiduhaket ning töötlemata, töödeldud või pooltöödeldud puitu.</w:t>
      </w:r>
    </w:p>
    <w:p>
      <w:pPr>
        <w:rPr>
          <w:noProof/>
        </w:rPr>
      </w:pPr>
      <w:r>
        <w:rPr>
          <w:noProof/>
        </w:rPr>
        <w:t>Kõnealune taotlus kiideti heaks nõukogu rakendusotsusega 2010/583/EL</w:t>
      </w:r>
      <w:r>
        <w:rPr>
          <w:rStyle w:val="FootnoteReference"/>
          <w:noProof/>
        </w:rPr>
        <w:footnoteReference w:id="2"/>
      </w:r>
      <w:r>
        <w:rPr>
          <w:noProof/>
        </w:rPr>
        <w:t xml:space="preserve"> kuni 31. detsembrini 2013 ja seejärel pikendati seda puittoodete osas nõukogu rakendusotsusega 2013/676/EL</w:t>
      </w:r>
      <w:r>
        <w:rPr>
          <w:rStyle w:val="FootnoteReference"/>
          <w:noProof/>
        </w:rPr>
        <w:footnoteReference w:id="3"/>
      </w:r>
      <w:r>
        <w:rPr>
          <w:noProof/>
        </w:rPr>
        <w:t xml:space="preserve"> kuni 31. detsembrini 2016 ja nõukogu rakendusotsusega (EL) 2016/1206</w:t>
      </w:r>
      <w:r>
        <w:rPr>
          <w:rStyle w:val="FootnoteReference"/>
          <w:noProof/>
        </w:rPr>
        <w:footnoteReference w:id="4"/>
      </w:r>
      <w:r>
        <w:rPr>
          <w:noProof/>
        </w:rPr>
        <w:t xml:space="preserve"> kuni 31. detsembrini 2019. </w:t>
      </w:r>
    </w:p>
    <w:p>
      <w:pPr>
        <w:rPr>
          <w:noProof/>
        </w:rPr>
      </w:pPr>
      <w:r>
        <w:rPr>
          <w:noProof/>
        </w:rPr>
        <w:t>Nüüd on Rumeenia uuesti taotlenud kõnealuste puittoodete tarnete pöördmaksustamisega seotud erandi kehtivusaja pikendamist.</w:t>
      </w:r>
    </w:p>
    <w:p>
      <w:pPr>
        <w:rPr>
          <w:noProof/>
        </w:rPr>
      </w:pPr>
      <w:r>
        <w:rPr>
          <w:noProof/>
        </w:rPr>
        <w:t xml:space="preserve">Vastavalt Rumeenia aruandele, mis esitati koos taotlusega pikendada meedet, mille kohaselt määratakse eespool nimetatud puittoodete tarnete puhul käibemaksu tasumise eest vastutavaks isikuks kaubasaaja, on kõnealune meede aidanud ära hoida maksudest kõrvalehoidumist ja maksustamise vältimist selles sektoris, kus tegutseb arvukalt väikeseid edasimüüjaid ja </w:t>
      </w:r>
      <w:r>
        <w:rPr>
          <w:noProof/>
        </w:rPr>
        <w:lastRenderedPageBreak/>
        <w:t>vahendajaid, keda on maksuasutustel keeruline kontrollida. Seepärast tundub meetme pikendamine veel üheks piiratud ajavahemikuks olevat õigustatud, kuna meede ei ole negatiivselt mõjutanud pettuste ärahoidmist jaemüügi tasandil, teistes sektorites ega teistes liikmesriikides. Võttes arvesse, et õiguslik ja tegelik olukord ei ole muutunud, tehakse ettepanek pikendada erandit ja lubada Rumeenial seda kohaldada kuni 31. detsembrini 2022.</w:t>
      </w:r>
    </w:p>
    <w:p>
      <w:pPr>
        <w:pBdr>
          <w:top w:val="nil"/>
          <w:left w:val="nil"/>
          <w:bottom w:val="nil"/>
          <w:right w:val="nil"/>
          <w:between w:val="nil"/>
          <w:bar w:val="nil"/>
        </w:pBdr>
        <w:spacing w:before="0" w:after="240"/>
        <w:rPr>
          <w:noProof/>
        </w:rPr>
      </w:pPr>
      <w:r>
        <w:rPr>
          <w:noProof/>
        </w:rPr>
        <w:t xml:space="preserve">Üldiselt tehakse erandeid piiratud ajavahemikuks, et oleks võimalik hinnata, kas erimeede on asjakohane ja tõhus, ning anda liikmesriikidele aega võtta vastu muid tavapäraseid meetmeid, et kõrvaldada probleem enne erandmeetme kehtivuse lõppemist. Erand, millega lubatakse kasutada pöördmaksustamist, tehakse ainult erandkorras konkreetsete pettusteriskiga valdkondade jaoks ning see on viimane abinõu. </w:t>
      </w:r>
    </w:p>
    <w:p>
      <w:pPr>
        <w:pBdr>
          <w:top w:val="nil"/>
          <w:left w:val="nil"/>
          <w:bottom w:val="nil"/>
          <w:right w:val="nil"/>
          <w:between w:val="nil"/>
          <w:bar w:val="nil"/>
        </w:pBdr>
        <w:spacing w:before="0" w:after="240"/>
      </w:pPr>
      <w:r>
        <w:rPr>
          <w:noProof/>
        </w:rPr>
        <w:t>Seetõttu peaks Rumeenia kuni selle erandi kehtivusaja lõpuni rakendama muid tavapäraseid meetmeid, et võidelda käibemaksupettuse edasise leviku vastu puidusektoris ja seda ära hoida. Selle tulemusena ei oleks kõnealuste tarnete osas vaja enam direktiivi 2006/112/EÜ artiklist 193 erandeid teha.</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Samasuguseid erandeid käibemaksudirektiivi artiklist 193 on tehtud ka teistele liikmesriikidele.</w:t>
      </w:r>
    </w:p>
    <w:p>
      <w:pPr>
        <w:pBdr>
          <w:top w:val="nil"/>
          <w:left w:val="nil"/>
          <w:bottom w:val="nil"/>
          <w:right w:val="nil"/>
          <w:between w:val="nil"/>
          <w:bar w:val="nil"/>
        </w:pBdr>
        <w:spacing w:before="0" w:after="240"/>
        <w:rPr>
          <w:rFonts w:eastAsia="Arial Unicode MS"/>
          <w:noProof/>
          <w:color w:val="000000" w:themeColor="text1"/>
        </w:rPr>
      </w:pPr>
      <w:r>
        <w:rPr>
          <w:noProof/>
        </w:rPr>
        <w:t xml:space="preserve">Kavandatud meede on seega kooskõlas käibemaksudirektiivi kehtivate sätetega.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Käibemaksudirektiivi artikkel 395.</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Pidades silmas ettepaneku aluseks olevat käibemaksudirektiivi sätet, ei kohaldata subsidiaarsuse põhimõtet.</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 xml:space="preserve">Otsus käsitleb liikmesriigile tema enda taotlusel antud luba ja sellega ei määrata mingeid kohustusi. </w:t>
      </w:r>
    </w:p>
    <w:p>
      <w:pPr>
        <w:rPr>
          <w:rFonts w:eastAsia="Arial Unicode MS"/>
          <w:noProof/>
        </w:rPr>
      </w:pPr>
      <w:r>
        <w:rPr>
          <w:noProof/>
        </w:rPr>
        <w:t>Erandi piiratud kohaldamisala arvestades on erimeede taotletava eesmärgiga proportsionaalne.</w:t>
      </w:r>
    </w:p>
    <w:p>
      <w:pPr>
        <w:pStyle w:val="ManualHeading2"/>
        <w:rPr>
          <w:rFonts w:eastAsia="Arial Unicode MS"/>
          <w:noProof/>
          <w:u w:color="000000"/>
          <w:bdr w:val="nil"/>
        </w:rPr>
      </w:pPr>
      <w:r>
        <w:rPr>
          <w:noProof/>
        </w:rPr>
        <w:t>•</w:t>
      </w:r>
      <w:r>
        <w:rPr>
          <w:noProof/>
        </w:rPr>
        <w:tab/>
        <w:t>Vahendi valik</w:t>
      </w:r>
    </w:p>
    <w:p>
      <w:pPr>
        <w:spacing w:before="0" w:after="240"/>
        <w:rPr>
          <w:rFonts w:eastAsia="Arial Unicode MS"/>
          <w:noProof/>
        </w:rPr>
      </w:pPr>
      <w:r>
        <w:rPr>
          <w:noProof/>
        </w:rPr>
        <w:t>Kavandatav vahend: nõukogu rakendusotsus.</w:t>
      </w:r>
    </w:p>
    <w:p>
      <w:pPr>
        <w:spacing w:before="0" w:after="240"/>
        <w:rPr>
          <w:rFonts w:eastAsia="Arial Unicode MS"/>
          <w:noProof/>
        </w:rPr>
      </w:pPr>
      <w:r>
        <w:rPr>
          <w:noProof/>
        </w:rPr>
        <w:t>Nõukogu direktiivi 2006/112/EÜ artikli 395 kohaselt on erandi tegemine ühistest käibemaksueeskirjadest võimalik vaid komisjoni ettepaneku põhjal nõukogus ühehäälselt antud loa alusel. Nõukogu rakendusotsus on kõige sobivam õigusakt, sest selle saab adresseerida konkreetsele liikmesriigile.</w:t>
      </w:r>
    </w:p>
    <w:p>
      <w:pPr>
        <w:pStyle w:val="ManualHeading1"/>
        <w:rPr>
          <w:noProof/>
        </w:rPr>
      </w:pPr>
      <w:r>
        <w:rPr>
          <w:noProof/>
        </w:rPr>
        <w:lastRenderedPageBreak/>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Käesolev ettepanek põhineb Rumeenia esitatud taotlusel ja käsitleb ainult kõnealust liikmesriiki.</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Välisekspertide arvamusi ei olnud vaja kasutada.</w:t>
      </w:r>
    </w:p>
    <w:p>
      <w:pPr>
        <w:pStyle w:val="ManualHeading2"/>
        <w:rPr>
          <w:rFonts w:eastAsia="Arial Unicode MS"/>
          <w:noProof/>
          <w:u w:color="000000"/>
          <w:bdr w:val="nil"/>
        </w:rPr>
      </w:pPr>
      <w:r>
        <w:rPr>
          <w:noProof/>
        </w:rPr>
        <w:t>•</w:t>
      </w:r>
      <w:r>
        <w:rPr>
          <w:noProof/>
        </w:rPr>
        <w:tab/>
        <w:t>Mõjuhinnang</w:t>
      </w:r>
    </w:p>
    <w:p>
      <w:pPr>
        <w:rPr>
          <w:noProof/>
        </w:rPr>
      </w:pPr>
      <w:r>
        <w:rPr>
          <w:noProof/>
        </w:rPr>
        <w:t>Nõukogu rakendusotsuse ettepaneku eesmärk on hoida ära teatavat liiki maksudest kõrvalehoidumist või maksustamise vältimist puidusektoris ning seega on sellel võimalik positiivne mõju, kuna selle abil jätkatakse selles puidusektoris varem kasutatud petuskeemide vältimist. Rumeenia esitatud andmete kohaselt ilmuksid meetme kohaldamisaja pikendamata jätmise korral need petuskeemid paratamatult uuesti kasutusele.</w:t>
      </w:r>
    </w:p>
    <w:p>
      <w:pPr>
        <w:rPr>
          <w:noProof/>
        </w:rPr>
      </w:pPr>
      <w:r>
        <w:rPr>
          <w:noProof/>
        </w:rPr>
        <w:t>Erandi kitsa reguleerimisala ja piiratud kohaldamisaja tõttu on selle mõju igal juhul piiratud.</w:t>
      </w:r>
    </w:p>
    <w:p>
      <w:pPr>
        <w:pStyle w:val="ManualHeading1"/>
        <w:rPr>
          <w:noProof/>
        </w:rPr>
      </w:pPr>
      <w:r>
        <w:rPr>
          <w:noProof/>
        </w:rPr>
        <w:t>4.</w:t>
      </w:r>
      <w:r>
        <w:rPr>
          <w:noProof/>
        </w:rPr>
        <w:tab/>
        <w:t>MÕJU EELARVELE</w:t>
      </w:r>
    </w:p>
    <w:p>
      <w:pPr>
        <w:rPr>
          <w:noProof/>
        </w:rPr>
      </w:pPr>
      <w:r>
        <w:rPr>
          <w:noProof/>
        </w:rPr>
        <w:t>Ettepanek ei mõjuta negatiivselt ELi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keepNext/>
        <w:tabs>
          <w:tab w:val="left" w:pos="850"/>
        </w:tabs>
        <w:ind w:left="850" w:hanging="850"/>
        <w:outlineLvl w:val="1"/>
        <w:rPr>
          <w:noProof/>
        </w:rPr>
      </w:pPr>
      <w:r>
        <w:rPr>
          <w:noProof/>
        </w:rPr>
        <w:t>Ettepanek on ajaliselt piiratud.</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2019/0144 (NLE)</w:t>
      </w:r>
    </w:p>
    <w:p>
      <w:pPr>
        <w:pStyle w:val="Statut"/>
        <w:rPr>
          <w:noProof/>
        </w:rPr>
      </w:pPr>
      <w:r>
        <w:rPr>
          <w:noProof/>
        </w:rPr>
        <w:t>Ettepanek:</w:t>
      </w:r>
    </w:p>
    <w:p>
      <w:pPr>
        <w:pStyle w:val="Typedudocument"/>
        <w:rPr>
          <w:noProof/>
        </w:rPr>
      </w:pPr>
      <w:r>
        <w:rPr>
          <w:noProof/>
        </w:rPr>
        <w:t>NÕUKOGU RAKENDUSOTSUS,</w:t>
      </w:r>
    </w:p>
    <w:p>
      <w:pPr>
        <w:pStyle w:val="Titreobjet"/>
        <w:rPr>
          <w:noProof/>
        </w:rPr>
      </w:pPr>
      <w:r>
        <w:rPr>
          <w:noProof/>
        </w:rPr>
        <w:t xml:space="preserve">millega muudetakse rakendusotsust 2013/676/EL, mille kohaselt lubatakse Rumeenial jätkuvalt kohaldada erimeedet, millega tehakse erand ühist käibemaksusüsteemi käsitleva direktiivi 2006/112/EÜ artiklist 193 </w:t>
      </w:r>
    </w:p>
    <w:p>
      <w:pPr>
        <w:pStyle w:val="Institutionquiagit"/>
        <w:rPr>
          <w:noProof/>
        </w:rPr>
      </w:pPr>
      <w:r>
        <w:rPr>
          <w:noProof/>
        </w:rPr>
        <w:t>EUROOPA LIIDU NÕUKOGU,</w:t>
      </w:r>
    </w:p>
    <w:p>
      <w:pPr>
        <w:rPr>
          <w:noProof/>
        </w:rPr>
      </w:pPr>
      <w:r>
        <w:rPr>
          <w:noProof/>
        </w:rPr>
        <w:t xml:space="preserve">võttes arvesse Euroopa Liidu toimimise lepingut, </w:t>
      </w:r>
    </w:p>
    <w:p>
      <w:pPr>
        <w:rPr>
          <w:noProof/>
        </w:rPr>
      </w:pPr>
      <w:r>
        <w:rPr>
          <w:noProof/>
        </w:rPr>
        <w:t>võttes arvesse nõukogu 28. novembri 2006. aasta direktiivi 2006/112/EÜ, mis käsitleb ühist käibemaksusüsteemi,</w:t>
      </w:r>
      <w:r>
        <w:rPr>
          <w:rStyle w:val="FootnoteReference"/>
          <w:noProof/>
        </w:rPr>
        <w:footnoteReference w:id="5"/>
      </w:r>
      <w:r>
        <w:rPr>
          <w:noProof/>
        </w:rPr>
        <w:t xml:space="preserve"> eriti selle artikli 395 lõiget 1,</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rakendusotsusega 2010/583/EL</w:t>
      </w:r>
      <w:r>
        <w:rPr>
          <w:rStyle w:val="FootnoteReference"/>
          <w:noProof/>
        </w:rPr>
        <w:footnoteReference w:id="6"/>
      </w:r>
      <w:r>
        <w:rPr>
          <w:noProof/>
        </w:rPr>
        <w:t xml:space="preserve"> ja seejärel nõukogu rakendusotsusega 2013/676/EL</w:t>
      </w:r>
      <w:r>
        <w:rPr>
          <w:rStyle w:val="FootnoteReference"/>
          <w:noProof/>
        </w:rPr>
        <w:footnoteReference w:id="7"/>
      </w:r>
      <w:r>
        <w:rPr>
          <w:noProof/>
        </w:rPr>
        <w:t xml:space="preserve"> lubati Rumeenial kohaldada erimeedet, millega määratakse puittoodete tarnete käibemaksu tasumise eest vastutavaks maksukohustuslane isik, kellele maksukohustuslased isikud kõnealuseid tarneid teevad. Rakendusotsusega 2013/676/EL antud luba pikendati nõukogu rakendusotsusega (EL) 2016/1206</w:t>
      </w:r>
      <w:r>
        <w:rPr>
          <w:rStyle w:val="FootnoteReference"/>
          <w:noProof/>
        </w:rPr>
        <w:footnoteReference w:id="8"/>
      </w:r>
      <w:r>
        <w:rPr>
          <w:noProof/>
        </w:rPr>
        <w:t xml:space="preserve"> kuni 31. detsembrini 2019.</w:t>
      </w:r>
    </w:p>
    <w:p>
      <w:pPr>
        <w:pStyle w:val="ManualConsidrant"/>
        <w:rPr>
          <w:noProof/>
        </w:rPr>
      </w:pPr>
      <w:r>
        <w:t>(2)</w:t>
      </w:r>
      <w:r>
        <w:tab/>
      </w:r>
      <w:r>
        <w:rPr>
          <w:noProof/>
        </w:rPr>
        <w:t>Komisjonis 11. märtsil 2019 registreeritud kirjaga taotles Rumeenia luba jätkata rakendusotsusega 2013/676/EL heaks kiidetud erimeetme kohaldamist. Taotlusele oli lisatud selle meetme kohaldamise aruanne, nagu on nõutud kõnealuse rakendusotsuse artikliga 3.</w:t>
      </w:r>
    </w:p>
    <w:p>
      <w:pPr>
        <w:pStyle w:val="ManualConsidrant"/>
        <w:rPr>
          <w:noProof/>
        </w:rPr>
      </w:pPr>
      <w:r>
        <w:t>(3)</w:t>
      </w:r>
      <w:r>
        <w:tab/>
      </w:r>
      <w:r>
        <w:rPr>
          <w:noProof/>
        </w:rPr>
        <w:t>Komisjon teavitas 9. aprill 2019. aasta kirjaga teisi liikmesriike Rumeenia taotlusest. Komisjon teatas 10. aprill 2019. aasta kirjaga Rumeeniale, et tal on taotluse hindamiseks kogu vajalik teave.</w:t>
      </w:r>
    </w:p>
    <w:p>
      <w:pPr>
        <w:pStyle w:val="ManualConsidrant"/>
        <w:rPr>
          <w:noProof/>
        </w:rPr>
      </w:pPr>
      <w:r>
        <w:t>(4)</w:t>
      </w:r>
      <w:r>
        <w:tab/>
      </w:r>
      <w:r>
        <w:rPr>
          <w:noProof/>
        </w:rPr>
        <w:t>Vastavalt teabele, mille Rumeenia esitas oma taotluses, ei ole erimeetme kohaldamise tinginud tegelik olukord muutunud. Lisaks näitab Rumeenia ametiasutuste tehtud analüüs, et meede on tõhusalt aidanud vähendada maksudest kõrvalehoidumist.</w:t>
      </w:r>
    </w:p>
    <w:p>
      <w:pPr>
        <w:pStyle w:val="ManualConsidrant"/>
        <w:rPr>
          <w:noProof/>
        </w:rPr>
      </w:pPr>
      <w:r>
        <w:t>(5)</w:t>
      </w:r>
      <w:r>
        <w:tab/>
      </w:r>
      <w:r>
        <w:rPr>
          <w:noProof/>
        </w:rPr>
        <w:t xml:space="preserve">Komisjon leiab, et erimeede on taotletavate eesmärkidega proportsionaalne, kuna see piirdub väga konkreetsete tegevusvaldkondadega sektoris, kus on märkimisväärseid probleeme maksudest kõrvalehoidumisega ja maksustamise vältimisega. Samuti leiab </w:t>
      </w:r>
      <w:r>
        <w:rPr>
          <w:noProof/>
        </w:rPr>
        <w:lastRenderedPageBreak/>
        <w:t>komisjon, et selle meetme jätkuv kohaldamine ei mõjutaks negatiivselt pettuste ärahoidmist jaemüügi tasandil, teistes sektorites ega teistes liikmesriikides.</w:t>
      </w:r>
    </w:p>
    <w:p>
      <w:pPr>
        <w:pStyle w:val="ManualConsidrant"/>
        <w:rPr>
          <w:noProof/>
        </w:rPr>
      </w:pPr>
      <w:r>
        <w:t>(6)</w:t>
      </w:r>
      <w:r>
        <w:tab/>
      </w:r>
      <w:r>
        <w:rPr>
          <w:noProof/>
        </w:rPr>
        <w:t>Seepärast tuleks anda Rumeeniale luba jätkata erimeetme kohaldamist veel ühe piiratud ajavahemiku jooksul kuni 31. detsembrini 2022.</w:t>
      </w:r>
    </w:p>
    <w:p>
      <w:pPr>
        <w:pStyle w:val="ManualConsidrant"/>
        <w:rPr>
          <w:noProof/>
        </w:rPr>
      </w:pPr>
      <w:r>
        <w:t>(7)</w:t>
      </w:r>
      <w:r>
        <w:tab/>
      </w:r>
      <w:r>
        <w:rPr>
          <w:noProof/>
        </w:rPr>
        <w:t>Üldiselt on erandid ajaliselt piiratud, et oleks võimalik hinnata erimeetmete asjakohasust ja tõhusust. Erandid annavad liikmesriikidele aega võtta kuni erimeetmete aegumiseni muid tavapäraseid meetmeid asjaomase probleemi kõrvaldamiseks. Erand, millega võimaldatakse kasutada pöördmaksustamist, tehakse üksnes erandkorras konkreetsetes valdkondades, kus esineb pettusi, ning see on viimane abinõu. Seepärast peaks Rumeenia kuni kõnealuse erandi kehtivuse lõppemiseni rakendama muid tavapäraseid meetmeid, mis aitavad võidelda käibemaksupettuse ja selle edasise leviku vastu puidu- ja puittoodetesektoris ning tänu millele ei oleks nende tarnete puhul enam vaja teha erandeid direktiivi 2006/112/EÜ artiklist 193. Seepärast ei ole praeguses etapis vaja lisada rakendusotsusesse 2013/676/EL erisätet edasiste taotluste kohta pikendada kõnealuse rakendusotsusega lubatud erandit 31. detsembrile 2022 järgnevaks ajaks.</w:t>
      </w:r>
    </w:p>
    <w:p>
      <w:pPr>
        <w:pStyle w:val="ManualConsidrant"/>
        <w:rPr>
          <w:noProof/>
        </w:rPr>
      </w:pPr>
      <w:r>
        <w:t>(8)</w:t>
      </w:r>
      <w:r>
        <w:tab/>
      </w:r>
      <w:r>
        <w:rPr>
          <w:noProof/>
        </w:rPr>
        <w:t>Meetmel, millega tehakse erand, puudub negatiivne mõju käibemaksust tulenevatele liidu omavahenditele.</w:t>
      </w:r>
    </w:p>
    <w:p>
      <w:pPr>
        <w:pStyle w:val="ManualConsidrant"/>
        <w:rPr>
          <w:noProof/>
        </w:rPr>
      </w:pPr>
      <w:r>
        <w:t>(9)</w:t>
      </w:r>
      <w:r>
        <w:tab/>
      </w:r>
      <w:r>
        <w:rPr>
          <w:noProof/>
        </w:rPr>
        <w:t>Seepärast tuleks rakendusotsust 2013/676/EL vastavalt muuta,</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Nõukogu rakendusotsust 2013/676/EL muudetakse järgmiselt:</w:t>
      </w:r>
    </w:p>
    <w:p>
      <w:pPr>
        <w:rPr>
          <w:noProof/>
        </w:rPr>
      </w:pPr>
      <w:r>
        <w:rPr>
          <w:noProof/>
        </w:rPr>
        <w:t>1) artiklis 1 asendatakse kuupäev „31. detsember 2019“ kuupäevaga „31. detsember 2022“;</w:t>
      </w:r>
    </w:p>
    <w:p>
      <w:pPr>
        <w:rPr>
          <w:noProof/>
        </w:rPr>
      </w:pPr>
      <w:r>
        <w:rPr>
          <w:noProof/>
        </w:rPr>
        <w:t>2) artikkel 3 jäetakse välja.</w:t>
      </w:r>
    </w:p>
    <w:p>
      <w:pPr>
        <w:pStyle w:val="Titrearticle"/>
        <w:rPr>
          <w:noProof/>
        </w:rPr>
      </w:pPr>
      <w:r>
        <w:rPr>
          <w:noProof/>
        </w:rPr>
        <w:t>Artikkel 2</w:t>
      </w:r>
    </w:p>
    <w:p>
      <w:pPr>
        <w:keepNext/>
        <w:keepLines/>
        <w:rPr>
          <w:noProof/>
        </w:rPr>
      </w:pPr>
      <w:r>
        <w:rPr>
          <w:noProof/>
        </w:rPr>
        <w:t>Käesolev otsus on adresseeritud Rumeeniale</w:t>
      </w:r>
      <w:r>
        <w:t>.</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347, 11.12.2006, lk 1.</w:t>
      </w:r>
    </w:p>
  </w:footnote>
  <w:footnote w:id="2">
    <w:p>
      <w:pPr>
        <w:pStyle w:val="FootnoteText"/>
      </w:pPr>
      <w:r>
        <w:rPr>
          <w:rStyle w:val="FootnoteReference"/>
        </w:rPr>
        <w:footnoteRef/>
      </w:r>
      <w:r>
        <w:tab/>
        <w:t>Nõukogu 27. septembri 2010. aasta rakendusotsus 2010/583/EL, mille kohaselt lubatakse Rumeenial kehtestada erimeede, millega tehakse erand direktiivi 2006/112/EÜ (mis käsitleb ühist käibemaksusüsteemi) artiklist 193 (ELT L 256, 30.9.2010, lk 27).</w:t>
      </w:r>
    </w:p>
  </w:footnote>
  <w:footnote w:id="3">
    <w:p>
      <w:pPr>
        <w:pStyle w:val="FootnoteText"/>
      </w:pPr>
      <w:r>
        <w:rPr>
          <w:rStyle w:val="FootnoteReference"/>
        </w:rPr>
        <w:footnoteRef/>
      </w:r>
      <w:r>
        <w:tab/>
        <w:t>Nõukogu 15. novembri 2013. aasta rakendusotsus 2013/676/EL, mille kohaselt lubatakse Rumeenial jätkuvalt kohaldada erimeedet, millega tehakse erand ühist käibemaksusüsteemi käsitleva direktiivi 2006/112/EÜ artiklist 193 (ELT L 316, 27.11.2013, lk 31).</w:t>
      </w:r>
    </w:p>
  </w:footnote>
  <w:footnote w:id="4">
    <w:p>
      <w:pPr>
        <w:pStyle w:val="FootnoteText"/>
      </w:pPr>
      <w:r>
        <w:rPr>
          <w:rStyle w:val="FootnoteReference"/>
        </w:rPr>
        <w:footnoteRef/>
      </w:r>
      <w:r>
        <w:tab/>
        <w:t>Nõukogu 18. juuli 2016. aasta rakendusotsus (EL) 2016/1206, millega muudetakse rakendusotsust 2013/676/EL, mille kohaselt lubatakse Rumeenial jätkuvalt kohaldada erimeedet, millega tehakse erand ühist käibemaksusüsteemi käsitleva direktiivi 2006/112/EÜ artiklist 193 (ELT L 198, 23.7.2016, lk 47).</w:t>
      </w:r>
    </w:p>
  </w:footnote>
  <w:footnote w:id="5">
    <w:p>
      <w:pPr>
        <w:pStyle w:val="FootnoteText"/>
      </w:pPr>
      <w:r>
        <w:rPr>
          <w:rStyle w:val="FootnoteReference"/>
        </w:rPr>
        <w:footnoteRef/>
      </w:r>
      <w:r>
        <w:tab/>
        <w:t>ELT L 347, 11.12.2006, lk 1.</w:t>
      </w:r>
    </w:p>
  </w:footnote>
  <w:footnote w:id="6">
    <w:p>
      <w:pPr>
        <w:pStyle w:val="FootnoteText"/>
      </w:pPr>
      <w:r>
        <w:rPr>
          <w:rStyle w:val="FootnoteReference"/>
        </w:rPr>
        <w:footnoteRef/>
      </w:r>
      <w:r>
        <w:tab/>
        <w:t>Nõukogu 27. septembri 2010. aasta rakendusotsus 2010/583/EL, mille kohaselt lubatakse Rumeenial kehtestada erimeede, millega tehakse erand direktiivi 2006/112/EÜ (mis käsitleb ühist käibemaksusüsteemi) artiklist 193 (ELT L 256, 30.9.2010, lk 27).</w:t>
      </w:r>
    </w:p>
  </w:footnote>
  <w:footnote w:id="7">
    <w:p>
      <w:pPr>
        <w:pStyle w:val="FootnoteText"/>
      </w:pPr>
      <w:r>
        <w:rPr>
          <w:rStyle w:val="FootnoteReference"/>
        </w:rPr>
        <w:footnoteRef/>
      </w:r>
      <w:r>
        <w:tab/>
        <w:t>Nõukogu 15. novembri 2013. aasta rakendusotsus 2013/676/EL, mille kohaselt lubatakse Rumeenial jätkuvalt kohaldada erimeedet, millega tehakse erand ühist käibemaksusüsteemi käsitleva direktiivi 2006/112/EÜ artiklist 193 (ELT L 316, 27.11.2013, lk 31).</w:t>
      </w:r>
    </w:p>
  </w:footnote>
  <w:footnote w:id="8">
    <w:p>
      <w:pPr>
        <w:pStyle w:val="FootnoteText"/>
      </w:pPr>
      <w:r>
        <w:rPr>
          <w:rStyle w:val="FootnoteReference"/>
        </w:rPr>
        <w:footnoteRef/>
      </w:r>
      <w:r>
        <w:tab/>
        <w:t>Nõukogu 18. juuli 2016. aasta rakendusotsus (EL) 2016/1206, millega muudetakse rakendusotsust 2013/676/EL, mille kohaselt lubatakse Rumeenial jätkuvalt kohaldada erimeedet, millega tehakse erand ühist käibemaksusüsteemi käsitleva direktiivi 2006/112/EÜ artiklist 193 (ELT L 198, 23.7.2016, lk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205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2C93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E239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6AF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6E71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FCE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FC41DA"/>
    <w:lvl w:ilvl="0">
      <w:start w:val="1"/>
      <w:numFmt w:val="decimal"/>
      <w:pStyle w:val="ListNumber"/>
      <w:lvlText w:val="%1."/>
      <w:lvlJc w:val="left"/>
      <w:pPr>
        <w:tabs>
          <w:tab w:val="num" w:pos="360"/>
        </w:tabs>
        <w:ind w:left="360" w:hanging="360"/>
      </w:pPr>
    </w:lvl>
  </w:abstractNum>
  <w:abstractNum w:abstractNumId="7">
    <w:nsid w:val="FFFFFF89"/>
    <w:multiLevelType w:val="singleLevel"/>
    <w:tmpl w:val="2F702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12:24: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E45DD62-C449-44F1-8D03-AAE08E80EEB2"/>
    <w:docVar w:name="LW_COVERPAGE_TYPE" w:val="1"/>
    <w:docVar w:name="LW_CROSSREFERENCE" w:val="&lt;UNUSED&gt;"/>
    <w:docVar w:name="LW_DocType" w:val="COM"/>
    <w:docVar w:name="LW_EMISSION" w:val="28.6.2019"/>
    <w:docVar w:name="LW_EMISSION_ISODATE" w:val="2019-06-28"/>
    <w:docVar w:name="LW_EMISSION_LOCATION" w:val="BRX"/>
    <w:docVar w:name="LW_EMISSION_PREFIX" w:val="Brüssel,"/>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144"/>
    <w:docVar w:name="LW_REF.II.NEW.CP_YEAR" w:val="2019"/>
    <w:docVar w:name="LW_REF.INST.NEW" w:val="COM"/>
    <w:docVar w:name="LW_REF.INST.NEW_ADOPTED" w:val="final"/>
    <w:docVar w:name="LW_REF.INST.NEW_TEXT" w:val="(2019)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rakendusotsust 2013/676/EL, mille kohaselt lubatakse Rumeenial jätkuvalt kohaldada erimeedet, millega tehakse erand ühist käibemaksusüsteemi käsitleva direktiivi 2006/112/EÜ artiklist 193 "/>
    <w:docVar w:name="LW_TYPE.DOC.CP" w:val="NÕUKOGU RAKENDUS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9562B7-7F19-4450-B3A1-0E84C92E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1096</Words>
  <Characters>8349</Characters>
  <Application>Microsoft Office Word</Application>
  <DocSecurity>0</DocSecurity>
  <Lines>151</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2019-06-12T14:18:00Z</dcterms:created>
  <dcterms:modified xsi:type="dcterms:W3CDTF">2019-06-24T10:24:00Z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