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CF0B13EF-9F8F-484C-A71F-2120BA36FA6A" style="width:450.9pt;height:365.8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rPr>
          <w:noProof/>
        </w:rPr>
      </w:pPr>
      <w:r>
        <w:rPr>
          <w:noProof/>
        </w:rPr>
        <w:t>Σύμφωνα με το άρθρο 395 παράγραφος 1 της οδηγίας 2006/112/ΕΚ, της 28ης Νοεμβρίου 2006, σχετικά με το κοινό σύστημα φόρου προστιθέμενης αξίας («η οδηγία ΦΠΑ»</w:t>
      </w:r>
      <w:r>
        <w:rPr>
          <w:rStyle w:val="FootnoteReference"/>
          <w:noProof/>
        </w:rPr>
        <w:footnoteReference w:id="1"/>
      </w:r>
      <w:r>
        <w:rPr>
          <w:noProof/>
        </w:rPr>
        <w:t>), το Συμβούλιο, αποφασίζοντας ομόφωνα έπειτα από πρόταση της Επιτροπής, μπορεί να επιτρέπει σε κάθε κράτος μέλος να θεσπίζει ειδικά μέτρα παρέκκλισης από τις διατάξεις της εν λόγω οδηγίας, για λόγους απλούστευσης των διαδικασιών επιβολής του ΦΠΑ ή πρόληψης ορισμένων τύπων φοροδιαφυγής ή φοροαποφυγής.</w:t>
      </w:r>
    </w:p>
    <w:p>
      <w:pPr>
        <w:rPr>
          <w:noProof/>
        </w:rPr>
      </w:pPr>
      <w:r>
        <w:rPr>
          <w:noProof/>
        </w:rPr>
        <w:t xml:space="preserve">Με επιστολή που πρωτοκολλήθηκε στην Επιτροπή στις 11 Μαρτίου 2019, η Ρουμανία ζήτησε την άδεια να συνεχίσει να εφαρμόζει μέτρο παρέκκλισης από το άρθρο 193 της οδηγίας ΦΠΑ, το οποίο ορίζει τον υπόχρεο καταβολής του ΦΠΑ. </w:t>
      </w:r>
    </w:p>
    <w:p>
      <w:pPr>
        <w:rPr>
          <w:noProof/>
        </w:rPr>
      </w:pPr>
      <w:r>
        <w:rPr>
          <w:noProof/>
        </w:rPr>
        <w:t>Σύμφωνα με το άρθρο 395 παράγραφος 2 της οδηγίας ΦΠΑ, η Επιτροπή ενημέρωσε τα άλλα κράτη μέλη, με επιστολές της 9ης Απριλίου 2019, σχετικά με το αίτημα που υπέβαλε η Ρουμανία. Με επιστολή της 10ης Απριλίου 2019, η Επιτροπή ενημέρωσε τη Ρουμανία ότι διέθετε όλες τις αναγκαίες πληροφορίες για την εξέταση του αιτήματος.</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Αιτιολόγηση και στόχοι της πρότασης</w:t>
      </w:r>
    </w:p>
    <w:p>
      <w:pPr>
        <w:pBdr>
          <w:top w:val="nil"/>
          <w:left w:val="nil"/>
          <w:bottom w:val="nil"/>
          <w:right w:val="nil"/>
          <w:between w:val="nil"/>
          <w:bar w:val="nil"/>
        </w:pBdr>
        <w:spacing w:before="0" w:after="240"/>
        <w:rPr>
          <w:rFonts w:eastAsia="Arial Unicode MS"/>
          <w:noProof/>
        </w:rPr>
      </w:pPr>
      <w:r>
        <w:rPr>
          <w:noProof/>
        </w:rPr>
        <w:t>Κατά γενικό κανόνα, το άρθρο 193 της οδηγίας ΦΠΑ ορίζει ότι ο υποκείμενος στον φόρο, ο οποίος πραγματοποιεί παράδοση αγαθών ή παροχή υπηρεσιών, κανονικά υποχρεούται να καταβάλλει ΦΠΑ.</w:t>
      </w:r>
    </w:p>
    <w:p>
      <w:pPr>
        <w:pBdr>
          <w:top w:val="nil"/>
          <w:left w:val="nil"/>
          <w:bottom w:val="nil"/>
          <w:right w:val="nil"/>
          <w:between w:val="nil"/>
          <w:bar w:val="nil"/>
        </w:pBdr>
        <w:spacing w:before="0" w:after="240"/>
        <w:rPr>
          <w:noProof/>
        </w:rPr>
      </w:pPr>
      <w:r>
        <w:rPr>
          <w:noProof/>
        </w:rPr>
        <w:t>Σύμφωνα με το άρθρο 395 της οδηγίας ΦΠΑ, τα κράτη μέλη μπορούν να θεσπίζουν μέτρα παρέκκλισης από τις διατάξεις της οδηγίας ΦΠΑ για λόγους απλούστευσης των διαδικασιών επιβολής του ΦΠΑ ή πρόληψης ορισμένων τύπων φοροδιαφυγής ή φοροαποφυγής, εφόσον έχουν εγκριθεί από το Συμβούλιο.</w:t>
      </w:r>
    </w:p>
    <w:p>
      <w:pPr>
        <w:rPr>
          <w:noProof/>
        </w:rPr>
      </w:pPr>
      <w:r>
        <w:rPr>
          <w:noProof/>
        </w:rPr>
        <w:t>Το 2009 η Ρουμανία ζήτησε παρέκκλιση προκειμένου να της επιτραπεί η εφαρμογή του μηχανισμού αντιστροφής της επιβάρυνσης, μεταξύ άλλων, για παραδόσεις προϊόντων ξύλου. Στο πλαίσιο της διαδικασίας αυτής, ο υποκείμενος στον φόρο προς τον οποίο πραγματοποιούνται οι παραδόσεις, καθίσταται υπόχρεος για την καταβολή του ΦΠΑ. Στα εν λόγω προϊόντα ξύλου περιλαμβάνονται, ειδικότερα, μη υλοτομημένη ξυλεία, ξυλεία κυκλικής διατομής ή πριστή ξυλεία για την παραγωγή τεχνουργημάτων, καυσόξυλα, προϊόντα ξυλείας, καθώς και ορθογωνικής διατομής ή λεπτομερώς τεμαχισμένη ξυλεία και ακατέργαστη, κατεργασμένη ή ημικατεργασμένη ξυλεία.</w:t>
      </w:r>
    </w:p>
    <w:p>
      <w:pPr>
        <w:rPr>
          <w:noProof/>
        </w:rPr>
      </w:pPr>
      <w:r>
        <w:rPr>
          <w:noProof/>
        </w:rPr>
        <w:t>Το εν λόγω αίτημα εγκρίθηκε με την εκτελεστική απόφαση 2010/583/ΕΕ του Συμβουλίου</w:t>
      </w:r>
      <w:r>
        <w:rPr>
          <w:rStyle w:val="FootnoteReference"/>
          <w:noProof/>
        </w:rPr>
        <w:footnoteReference w:id="2"/>
      </w:r>
      <w:r>
        <w:rPr>
          <w:noProof/>
        </w:rPr>
        <w:t xml:space="preserve"> έως τις 31 Δεκεμβρίου 2013 και, όσον αφορά τα προϊόντα ξύλου, εν συνεχεία παρατάθηκε με </w:t>
      </w:r>
      <w:r>
        <w:rPr>
          <w:noProof/>
        </w:rPr>
        <w:lastRenderedPageBreak/>
        <w:t>την εκτελεστική απόφαση 2013/676/ΕΕ του Συμβουλίου</w:t>
      </w:r>
      <w:r>
        <w:rPr>
          <w:rStyle w:val="FootnoteReference"/>
          <w:noProof/>
        </w:rPr>
        <w:footnoteReference w:id="3"/>
      </w:r>
      <w:r>
        <w:rPr>
          <w:noProof/>
        </w:rPr>
        <w:t xml:space="preserve"> έως τις 31 Δεκεμβρίου 2016 και με την εκτελεστική απόφαση (ΕΕ) 2016/1206 του Συμβουλίου</w:t>
      </w:r>
      <w:r>
        <w:rPr>
          <w:rStyle w:val="FootnoteReference"/>
          <w:noProof/>
        </w:rPr>
        <w:footnoteReference w:id="4"/>
      </w:r>
      <w:r>
        <w:rPr>
          <w:noProof/>
        </w:rPr>
        <w:t xml:space="preserve"> έως τις 31 Δεκεμβρίου 2019. </w:t>
      </w:r>
    </w:p>
    <w:p>
      <w:pPr>
        <w:rPr>
          <w:noProof/>
        </w:rPr>
      </w:pPr>
      <w:r>
        <w:rPr>
          <w:noProof/>
        </w:rPr>
        <w:t>Η Ρουμανία αιτείται τώρα εκ νέου παράταση της παρέκκλισης όσον αφορά την εφαρμογή του μηχανισμού αντιστροφής της επιβάρυνσης στις παραδόσεις των εν λόγω προϊόντων ξύλου.</w:t>
      </w:r>
    </w:p>
    <w:p>
      <w:pPr>
        <w:rPr>
          <w:noProof/>
        </w:rPr>
      </w:pPr>
      <w:r>
        <w:rPr>
          <w:noProof/>
        </w:rPr>
        <w:t>Με βάση την έκθεση που προσκόμισε η Ρουμανία, την οποία υπέβαλε μαζί με την αίτηση παράτασης του μέτρου, ο ορισμός του λήπτη ως υπόχρεου για την καταβολή του ΦΠΑ για τις παραδόσεις των προαναφερόμενων προϊόντων ξύλου είχε ως αποτέλεσμα την πρόληψη της φοροαποφυγής και της φοροδιαφυγής σ’ αυτόν τον τομέα που χαρακτηρίζεται από μεγάλο αριθμό μικρών μεταπωλητών και διαμεσολαβητών, των οποίων ο έλεγχος έχει αποδειχθεί δύσκολος. Η παράταση για ένα ακόμη χρονικά περιορισμένο διάστημα, φαίνεται, επομένως, δικαιολογημένη, καθώς, από ό,τι φαίνεται, το μέτρο δεν είχε αρνητικό αντίκτυπο στην απάτη σε επίπεδο λιανικής, σε άλλους τομείς ή σε άλλα κράτη μέλη. Λαμβανομένης υπόψη της αμετάβλητης νομικής και πραγματικής κατάστασης, προτείνεται, συνεπώς, να παραταθεί το μέτρο παρέκκλισης, και να επιτραπεί στη Ρουμανία να συνεχίσει να εφαρμόζει το εν λόγω μέτρο παρέκκλισης έως τις 31 Δεκεμβρίου 2022.</w:t>
      </w:r>
    </w:p>
    <w:p>
      <w:pPr>
        <w:pBdr>
          <w:top w:val="nil"/>
          <w:left w:val="nil"/>
          <w:bottom w:val="nil"/>
          <w:right w:val="nil"/>
          <w:between w:val="nil"/>
          <w:bar w:val="nil"/>
        </w:pBdr>
        <w:spacing w:before="0" w:after="240"/>
        <w:rPr>
          <w:noProof/>
        </w:rPr>
      </w:pPr>
      <w:r>
        <w:rPr>
          <w:noProof/>
        </w:rPr>
        <w:t xml:space="preserve">Οι παρεκκλίσεις κατά κανόνα χορηγούνται για περιορισμένο χρονικό διάστημα ούτως ώστε να παρέχεται η δυνατότητα αξιολόγησης του κατά πόσον το ειδικό μέτρο είναι κατάλληλο και αποτελεσματικό, και να παρέχεται στα κράτη μέλη χρόνος για να θεσπίζουν άλλα συμβατικά μέτρα για την αντιμετώπιση του εκάστοτε προβλήματος μέχρι τη λήξη του μέτρου παρέκκλισης. Παρέκκλιση που επιτρέπει τη χρήση του μηχανισμού αντιστροφής της επιβάρυνσης χορηγείται μόνο κατ’ εξαίρεση για συγκεκριμένους τομείς όπου διαπράττεται απάτη και αποτελεί έσχατο μέσο. </w:t>
      </w:r>
    </w:p>
    <w:p>
      <w:pPr>
        <w:pBdr>
          <w:top w:val="nil"/>
          <w:left w:val="nil"/>
          <w:bottom w:val="nil"/>
          <w:right w:val="nil"/>
          <w:between w:val="nil"/>
          <w:bar w:val="nil"/>
        </w:pBdr>
        <w:spacing w:before="0" w:after="240"/>
      </w:pPr>
      <w:r>
        <w:rPr>
          <w:noProof/>
        </w:rPr>
        <w:t>Ως εκ τούτου, έως τη λήξη της εν λόγω παρέκκλισης, η Ρουμανία θα πρέπει να εφαρμόσει άλλα συμβατικά μέτρα για την καταπολέμηση και την πρόληψη της περαιτέρω εξάπλωσης της απάτης σε θέματα ΦΠΑ στον τομέα της ξυλείας. Κατά συνέπεια, δεν θα πρέπει πλέον να υπάρχει ανάγκη παρέκκλισης από το άρθρο 193 της οδηγίας 2006/112/ΕΚ όσον αφορά τις εν λόγω παραδόσεις.</w:t>
      </w:r>
    </w:p>
    <w:p>
      <w:pPr>
        <w:pStyle w:val="ManualHeading2"/>
        <w:rPr>
          <w:rFonts w:eastAsia="Arial Unicode MS"/>
          <w:noProof/>
          <w:color w:val="000000"/>
          <w:u w:color="000000"/>
          <w:bdr w:val="nil"/>
        </w:rPr>
      </w:pPr>
      <w:r>
        <w:rPr>
          <w:noProof/>
          <w:color w:val="000000"/>
          <w:u w:color="000000"/>
          <w:bdr w:val="nil"/>
        </w:rPr>
        <w:t>•</w:t>
      </w:r>
      <w:r>
        <w:rPr>
          <w:noProof/>
          <w:color w:val="000000"/>
          <w:u w:color="000000"/>
          <w:bdr w:val="nil"/>
        </w:rPr>
        <w:tab/>
      </w:r>
      <w:r>
        <w:rPr>
          <w:noProof/>
        </w:rPr>
        <w:t>Συνέπεια με τις ισχύουσες διατάξεις στον τομέα πολιτικής</w:t>
      </w:r>
    </w:p>
    <w:p>
      <w:pPr>
        <w:pBdr>
          <w:top w:val="nil"/>
          <w:left w:val="nil"/>
          <w:bottom w:val="nil"/>
          <w:right w:val="nil"/>
          <w:between w:val="nil"/>
          <w:bar w:val="nil"/>
        </w:pBdr>
        <w:spacing w:before="0" w:after="240"/>
        <w:rPr>
          <w:rFonts w:eastAsia="Arial Unicode MS"/>
          <w:noProof/>
        </w:rPr>
      </w:pPr>
      <w:r>
        <w:rPr>
          <w:noProof/>
        </w:rPr>
        <w:t>Παρόμοιες παρεκκλίσεις σε σχέση με το άρθρο 193 της οδηγίας ΦΠΑ έχουν χορηγηθεί και σε άλλα κράτη μέλη.</w:t>
      </w:r>
    </w:p>
    <w:p>
      <w:pPr>
        <w:pBdr>
          <w:top w:val="nil"/>
          <w:left w:val="nil"/>
          <w:bottom w:val="nil"/>
          <w:right w:val="nil"/>
          <w:between w:val="nil"/>
          <w:bar w:val="nil"/>
        </w:pBdr>
        <w:spacing w:before="0" w:after="240"/>
        <w:rPr>
          <w:rFonts w:eastAsia="Arial Unicode MS"/>
          <w:noProof/>
          <w:color w:val="000000" w:themeColor="text1"/>
        </w:rPr>
      </w:pPr>
      <w:r>
        <w:rPr>
          <w:noProof/>
        </w:rPr>
        <w:t xml:space="preserve">Συνεπώς, το προτεινόμενο μέτρο είναι σύμφωνο με τις υφιστάμενες διατάξεις της οδηγίας ΦΠΑ. </w:t>
      </w:r>
    </w:p>
    <w:p>
      <w:pPr>
        <w:pStyle w:val="ManualHeading1"/>
        <w:rPr>
          <w:noProof/>
        </w:rPr>
      </w:pPr>
      <w:r>
        <w:rPr>
          <w:noProof/>
        </w:rPr>
        <w:t>2.</w:t>
      </w:r>
      <w:r>
        <w:rPr>
          <w:noProof/>
        </w:rPr>
        <w:tab/>
        <w:t>ΝΟΜΙΚΗ ΒΑΣΗ, ΕΠΙΚΟΥΡΙΚΟΤΗΤΑ ΚΑΙ ΑΝΑΛΟΓΙΚΟΤΗΤΑ</w:t>
      </w:r>
    </w:p>
    <w:p>
      <w:pPr>
        <w:pStyle w:val="ManualHeading2"/>
        <w:rPr>
          <w:rFonts w:eastAsia="Arial Unicode MS"/>
          <w:noProof/>
          <w:u w:color="000000"/>
          <w:bdr w:val="nil"/>
        </w:rPr>
      </w:pPr>
      <w:r>
        <w:rPr>
          <w:noProof/>
          <w:u w:color="000000"/>
          <w:bdr w:val="nil"/>
        </w:rPr>
        <w:t>•</w:t>
      </w:r>
      <w:r>
        <w:rPr>
          <w:noProof/>
          <w:u w:color="000000"/>
          <w:bdr w:val="nil"/>
        </w:rPr>
        <w:tab/>
        <w:t>Νομική βάση</w:t>
      </w:r>
    </w:p>
    <w:p>
      <w:pPr>
        <w:pBdr>
          <w:top w:val="nil"/>
          <w:left w:val="nil"/>
          <w:bottom w:val="nil"/>
          <w:right w:val="nil"/>
          <w:between w:val="nil"/>
          <w:bar w:val="nil"/>
        </w:pBdr>
        <w:spacing w:before="0" w:after="240"/>
        <w:rPr>
          <w:rFonts w:eastAsia="Arial Unicode MS"/>
          <w:noProof/>
        </w:rPr>
      </w:pPr>
      <w:r>
        <w:rPr>
          <w:noProof/>
        </w:rPr>
        <w:t>Άρθρο 395 της οδηγίας ΦΠΑ.</w:t>
      </w:r>
    </w:p>
    <w:p>
      <w:pPr>
        <w:pStyle w:val="ManualHeading2"/>
        <w:rPr>
          <w:rFonts w:eastAsia="Arial Unicode MS"/>
          <w:noProof/>
          <w:u w:color="000000"/>
          <w:bdr w:val="nil"/>
        </w:rPr>
      </w:pPr>
      <w:r>
        <w:rPr>
          <w:noProof/>
          <w:u w:color="000000"/>
          <w:bdr w:val="nil"/>
        </w:rPr>
        <w:lastRenderedPageBreak/>
        <w:t>•</w:t>
      </w:r>
      <w:r>
        <w:rPr>
          <w:noProof/>
          <w:u w:color="000000"/>
          <w:bdr w:val="nil"/>
        </w:rPr>
        <w:tab/>
        <w:t xml:space="preserve">Επικουρικότητα (σε περίπτωση μη αποκλειστικής αρμοδιότητας) </w:t>
      </w:r>
    </w:p>
    <w:p>
      <w:pPr>
        <w:pBdr>
          <w:top w:val="nil"/>
          <w:left w:val="nil"/>
          <w:bottom w:val="nil"/>
          <w:right w:val="nil"/>
          <w:between w:val="nil"/>
          <w:bar w:val="nil"/>
        </w:pBdr>
        <w:spacing w:before="0" w:after="240"/>
        <w:rPr>
          <w:rFonts w:eastAsia="Arial Unicode MS"/>
          <w:noProof/>
        </w:rPr>
      </w:pPr>
      <w:r>
        <w:rPr>
          <w:noProof/>
        </w:rPr>
        <w:t>Λαμβανομένης υπόψη της διάταξης της οδηγίας ΦΠΑ στην οποία βασίζεται η πρόταση, δεν εφαρμόζεται η αρχή της επικουρικότητας.</w:t>
      </w:r>
    </w:p>
    <w:p>
      <w:pPr>
        <w:pStyle w:val="ManualHeading2"/>
        <w:rPr>
          <w:rFonts w:eastAsia="Arial Unicode MS"/>
          <w:noProof/>
          <w:u w:color="000000"/>
          <w:bdr w:val="nil"/>
        </w:rPr>
      </w:pPr>
      <w:r>
        <w:rPr>
          <w:noProof/>
          <w:u w:color="000000"/>
          <w:bdr w:val="nil"/>
        </w:rPr>
        <w:t>•</w:t>
      </w:r>
      <w:r>
        <w:rPr>
          <w:noProof/>
          <w:u w:color="000000"/>
          <w:bdr w:val="nil"/>
        </w:rPr>
        <w:tab/>
        <w:t>Αναλογικότητα</w:t>
      </w:r>
    </w:p>
    <w:p>
      <w:pPr>
        <w:pBdr>
          <w:top w:val="nil"/>
          <w:left w:val="nil"/>
          <w:bottom w:val="nil"/>
          <w:right w:val="nil"/>
          <w:between w:val="nil"/>
          <w:bar w:val="nil"/>
        </w:pBdr>
        <w:spacing w:before="0" w:after="240"/>
        <w:rPr>
          <w:noProof/>
        </w:rPr>
      </w:pPr>
      <w:r>
        <w:rPr>
          <w:noProof/>
        </w:rPr>
        <w:t xml:space="preserve">Η απόφαση αφορά άδεια που χορηγείται σε κράτος μέλος κατόπιν αιτήματός του και ουδόλως συνιστά υποχρέωση. </w:t>
      </w:r>
    </w:p>
    <w:p>
      <w:pPr>
        <w:rPr>
          <w:rFonts w:eastAsia="Arial Unicode MS"/>
          <w:noProof/>
        </w:rPr>
      </w:pPr>
      <w:r>
        <w:rPr>
          <w:noProof/>
        </w:rPr>
        <w:t>Δεδομένου του περιορισμένου πεδίου εφαρμογής της παρέκκλισης, το ειδικό μέτρο είναι ανάλογο με τον επιδιωκόμενο σκοπό.</w:t>
      </w:r>
    </w:p>
    <w:p>
      <w:pPr>
        <w:pStyle w:val="ManualHeading2"/>
        <w:rPr>
          <w:rFonts w:eastAsia="Arial Unicode MS"/>
          <w:noProof/>
          <w:u w:color="000000"/>
          <w:bdr w:val="nil"/>
        </w:rPr>
      </w:pPr>
      <w:r>
        <w:rPr>
          <w:noProof/>
          <w:u w:color="000000"/>
          <w:bdr w:val="nil"/>
        </w:rPr>
        <w:t>•</w:t>
      </w:r>
      <w:r>
        <w:rPr>
          <w:noProof/>
          <w:u w:color="000000"/>
          <w:bdr w:val="nil"/>
        </w:rPr>
        <w:tab/>
        <w:t>Επιλογή της νομικής πράξης</w:t>
      </w:r>
    </w:p>
    <w:p>
      <w:pPr>
        <w:spacing w:before="0" w:after="240"/>
        <w:rPr>
          <w:rFonts w:eastAsia="Arial Unicode MS"/>
          <w:noProof/>
        </w:rPr>
      </w:pPr>
      <w:r>
        <w:rPr>
          <w:noProof/>
        </w:rPr>
        <w:t>Προτεινόμενη νομική πράξη: εκτελεστική απόφαση του Συμβουλίου.</w:t>
      </w:r>
    </w:p>
    <w:p>
      <w:pPr>
        <w:spacing w:before="0" w:after="240"/>
        <w:rPr>
          <w:rFonts w:eastAsia="Arial Unicode MS"/>
          <w:noProof/>
        </w:rPr>
      </w:pPr>
      <w:r>
        <w:rPr>
          <w:noProof/>
        </w:rPr>
        <w:t>Βάσει του άρθρου 395 της οδηγίας 2006/112/ΕΚ του Συμβουλίου, η παρέκκλιση από τις κοινές διατάξεις ΦΠΑ είναι δυνατή μόνο με την έγκριση του Συμβουλίου, το οποίο αποφασίζει ομόφωνα έπειτα από πρόταση της Επιτροπής. Η εκτελεστική απόφαση του Συμβουλίου είναι η καταλληλότερη νομική πράξη, διότι μπορεί να απευθύνεται σε μεμονωμένο κράτος μέλος.</w:t>
      </w:r>
    </w:p>
    <w:p>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pPr>
        <w:pStyle w:val="ManualHeading2"/>
        <w:rPr>
          <w:rFonts w:eastAsia="Arial Unicode MS"/>
          <w:noProof/>
          <w:u w:color="000000"/>
          <w:bdr w:val="nil"/>
        </w:rPr>
      </w:pPr>
      <w:r>
        <w:rPr>
          <w:noProof/>
          <w:u w:color="000000"/>
          <w:bdr w:val="nil"/>
        </w:rPr>
        <w:t>•</w:t>
      </w:r>
      <w:r>
        <w:rPr>
          <w:noProof/>
          <w:u w:color="000000"/>
          <w:bdr w:val="nil"/>
        </w:rPr>
        <w:tab/>
        <w:t>Διαβουλεύσεις με τα ενδιαφερόμενα μέρη</w:t>
      </w:r>
    </w:p>
    <w:p>
      <w:pPr>
        <w:pBdr>
          <w:top w:val="nil"/>
          <w:left w:val="nil"/>
          <w:bottom w:val="nil"/>
          <w:right w:val="nil"/>
          <w:between w:val="nil"/>
          <w:bar w:val="nil"/>
        </w:pBdr>
        <w:spacing w:before="0" w:after="240"/>
        <w:rPr>
          <w:rFonts w:eastAsia="Arial Unicode MS"/>
          <w:noProof/>
        </w:rPr>
      </w:pPr>
      <w:r>
        <w:rPr>
          <w:noProof/>
        </w:rPr>
        <w:t>Η παρούσα πρόταση βασίζεται σε αίτημα της Ρουμανίας και αφορά μόνο το εν λόγω κράτος μέλος.</w:t>
      </w:r>
    </w:p>
    <w:p>
      <w:pPr>
        <w:pStyle w:val="ManualHeading2"/>
        <w:rPr>
          <w:rFonts w:eastAsia="Arial Unicode MS"/>
          <w:noProof/>
          <w:u w:color="000000"/>
          <w:bdr w:val="nil"/>
        </w:rPr>
      </w:pPr>
      <w:r>
        <w:rPr>
          <w:noProof/>
          <w:u w:color="000000"/>
          <w:bdr w:val="nil"/>
        </w:rPr>
        <w:t>•</w:t>
      </w:r>
      <w:r>
        <w:rPr>
          <w:noProof/>
          <w:u w:color="000000"/>
          <w:bdr w:val="nil"/>
        </w:rPr>
        <w:tab/>
        <w:t>Συλλογή και χρήση εμπειρογνωσίας</w:t>
      </w:r>
    </w:p>
    <w:p>
      <w:pPr>
        <w:pBdr>
          <w:top w:val="nil"/>
          <w:left w:val="nil"/>
          <w:bottom w:val="nil"/>
          <w:right w:val="nil"/>
          <w:between w:val="nil"/>
          <w:bar w:val="nil"/>
        </w:pBdr>
        <w:spacing w:before="0" w:after="240"/>
        <w:rPr>
          <w:rFonts w:eastAsia="Arial Unicode MS"/>
          <w:noProof/>
        </w:rPr>
      </w:pPr>
      <w:r>
        <w:rPr>
          <w:noProof/>
        </w:rPr>
        <w:t>Δεν υπήρξε ανάγκη εξωτερικής εμπειρογνωσίας.</w:t>
      </w:r>
    </w:p>
    <w:p>
      <w:pPr>
        <w:pStyle w:val="ManualHeading2"/>
        <w:rPr>
          <w:rFonts w:eastAsia="Arial Unicode MS"/>
          <w:noProof/>
          <w:u w:color="000000"/>
          <w:bdr w:val="nil"/>
        </w:rPr>
      </w:pPr>
      <w:r>
        <w:rPr>
          <w:noProof/>
          <w:u w:color="000000"/>
          <w:bdr w:val="nil"/>
        </w:rPr>
        <w:t>•</w:t>
      </w:r>
      <w:r>
        <w:rPr>
          <w:noProof/>
          <w:u w:color="000000"/>
          <w:bdr w:val="nil"/>
        </w:rPr>
        <w:tab/>
        <w:t>Εκτίμηση επιπτώσεων</w:t>
      </w:r>
    </w:p>
    <w:p>
      <w:pPr>
        <w:rPr>
          <w:noProof/>
        </w:rPr>
      </w:pPr>
      <w:r>
        <w:rPr>
          <w:noProof/>
        </w:rPr>
        <w:t>Η πρόταση εκτελεστικής απόφασης του Συμβουλίου αποσκοπεί στην παρεμπόδιση ορισμένων μορφών φοροδιαφυγής και φοροαποφυγής στον τομέα του ξύλου και, συνεπώς, έχει δυνητικά θετικό αντίκτυπο, δεδομένου ότι θα συνεχίσει να εμποδίζει την προσφυγή σε μηχανισμούς απάτης που εφαρμόζονταν προηγουμένως στον εν λόγω τομέα του ξύλου. Η μη επέκταση του μέτρου, κατά τη Ρουμανία, θα οδηγήσει αναπόφευκτα σε αναζωογόνηση των εν λόγω μηχανισμών.</w:t>
      </w:r>
    </w:p>
    <w:p>
      <w:pPr>
        <w:rPr>
          <w:noProof/>
        </w:rPr>
      </w:pPr>
      <w:r>
        <w:rPr>
          <w:noProof/>
        </w:rPr>
        <w:t>Ωστόσο, λόγω του περιορισμένου πεδίου εφαρμογής της παρέκκλισης και της περιορισμένης χρονικής εφαρμογής της, οι επιπτώσεις θα είναι ούτως ή άλλως περιορισμένες.</w:t>
      </w:r>
    </w:p>
    <w:p>
      <w:pPr>
        <w:pStyle w:val="ManualHeading1"/>
        <w:rPr>
          <w:noProof/>
        </w:rPr>
      </w:pPr>
      <w:r>
        <w:rPr>
          <w:noProof/>
        </w:rPr>
        <w:t>4.</w:t>
      </w:r>
      <w:r>
        <w:rPr>
          <w:noProof/>
        </w:rPr>
        <w:tab/>
        <w:t>ΔΗΜΟΣΙΟΝΟΜΙΚΕΣ ΕΠΙΠΤΩΣΕΙΣ</w:t>
      </w:r>
    </w:p>
    <w:p>
      <w:pPr>
        <w:rPr>
          <w:noProof/>
        </w:rPr>
      </w:pPr>
      <w:r>
        <w:rPr>
          <w:noProof/>
        </w:rPr>
        <w:t>Η πρόταση δεν έχει αρνητικές επιπτώσεις στον προϋπολογισμό της ΕΕ.</w:t>
      </w:r>
    </w:p>
    <w:p>
      <w:pPr>
        <w:pStyle w:val="ManualHeading1"/>
        <w:rPr>
          <w:noProof/>
        </w:rPr>
      </w:pPr>
      <w:r>
        <w:rPr>
          <w:noProof/>
        </w:rPr>
        <w:lastRenderedPageBreak/>
        <w:t>5.</w:t>
      </w:r>
      <w:r>
        <w:rPr>
          <w:noProof/>
        </w:rPr>
        <w:tab/>
        <w:t>ΛΟΙΠΑ ΣΤΟΙΧΕΙΑ</w:t>
      </w:r>
    </w:p>
    <w:p>
      <w:pPr>
        <w:pStyle w:val="ManualHeading2"/>
        <w:rPr>
          <w:rFonts w:eastAsia="Arial Unicode MS"/>
          <w:noProof/>
          <w:u w:color="000000"/>
          <w:bdr w:val="nil"/>
        </w:rPr>
      </w:pPr>
      <w:r>
        <w:rPr>
          <w:noProof/>
          <w:u w:color="000000"/>
          <w:bdr w:val="nil"/>
        </w:rPr>
        <w:t>•</w:t>
      </w:r>
      <w:r>
        <w:rPr>
          <w:noProof/>
          <w:u w:color="000000"/>
          <w:bdr w:val="nil"/>
        </w:rPr>
        <w:tab/>
        <w:t>Σχέδια εφαρμογής και ρυθμίσεις παρακολούθησης, αξιολόγησης και υποβολής εκθέσεων</w:t>
      </w:r>
    </w:p>
    <w:p>
      <w:pPr>
        <w:keepNext/>
        <w:tabs>
          <w:tab w:val="left" w:pos="850"/>
        </w:tabs>
        <w:ind w:left="850" w:hanging="850"/>
        <w:outlineLvl w:val="1"/>
        <w:rPr>
          <w:noProof/>
        </w:rPr>
      </w:pPr>
      <w:r>
        <w:rPr>
          <w:noProof/>
        </w:rPr>
        <w:t>Η πρόταση περιορίζεται χρονικά.</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2019/0144 (NLE)</w:t>
      </w:r>
    </w:p>
    <w:p>
      <w:pPr>
        <w:pStyle w:val="Statut"/>
        <w:rPr>
          <w:noProof/>
        </w:rPr>
      </w:pPr>
      <w:r>
        <w:rPr>
          <w:noProof/>
        </w:rPr>
        <w:t>Πρόταση</w:t>
      </w:r>
    </w:p>
    <w:p>
      <w:pPr>
        <w:pStyle w:val="Typedudocument"/>
        <w:rPr>
          <w:noProof/>
        </w:rPr>
      </w:pPr>
      <w:r>
        <w:rPr>
          <w:noProof/>
        </w:rPr>
        <w:t>EKTEΛΕΣΤΙΚΗ ΑΠΟΦΑΣΗ ΤΟΥ ΣΥΜΒΟΥΛΙΟΥ</w:t>
      </w:r>
    </w:p>
    <w:p>
      <w:pPr>
        <w:pStyle w:val="Titreobjet"/>
        <w:rPr>
          <w:noProof/>
        </w:rPr>
      </w:pPr>
      <w:r>
        <w:rPr>
          <w:noProof/>
        </w:rPr>
        <w:t xml:space="preserve">για την τροποποίηση της εκτελεστικής απόφασης 2013/676/ΕΕ με την οποία επιτρέπεται στη Ρουμανία να συνεχίσει την εφαρμογή ειδικού μέτρου παρέκκλισης από το άρθρο 193 της οδηγίας 2006/112/ΕΚ σχετικά με το κοινό σύστημα φόρου προστιθεμένης αξίας </w:t>
      </w:r>
    </w:p>
    <w:p>
      <w:pPr>
        <w:pStyle w:val="Institutionquiagit"/>
        <w:rPr>
          <w:noProof/>
        </w:rPr>
      </w:pPr>
      <w:r>
        <w:rPr>
          <w:noProof/>
        </w:rPr>
        <w:t>ΤΟ ΣΥΜΒΟΥΛΙΟ ΤΗΣ ΕΥΡΩΠΑΪΚΗΣ ΕΝΩΣΗΣ,</w:t>
      </w:r>
    </w:p>
    <w:p>
      <w:pPr>
        <w:rPr>
          <w:noProof/>
        </w:rPr>
      </w:pPr>
      <w:r>
        <w:rPr>
          <w:noProof/>
        </w:rPr>
        <w:t xml:space="preserve">Έχοντας υπόψη τη Συνθήκη για τη λειτουργία της Ευρωπαϊκής Ένωσης, </w:t>
      </w:r>
    </w:p>
    <w:p>
      <w:pPr>
        <w:rPr>
          <w:noProof/>
        </w:rPr>
      </w:pPr>
      <w:r>
        <w:rPr>
          <w:noProof/>
        </w:rPr>
        <w:t>Έχοντας υπόψη την οδηγία 2006/112/ΕΚ του Συμβουλίου, της 28ης Νοεμβρίου 2006, σχετικά με το κοινό σύστημα φόρου προστιθέμενης αξίας</w:t>
      </w:r>
      <w:r>
        <w:rPr>
          <w:rStyle w:val="FootnoteReference"/>
          <w:noProof/>
        </w:rPr>
        <w:footnoteReference w:id="5"/>
      </w:r>
      <w:r>
        <w:rPr>
          <w:noProof/>
        </w:rPr>
        <w:t>, και ιδίως το άρθρο 395 παράγραφος 1,</w:t>
      </w:r>
    </w:p>
    <w:p>
      <w:pPr>
        <w:rPr>
          <w:noProof/>
        </w:rPr>
      </w:pPr>
      <w:r>
        <w:rPr>
          <w:noProof/>
        </w:rPr>
        <w:t>Έχοντας υπόψη την πρόταση της Ευρωπαϊκής Επιτροπής,</w:t>
      </w:r>
    </w:p>
    <w:p>
      <w:pPr>
        <w:rPr>
          <w:noProof/>
        </w:rPr>
      </w:pPr>
      <w:r>
        <w:rPr>
          <w:noProof/>
        </w:rPr>
        <w:t>Εκτιμώντας τα ακόλουθα:</w:t>
      </w:r>
    </w:p>
    <w:p>
      <w:pPr>
        <w:pStyle w:val="ManualConsidrant"/>
        <w:rPr>
          <w:noProof/>
        </w:rPr>
      </w:pPr>
      <w:r>
        <w:t>(1)</w:t>
      </w:r>
      <w:r>
        <w:tab/>
      </w:r>
      <w:r>
        <w:rPr>
          <w:noProof/>
        </w:rPr>
        <w:t>Με την εκτελεστική απόφαση 2010/583/ΕΕ του Συμβουλίου</w:t>
      </w:r>
      <w:r>
        <w:rPr>
          <w:rStyle w:val="FootnoteReference"/>
          <w:noProof/>
        </w:rPr>
        <w:footnoteReference w:id="6"/>
      </w:r>
      <w:r>
        <w:rPr>
          <w:noProof/>
        </w:rPr>
        <w:t xml:space="preserve"> και, στη συνέχεια, με την εκτελεστική απόφαση 2013/676/ΕΕ του Συμβουλίου</w:t>
      </w:r>
      <w:r>
        <w:rPr>
          <w:rStyle w:val="FootnoteReference"/>
          <w:noProof/>
        </w:rPr>
        <w:footnoteReference w:id="7"/>
      </w:r>
      <w:r>
        <w:rPr>
          <w:noProof/>
        </w:rPr>
        <w:t>, επιτράπηκε στη Ρουμανία να εφαρμόσει ειδικό μέτρο που ορίζει τον υποκείμενο στον φόρο αποδέκτη στον οποίο υποκείμενοι στον φόρο παραδίδουν προϊόντα ξύλου ως υπόχρεο του φόρου προστιθέμενης αξίας (ΦΠΑ) επί των εν λόγω παραδόσεων. Η άδεια που χορηγήθηκε με την εκτελεστική απόφαση 2013/676/ΕΕ παρατάθηκε έως τις 31 Δεκεμβρίου 2019 με την εκτελεστική απόφαση (ΕΕ) 2016/1206 του Συμβουλίου</w:t>
      </w:r>
      <w:r>
        <w:rPr>
          <w:rStyle w:val="FootnoteReference"/>
          <w:noProof/>
        </w:rPr>
        <w:footnoteReference w:id="8"/>
      </w:r>
      <w:r>
        <w:rPr>
          <w:noProof/>
        </w:rPr>
        <w:t>.</w:t>
      </w:r>
    </w:p>
    <w:p>
      <w:pPr>
        <w:pStyle w:val="ManualConsidrant"/>
        <w:rPr>
          <w:noProof/>
        </w:rPr>
      </w:pPr>
      <w:r>
        <w:t>(2)</w:t>
      </w:r>
      <w:r>
        <w:tab/>
      </w:r>
      <w:r>
        <w:rPr>
          <w:noProof/>
        </w:rPr>
        <w:t>Με επιστολή που πρωτοκολλήθηκε στην Επιτροπή στις 11 Μαρτίου 2019, η Ρουμανία ζήτησε την άδεια να συνεχίσει την εφαρμογή του ειδικού μέτρου που είχε επιτραπεί με την εκτελεστική απόφαση 2013/676/ΕΕ. Το αίτημα συνοδευόταν από έκθεση σχετικά με την εφαρμογή του εν λόγω μέτρου, σύμφωνα με τις απαιτήσεις του άρθρου 3 της εν λόγω εκτελεστικής απόφασης.</w:t>
      </w:r>
    </w:p>
    <w:p>
      <w:pPr>
        <w:pStyle w:val="ManualConsidrant"/>
        <w:rPr>
          <w:noProof/>
        </w:rPr>
      </w:pPr>
      <w:r>
        <w:t>(3)</w:t>
      </w:r>
      <w:r>
        <w:tab/>
      </w:r>
      <w:r>
        <w:rPr>
          <w:noProof/>
        </w:rPr>
        <w:t>Με επιστολές της 9ης Απριλίου 2019, η Επιτροπή ενημέρωσε τα άλλα κράτη μέλη σχετικά με το αίτημα που υπέβαλε η Ρουμανία. Με επιστολή της 10ης Απριλίου 2019, η Επιτροπή ενημέρωσε τη Ρουμανία ότι διέθετε όλες τις αναγκαίες πληροφορίες για την εξέταση του αιτήματος.</w:t>
      </w:r>
    </w:p>
    <w:p>
      <w:pPr>
        <w:pStyle w:val="ManualConsidrant"/>
        <w:rPr>
          <w:noProof/>
        </w:rPr>
      </w:pPr>
      <w:r>
        <w:lastRenderedPageBreak/>
        <w:t>(4)</w:t>
      </w:r>
      <w:r>
        <w:tab/>
      </w:r>
      <w:r>
        <w:rPr>
          <w:noProof/>
        </w:rPr>
        <w:t>Σύμφωνα με τις πληροφορίες που υπέβαλε η Ρουμανία στο αίτημά της, δεν έχει μεταβληθεί η πραγματική κατάσταση βάσει της οποίας δικαιολογείται η εφαρμογή του ειδικού μέτρου. Επιπλέον, η ανάλυση των ρουμανικών αρχών καταδεικνύει ότι το μέτρο αποδείχθηκε αποτελεσματικό για τη μείωση της φοροδιαφυγής.</w:t>
      </w:r>
    </w:p>
    <w:p>
      <w:pPr>
        <w:pStyle w:val="ManualConsidrant"/>
        <w:rPr>
          <w:noProof/>
        </w:rPr>
      </w:pPr>
      <w:r>
        <w:t>(5)</w:t>
      </w:r>
      <w:r>
        <w:tab/>
      </w:r>
      <w:r>
        <w:rPr>
          <w:noProof/>
        </w:rPr>
        <w:t>Η Επιτροπή θεωρεί ότι το ειδικό μέτρο είναι ανάλογο προς τους επιδιωκόμενους στόχους, διότι περιορίζεται σε πολύ συγκεκριμένες πράξεις σε έναν τομέα που παρουσιάζει σημαντικά προβλήματα φοροδιαφυγής ή φοροαποφυγής. Επιπλέον, θεωρεί ότι η συνέχιση εφαρμογής του μέτρου δεν θα έχει δυσμενείς επιπτώσεις στην πρόληψη της απάτης σε επίπεδο λιανικής πώλησης, σε άλλους τομείς ή σε άλλα κράτη μέλη.</w:t>
      </w:r>
    </w:p>
    <w:p>
      <w:pPr>
        <w:pStyle w:val="ManualConsidrant"/>
        <w:rPr>
          <w:noProof/>
        </w:rPr>
      </w:pPr>
      <w:r>
        <w:t>(6)</w:t>
      </w:r>
      <w:r>
        <w:tab/>
      </w:r>
      <w:r>
        <w:rPr>
          <w:noProof/>
        </w:rPr>
        <w:t>Επομένως, θα πρέπει να επιτραπεί στη Ρουμανία να συνεχίσει να εφαρμόζει αυτό το ειδικό μέτρο για ένα ακόμη περιορισμένο χρονικό διάστημα, έως τις 31 Δεκεμβρίου 2022.</w:t>
      </w:r>
    </w:p>
    <w:p>
      <w:pPr>
        <w:pStyle w:val="ManualConsidrant"/>
        <w:rPr>
          <w:noProof/>
        </w:rPr>
      </w:pPr>
      <w:r>
        <w:t>(7)</w:t>
      </w:r>
      <w:r>
        <w:tab/>
      </w:r>
      <w:r>
        <w:rPr>
          <w:noProof/>
        </w:rPr>
        <w:t>Γενικά, οι παρεκκλίσεις επιτρέπονται για περιορισμένο χρονικό διάστημα, ώστε να μπορεί να αξιολογηθεί κατά πόσο τα ειδικά μέτρα είναι κατάλληλα και αποτελεσματικά. Οι παρεκκλίσεις παρέχουν στα κράτη μέλη χρόνο να λάβουν άλλα συμβατικά μέτρα για την αντιμετώπιση του εκάστοτε προβλήματος μέχρι τη λήξη των ειδικών μέτρων. Παρέκκλιση που επιτρέπει τη χρήση του μηχανισμού αντιστροφής της επιβάρυνσης χορηγείται μόνο κατ’ εξαίρεση για συγκεκριμένους τομείς στους οποίους διαπράττεται απάτη και αποτελεί έσχατο μέσο. Επομένως, η Ρουμανία θα πρέπει να εφαρμόσει άλλα συμβατικά μέτρα για την καταπολέμηση και την πρόληψη της περαιτέρω εξάπλωσης της απάτης σε θέματα ΦΠΑ στον τομέα της ξυλείας και του ξύλου και, κατά συνέπεια, δεν θα πρέπει πλέον να χρειάζεται να παρεκκλίνει από το άρθρο 193 της οδηγίας 2006/112/ΕΚ όσον αφορά τις εν λόγω παραδόσεις. Ως εκ τούτου, στο παρόν στάδιο δεν είναι αναγκαίο να συμπεριληφθεί στην εκτελεστική απόφαση 2013/676/ΕΕ ειδική διάταξη για την υποβολή περαιτέρω αιτημάτων παράτασης της παρέκκλισης που εγκρίθηκε με την εν λόγω εκτελεστική απόφαση πέραν της 31ης Δεκεμβρίου 2022.</w:t>
      </w:r>
    </w:p>
    <w:p>
      <w:pPr>
        <w:pStyle w:val="ManualConsidrant"/>
        <w:rPr>
          <w:noProof/>
        </w:rPr>
      </w:pPr>
      <w:r>
        <w:t>(8)</w:t>
      </w:r>
      <w:r>
        <w:tab/>
      </w:r>
      <w:r>
        <w:rPr>
          <w:noProof/>
        </w:rPr>
        <w:t>Το μέτρο παρέκκλισης δεν έχει αρνητικές επιπτώσεις στους ιδίους πόρους της Ένωσης που προέρχονται από τον ΦΠΑ.</w:t>
      </w:r>
    </w:p>
    <w:p>
      <w:pPr>
        <w:pStyle w:val="ManualConsidrant"/>
        <w:rPr>
          <w:noProof/>
        </w:rPr>
      </w:pPr>
      <w:r>
        <w:t>(9)</w:t>
      </w:r>
      <w:r>
        <w:tab/>
      </w:r>
      <w:r>
        <w:rPr>
          <w:noProof/>
        </w:rPr>
        <w:t>Συνεπώς, η εκτελεστική απόφαση 2013/676/ΕΕ θα πρέπει να τροποποιηθεί αναλόγως,</w:t>
      </w:r>
    </w:p>
    <w:p>
      <w:pPr>
        <w:pStyle w:val="Formuledadoption"/>
        <w:rPr>
          <w:noProof/>
        </w:rPr>
      </w:pPr>
      <w:r>
        <w:rPr>
          <w:noProof/>
        </w:rPr>
        <w:t xml:space="preserve">ΕΞΕΔΩΣΕ ΤΗΝ ΠΑΡΟΥΣΑ ΑΠΟΦΑΣΗ: </w:t>
      </w:r>
    </w:p>
    <w:p>
      <w:pPr>
        <w:pStyle w:val="Titrearticle"/>
        <w:rPr>
          <w:noProof/>
        </w:rPr>
      </w:pPr>
      <w:r>
        <w:rPr>
          <w:noProof/>
        </w:rPr>
        <w:t>Άρθρο 1</w:t>
      </w:r>
    </w:p>
    <w:p>
      <w:pPr>
        <w:rPr>
          <w:noProof/>
        </w:rPr>
      </w:pPr>
      <w:r>
        <w:rPr>
          <w:noProof/>
        </w:rPr>
        <w:t>Η εκτελεστική απόφαση 2013/676/ΕΕ του Συμβουλίου τροποποιείται ως εξής:</w:t>
      </w:r>
    </w:p>
    <w:p>
      <w:pPr>
        <w:rPr>
          <w:noProof/>
        </w:rPr>
      </w:pPr>
      <w:r>
        <w:rPr>
          <w:noProof/>
        </w:rPr>
        <w:t>1) Στο άρθρο 1, η ημερομηνία «31 Δεκεμβρίου 2019» αντικαθίσταται από την ημερομηνία «31 Δεκεμβρίου 2022».</w:t>
      </w:r>
    </w:p>
    <w:p>
      <w:pPr>
        <w:rPr>
          <w:noProof/>
        </w:rPr>
      </w:pPr>
      <w:r>
        <w:rPr>
          <w:noProof/>
        </w:rPr>
        <w:t>2) Το άρθρο 3 απαλείφεται.</w:t>
      </w:r>
    </w:p>
    <w:p>
      <w:pPr>
        <w:pStyle w:val="Titrearticle"/>
        <w:rPr>
          <w:noProof/>
        </w:rPr>
      </w:pPr>
      <w:r>
        <w:rPr>
          <w:noProof/>
        </w:rPr>
        <w:t>Άρθρο 2</w:t>
      </w:r>
    </w:p>
    <w:p>
      <w:pPr>
        <w:keepNext/>
        <w:keepLines/>
        <w:rPr>
          <w:noProof/>
        </w:rPr>
      </w:pPr>
      <w:r>
        <w:rPr>
          <w:noProof/>
        </w:rPr>
        <w:t>Η παρούσα απόφαση απευθύνεται στη Ρουμανία</w:t>
      </w:r>
      <w:r>
        <w:t>.</w:t>
      </w:r>
    </w:p>
    <w:p>
      <w:pPr>
        <w:pStyle w:val="Fait"/>
        <w:rPr>
          <w:noProof/>
        </w:rPr>
      </w:pPr>
      <w:r>
        <w:t>Βρυξέλλες,</w:t>
      </w:r>
    </w:p>
    <w:p>
      <w:pPr>
        <w:pStyle w:val="Institutionquisigne"/>
        <w:rPr>
          <w:noProof/>
        </w:rPr>
      </w:pPr>
      <w:r>
        <w:rPr>
          <w:noProof/>
        </w:rPr>
        <w:tab/>
        <w:t>Για το Συμβούλιο</w:t>
      </w:r>
    </w:p>
    <w:p>
      <w:pPr>
        <w:pStyle w:val="Personnequisigne"/>
        <w:rPr>
          <w:noProof/>
        </w:rPr>
      </w:pPr>
      <w:r>
        <w:rPr>
          <w:noProof/>
        </w:rPr>
        <w:tab/>
        <w:t>Ο/Η Πρόεδρος</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ΕΕ L 347 της 11.12.2006, σ. 1.</w:t>
      </w:r>
    </w:p>
  </w:footnote>
  <w:footnote w:id="2">
    <w:p>
      <w:pPr>
        <w:pStyle w:val="FootnoteText"/>
      </w:pPr>
      <w:r>
        <w:rPr>
          <w:rStyle w:val="FootnoteReference"/>
        </w:rPr>
        <w:footnoteRef/>
      </w:r>
      <w:r>
        <w:tab/>
        <w:t>Εκτελεστική απόφαση 2010/583/ΕΕ του Συμβουλίου, της 27ης Σεπτεμβρίου 2010, με την οποία επιτρέπεται στη Ρουμανία να εισάγει ειδικό μέτρο παρέκκλισης από το άρθρο 193 της οδηγίας 2006/112/ΕΚ σχετικά με το κοινό σύστημα φόρου προστιθέμενης αξίας (ΕΕ L 256 της 30.9.2010, σ. 27)</w:t>
      </w:r>
    </w:p>
  </w:footnote>
  <w:footnote w:id="3">
    <w:p>
      <w:pPr>
        <w:pStyle w:val="FootnoteText"/>
      </w:pPr>
      <w:r>
        <w:rPr>
          <w:rStyle w:val="FootnoteReference"/>
        </w:rPr>
        <w:footnoteRef/>
      </w:r>
      <w:r>
        <w:tab/>
        <w:t>Εκτελεστική απόφαση 2013/676/ΕΕ του Συμβουλίου, της 15ης Νοεμβρίου 2013, με την οποία επιτρέπεται στη Ρουμανία να συνεχίσει την εφαρμογή ειδικού μέτρου παρέκκλισης από το άρθρο 193 της οδηγίας 2006/112/ΕΚ σχετικά με το κοινό σύστημα φόρου προστιθεμένης αξίας (ΕΕ L 316 της 27.11.2013, σ. 31).</w:t>
      </w:r>
    </w:p>
  </w:footnote>
  <w:footnote w:id="4">
    <w:p>
      <w:pPr>
        <w:pStyle w:val="FootnoteText"/>
      </w:pPr>
      <w:r>
        <w:rPr>
          <w:rStyle w:val="FootnoteReference"/>
        </w:rPr>
        <w:footnoteRef/>
      </w:r>
      <w:r>
        <w:tab/>
        <w:t>Εκτελεστική απόφαση (ΕΕ) 2016/1206 του Συμβουλίου, της 18ης Ιουλίου 2016, για την τροποποίηση της εκτελεστικής απόφασης 2013/676/ΕΕ με την οποία επιτρέπεται στη Ρουμανία να συνεχίσει την εφαρμογή ειδικού μέτρου παρέκκλισης από το άρθρο 193 της οδηγίας 2006/112/ΕΚ σχετικά με το κοινό σύστημα φόρου προστιθεμένης αξίας (ΕΕ L 198 της 23.7.2016, σ. 47).</w:t>
      </w:r>
    </w:p>
  </w:footnote>
  <w:footnote w:id="5">
    <w:p>
      <w:pPr>
        <w:pStyle w:val="FootnoteText"/>
      </w:pPr>
      <w:r>
        <w:rPr>
          <w:rStyle w:val="FootnoteReference"/>
        </w:rPr>
        <w:footnoteRef/>
      </w:r>
      <w:r>
        <w:tab/>
        <w:t>ΕΕ L 347 της 11.12.2006, σ. 1.</w:t>
      </w:r>
    </w:p>
  </w:footnote>
  <w:footnote w:id="6">
    <w:p>
      <w:pPr>
        <w:pStyle w:val="FootnoteText"/>
      </w:pPr>
      <w:r>
        <w:rPr>
          <w:rStyle w:val="FootnoteReference"/>
        </w:rPr>
        <w:footnoteRef/>
      </w:r>
      <w:r>
        <w:tab/>
        <w:t>Εκτελεστική απόφαση 2010/583/ΕΕ του Συμβουλίου, της 27ης Σεπτεμβρίου 2010, με την οποία επιτρέπεται στη Ρουμανία να εισάγει ειδικό μέτρο παρέκκλισης από το άρθρο 193 της οδηγίας 2006/112/ΕΚ σχετικά με το κοινό σύστημα φόρου προστιθέμενης αξίας (ΕΕ L 256 της 30.9.2010, σ. 27).</w:t>
      </w:r>
    </w:p>
  </w:footnote>
  <w:footnote w:id="7">
    <w:p>
      <w:pPr>
        <w:pStyle w:val="FootnoteText"/>
      </w:pPr>
      <w:r>
        <w:rPr>
          <w:rStyle w:val="FootnoteReference"/>
        </w:rPr>
        <w:footnoteRef/>
      </w:r>
      <w:r>
        <w:tab/>
        <w:t>Εκτελεστική απόφαση 2013/676/ΕΕ του Συμβουλίου, της 15ης Νοεμβρίου 2013, με την οποία επιτρέπεται στη Ρουμανία να συνεχίσει την εφαρμογή ειδικού μέτρου παρέκκλισης από το άρθρο 193 της οδηγίας 2006/112/ΕΚ σχετικά με το κοινό σύστημα φόρου προστιθεμένης αξίας (ΕΕ L 316 της 27.11.2013, σ. 31).</w:t>
      </w:r>
    </w:p>
  </w:footnote>
  <w:footnote w:id="8">
    <w:p>
      <w:pPr>
        <w:pStyle w:val="FootnoteText"/>
      </w:pPr>
      <w:r>
        <w:rPr>
          <w:rStyle w:val="FootnoteReference"/>
        </w:rPr>
        <w:footnoteRef/>
      </w:r>
      <w:r>
        <w:tab/>
        <w:t>Εκτελεστική απόφαση (ΕΕ) 2016/1206 του Συμβουλίου, της 18ης Ιουλίου 2016, για την τροποποίηση της εκτελεστικής απόφασης 2013/676/ΕΕ με την οποία επιτρέπεται στη Ρουμανία να συνεχίσει την εφαρμογή ειδικού μέτρου παρέκκλισης από το άρθρο 193 της οδηγίας 2006/112/ΕΚ σχετικά με το κοινό σύστημα φόρου προστιθεμένης αξίας (ΕΕ L 198 της 23.7.2016, σ. 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F205A4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82C93A4"/>
    <w:lvl w:ilvl="0">
      <w:start w:val="1"/>
      <w:numFmt w:val="decimal"/>
      <w:pStyle w:val="ListNumber3"/>
      <w:lvlText w:val="%1."/>
      <w:lvlJc w:val="left"/>
      <w:pPr>
        <w:tabs>
          <w:tab w:val="num" w:pos="926"/>
        </w:tabs>
        <w:ind w:left="926" w:hanging="360"/>
      </w:pPr>
    </w:lvl>
  </w:abstractNum>
  <w:abstractNum w:abstractNumId="2">
    <w:nsid w:val="FFFFFF7F"/>
    <w:multiLevelType w:val="singleLevel"/>
    <w:tmpl w:val="37E23922"/>
    <w:lvl w:ilvl="0">
      <w:start w:val="1"/>
      <w:numFmt w:val="decimal"/>
      <w:pStyle w:val="ListNumber2"/>
      <w:lvlText w:val="%1."/>
      <w:lvlJc w:val="left"/>
      <w:pPr>
        <w:tabs>
          <w:tab w:val="num" w:pos="643"/>
        </w:tabs>
        <w:ind w:left="643" w:hanging="360"/>
      </w:pPr>
    </w:lvl>
  </w:abstractNum>
  <w:abstractNum w:abstractNumId="3">
    <w:nsid w:val="FFFFFF81"/>
    <w:multiLevelType w:val="singleLevel"/>
    <w:tmpl w:val="2B6AF45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36E714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EFCE9A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EFC41DA"/>
    <w:lvl w:ilvl="0">
      <w:start w:val="1"/>
      <w:numFmt w:val="decimal"/>
      <w:pStyle w:val="ListNumber"/>
      <w:lvlText w:val="%1."/>
      <w:lvlJc w:val="left"/>
      <w:pPr>
        <w:tabs>
          <w:tab w:val="num" w:pos="360"/>
        </w:tabs>
        <w:ind w:left="360" w:hanging="360"/>
      </w:pPr>
    </w:lvl>
  </w:abstractNum>
  <w:abstractNum w:abstractNumId="7">
    <w:nsid w:val="FFFFFF89"/>
    <w:multiLevelType w:val="singleLevel"/>
    <w:tmpl w:val="2F70275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24 12:19:4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F0B13EF-9F8F-484C-A71F-2120BA36FA6A"/>
    <w:docVar w:name="LW_COVERPAGE_TYPE" w:val="1"/>
    <w:docVar w:name="LW_CROSSREFERENCE" w:val="&lt;UNUSED&gt;"/>
    <w:docVar w:name="LW_DocType" w:val="COM"/>
    <w:docVar w:name="LW_EMISSION" w:val="28.6.2019"/>
    <w:docVar w:name="LW_EMISSION_ISODATE" w:val="2019-06-28"/>
    <w:docVar w:name="LW_EMISSION_LOCATION" w:val="BRX"/>
    <w:docVar w:name="LW_EMISSION_PREFIX" w:val="Βρυξέλλες, "/>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144"/>
    <w:docVar w:name="LW_REF.II.NEW.CP_YEAR" w:val="2019"/>
    <w:docVar w:name="LW_REF.INST.NEW" w:val="COM"/>
    <w:docVar w:name="LW_REF.INST.NEW_ADOPTED" w:val="final"/>
    <w:docVar w:name="LW_REF.INST.NEW_TEXT" w:val="(2019) 30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28?\u961?\u972?\u964?\u945?\u963?\u951?"/>
    <w:docVar w:name="LW_SUPERTITRE" w:val="&lt;UNUSED&gt;"/>
    <w:docVar w:name="LW_TITRE.OBJ.CP" w:val="\u947?\u953?\u945? \u964?\u951?\u957? \u964?\u961?\u959?\u960?\u959?\u960?\u959?\u943?\u951?\u963?\u951? \u964?\u951?\u962? \u949?\u954?\u964?\u949?\u955?\u949?\u963?\u964?\u953?\u954?\u942?\u962? \u945?\u960?\u972?\u966?\u945?\u963?\u951?\u962? 2013/676/\u917?\u917? \u956?\u949? \u964?\u951?\u957? \u959?\u960?\u959?\u943?\u945? \u949?\u960?\u953?\u964?\u961?\u941?\u960?\u949?\u964?\u945?\u953? \u963?\u964?\u951? \u929?\u959?\u965?\u956?\u945?\u957?\u943?\u945? \u957?\u945? \u963?\u965?\u957?\u949?\u967?\u943?\u963?\u949?\u953? \u964?\u951?\u957? \u949?\u966?\u945?\u961?\u956?\u959?\u947?\u942? \u949?\u953?\u948?\u953?\u954?\u959?\u973? \u956?\u941?\u964?\u961?\u959?\u965? \u960?\u945?\u961?\u941?\u954?\u954?\u955?\u953?\u963?\u951?\u962? \u945?\u960?\u972? \u964?\u959? \u940?\u961?\u952?\u961?\u959? 193 \u964?\u951?\u962? \u959?\u948?\u951?\u947?\u943?\u945?\u962? 2006/112/\u917?\u922? \u963?\u967?\u949?\u964?\u953?\u954?\u940? \u956?\u949? \u964?\u959? \u954?\u959?\u953?\u957?\u972? \u963?\u973?\u963?\u964?\u951?\u956?\u945? \u966?\u972?\u961?\u959?\u965? \u960?\u961?\u959?\u963?\u964?\u953?\u952?\u949?\u956?\u941?\u957?\u951?\u962? \u945?\u958?\u943?\u945?\u962? "/>
    <w:docVar w:name="LW_TYPE.DOC.CP" w:val="EKTE\u923?\u917?\u931?\u932?\u921?\u922?\u919? \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D77F174-CB73-47B5-99AA-B17C1FF94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1650</Words>
  <Characters>9522</Characters>
  <Application>Microsoft Office Word</Application>
  <DocSecurity>0</DocSecurity>
  <Lines>183</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18</cp:revision>
  <dcterms:created xsi:type="dcterms:W3CDTF">2019-06-13T10:16:00Z</dcterms:created>
  <dcterms:modified xsi:type="dcterms:W3CDTF">2019-06-24T10:19:00Z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