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DCA835-0485-483F-8BC7-ABC0E6D6A98B" style="width:450.8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rPr>
          <w:noProof/>
        </w:rPr>
      </w:pPr>
      <w:r>
        <w:rPr>
          <w:noProof/>
        </w:rPr>
        <w:t>În conformitate cu articolul 395 alineatul (1) din Directiva 2006/112/CE din 28 noiembrie 2006 privind sistemul comun al taxei pe valoarea adăugată („Directiva TVA”</w:t>
      </w:r>
      <w:r>
        <w:rPr>
          <w:rStyle w:val="FootnoteReference"/>
          <w:noProof/>
        </w:rPr>
        <w:footnoteReference w:id="1"/>
      </w:r>
      <w:r>
        <w:rPr>
          <w:noProof/>
        </w:rPr>
        <w:t>), Consiliul, hotărând în unanimitate la propunerea Comisiei, poate autoriza orice stat membru să aplice măsuri speciale de derogare de la dispozițiile directivei respective pentru a simplifica procedura de colectare a TVA-ului sau pentru a preveni anumite forme de evaziune fiscală sau de evitare a obligațiilor fiscale.</w:t>
      </w:r>
    </w:p>
    <w:p>
      <w:pPr>
        <w:rPr>
          <w:noProof/>
        </w:rPr>
      </w:pPr>
      <w:r>
        <w:rPr>
          <w:noProof/>
        </w:rPr>
        <w:t xml:space="preserve">Prin scrisoarea înregistrată de Comisie la 11 martie 2019, România a solicitat autorizarea de a continua să aplice o măsură de derogare de la articolul 193 din Directiva TVA, care stabilește persoana căreia îi revine obligația de a plăti TVA. </w:t>
      </w:r>
    </w:p>
    <w:p>
      <w:pPr>
        <w:rPr>
          <w:noProof/>
        </w:rPr>
      </w:pPr>
      <w:r>
        <w:rPr>
          <w:noProof/>
        </w:rPr>
        <w:t>În conformitate cu articolul 395 alineatul (2) din Directiva TVA, Comisia a informat celelalte state membre, prin scrisorile din 9 aprilie 2019, cu privire la cererea înaintată de România. Prin scrisoarea datată 10 aprilie 2019, Comisia a înștiințat România că dispune de toate informațiile necesare pentru a analiza cererea.</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Ca regulă generală, articolul 193 din Directiva TVA prevede că TVA-ul se plătește, în mod normal, de către orice persoană impozabilă ce efectuează o livrare de bunuri sau o prestare de servicii.</w:t>
      </w:r>
    </w:p>
    <w:p>
      <w:pPr>
        <w:pBdr>
          <w:top w:val="nil"/>
          <w:left w:val="nil"/>
          <w:bottom w:val="nil"/>
          <w:right w:val="nil"/>
          <w:between w:val="nil"/>
          <w:bar w:val="nil"/>
        </w:pBdr>
        <w:spacing w:before="0" w:after="240"/>
        <w:rPr>
          <w:noProof/>
        </w:rPr>
      </w:pPr>
      <w:r>
        <w:rPr>
          <w:noProof/>
        </w:rPr>
        <w:t>În conformitate cu articolul 395 din Directiva TVA, statele membre pot aplica măsuri de derogare de la dispozițiile Directivei TVA, pentru a simplifica procedura de colectare a TVA sau pentru a preveni anumite forme de evaziune fiscală sau de evitare a obligațiilor fiscale, cu condiția să fi obținut aprobarea Consiliului.</w:t>
      </w:r>
    </w:p>
    <w:p>
      <w:pPr>
        <w:rPr>
          <w:noProof/>
        </w:rPr>
      </w:pPr>
      <w:r>
        <w:rPr>
          <w:noProof/>
        </w:rPr>
        <w:t>România a solicitat în 2009 o derogare prin care să fie autorizată să aplice procedura de taxare inversă, printre altele, livrărilor de produse din lemn. În temeiul acestei proceduri, persoanei impozabile căreia i se livrează bunurile îi revine obligația de a plăti TVA. Produsele din lemn menționate sunt, mai concret, masa lemnoasă pe picior, lemnul de lucru rotund sau despicat, lemnul de foc, produsele din cherestea, lemnul ecarisat sau peletele de lemn, lemnul în stare brută, lemnul procesat sau semiprelucrat.</w:t>
      </w:r>
    </w:p>
    <w:p>
      <w:pPr>
        <w:rPr>
          <w:noProof/>
        </w:rPr>
      </w:pPr>
      <w:r>
        <w:rPr>
          <w:noProof/>
        </w:rPr>
        <w:t>Cererea fost aprobată prin Decizia de punere în aplicare 2010/583/UE a Consiliului</w:t>
      </w:r>
      <w:r>
        <w:rPr>
          <w:rStyle w:val="FootnoteReference"/>
          <w:noProof/>
        </w:rPr>
        <w:footnoteReference w:id="2"/>
      </w:r>
      <w:r>
        <w:rPr>
          <w:noProof/>
        </w:rPr>
        <w:t xml:space="preserve"> până la 31 decembrie 2013 și, în ceea ce privește produsele din lemn, a fost prelungită ulterior până la 31 decembrie 2016 prin Decizia de punere în aplicare 2013/676//UE a Consiliului</w:t>
      </w:r>
      <w:r>
        <w:rPr>
          <w:rStyle w:val="FootnoteReference"/>
          <w:noProof/>
        </w:rPr>
        <w:footnoteReference w:id="3"/>
      </w:r>
      <w:r>
        <w:rPr>
          <w:noProof/>
        </w:rPr>
        <w:t>, iar prin Decizia de punere în aplicare (UE) 2016/1206 a Consiliului</w:t>
      </w:r>
      <w:r>
        <w:rPr>
          <w:rStyle w:val="FootnoteReference"/>
          <w:noProof/>
        </w:rPr>
        <w:footnoteReference w:id="4"/>
      </w:r>
      <w:r>
        <w:rPr>
          <w:noProof/>
        </w:rPr>
        <w:t xml:space="preserve">, până la 31 decembrie 2019. </w:t>
      </w:r>
    </w:p>
    <w:p>
      <w:pPr>
        <w:rPr>
          <w:noProof/>
        </w:rPr>
      </w:pPr>
      <w:r>
        <w:rPr>
          <w:noProof/>
        </w:rPr>
        <w:t>România solicită în prezent o nouă prelungire a derogării referitoare la aplicarea procedurii de taxare inversă pentru livrările acestor produse din lemn.</w:t>
      </w:r>
    </w:p>
    <w:p>
      <w:pPr>
        <w:rPr>
          <w:noProof/>
        </w:rPr>
      </w:pPr>
      <w:r>
        <w:rPr>
          <w:noProof/>
        </w:rPr>
        <w:t>Pe baza raportului prezentat de România împreună cu cererea de prelungire a măsurii, desemnarea destinatarului drept persoana obligată la plata TVA pentru livrările de produse din lemn menționate mai sus a avut ca efect prevenirea evaziunii fiscale și a evitării obligațiilor fiscale în acest sector, caracterizat printr-un număr mare de mici revânzători și intermediari care s-au dovedit a fi dificil de controlat. Așadar, se justifică o prelungire a măsurii pentru o nouă perioadă limitată, având în vedere că măsura nu pare să fi avut un impact negativ asupra fraudei în sectorul comerțului cu amănuntul, în alte sectoare sau în alte state membre. Având în vedere situația de drept și de fapt neschimbată, se propune, prin urmare, prelungirea măsurii de derogare, permițându-se României să aplice în continuare această măsură de derogare până la 31 decembrie 2022.</w:t>
      </w:r>
    </w:p>
    <w:p>
      <w:pPr>
        <w:pBdr>
          <w:top w:val="nil"/>
          <w:left w:val="nil"/>
          <w:bottom w:val="nil"/>
          <w:right w:val="nil"/>
          <w:between w:val="nil"/>
          <w:bar w:val="nil"/>
        </w:pBdr>
        <w:spacing w:before="0" w:after="240"/>
        <w:rPr>
          <w:noProof/>
        </w:rPr>
      </w:pPr>
      <w:r>
        <w:rPr>
          <w:noProof/>
        </w:rPr>
        <w:t xml:space="preserve">În general, derogările se acordă pe o perioadă limitată, pentru a se putea evalua dacă măsura specială respectivă este sau nu adecvată și eficace și pentru a acorda statelor membre timpul necesar pentru a introduce alte măsuri convenționale care să le permită să remedieze problema respectivă până la expirarea măsurii de derogare. O derogare care permite utilizarea procedurii de taxare inversă este acordată numai în mod excepțional pentru anumite domenii unde se observă fraude și constituie un mijloc de ultimă instanță. </w:t>
      </w:r>
    </w:p>
    <w:p>
      <w:pPr>
        <w:pBdr>
          <w:top w:val="nil"/>
          <w:left w:val="nil"/>
          <w:bottom w:val="nil"/>
          <w:right w:val="nil"/>
          <w:between w:val="nil"/>
          <w:bar w:val="nil"/>
        </w:pBdr>
        <w:spacing w:before="0" w:after="240"/>
      </w:pPr>
      <w:r>
        <w:rPr>
          <w:noProof/>
        </w:rPr>
        <w:t>Prin urmare, până la expirarea acestei derogări, România ar trebui să pună în aplicare alte măsuri convenționale destinate să combată frauda în domeniul TVA și să prevină răspândirea acestei fraude în sectorul lemnului. În consecință, nu ar trebui să mai fie necesară derogarea de la articolul 193 din Directiva 2006/112/CE în ceea ce privește aceste livrări de bunuri și prestări de servicii.</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Au fost acordate derogări similare și altor state membre în temeiul articolului 193 din Directiva TVA.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Măsura propusă este, prin urmare, în concordanță cu dispozițiile existente din Directiva TVA.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Articolul 395 din Directiva TVA.</w:t>
      </w:r>
    </w:p>
    <w:p>
      <w:pPr>
        <w:pStyle w:val="ManualHeading2"/>
        <w:rPr>
          <w:rFonts w:eastAsia="Arial Unicode MS"/>
          <w:noProof/>
          <w:u w:color="000000"/>
          <w:bdr w:val="nil"/>
        </w:rPr>
      </w:pPr>
      <w:r>
        <w:rPr>
          <w:noProof/>
        </w:rPr>
        <w:t>•</w:t>
      </w:r>
      <w:r>
        <w:rPr>
          <w:noProof/>
        </w:rPr>
        <w:tab/>
        <w:t xml:space="preserve">Subsidiaritate (în cazul competențelor neexclusive) </w:t>
      </w:r>
    </w:p>
    <w:p>
      <w:pPr>
        <w:pBdr>
          <w:top w:val="nil"/>
          <w:left w:val="nil"/>
          <w:bottom w:val="nil"/>
          <w:right w:val="nil"/>
          <w:between w:val="nil"/>
          <w:bar w:val="nil"/>
        </w:pBdr>
        <w:spacing w:before="0" w:after="240"/>
        <w:rPr>
          <w:rFonts w:eastAsia="Arial Unicode MS"/>
          <w:noProof/>
        </w:rPr>
      </w:pPr>
      <w:r>
        <w:rPr>
          <w:noProof/>
        </w:rPr>
        <w:t>Având în vedere dispoziția din Directiva TVA pe care se întemeiază propunerea, principiul subsidiarității nu se aplică.</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rPr>
      </w:pPr>
      <w:r>
        <w:rPr>
          <w:noProof/>
        </w:rPr>
        <w:t xml:space="preserve">Decizia se referă la o autorizare acordată unui stat membru la solicitarea acestuia și nu creează o obligație. </w:t>
      </w:r>
    </w:p>
    <w:p>
      <w:pPr>
        <w:rPr>
          <w:rFonts w:eastAsia="Arial Unicode MS"/>
          <w:noProof/>
        </w:rPr>
      </w:pPr>
      <w:r>
        <w:rPr>
          <w:noProof/>
        </w:rPr>
        <w:t>Având în vedere domeniul de aplicare limitat al derogării, măsura specială este proporțională cu obiectivul urmărit.</w:t>
      </w:r>
    </w:p>
    <w:p>
      <w:pPr>
        <w:pStyle w:val="ManualHeading2"/>
        <w:rPr>
          <w:rFonts w:eastAsia="Arial Unicode MS"/>
          <w:noProof/>
          <w:u w:color="000000"/>
          <w:bdr w:val="nil"/>
        </w:rPr>
      </w:pPr>
      <w:r>
        <w:rPr>
          <w:noProof/>
        </w:rPr>
        <w:t>•</w:t>
      </w:r>
      <w:r>
        <w:rPr>
          <w:noProof/>
        </w:rPr>
        <w:tab/>
        <w:t>Alegerea instrumentului</w:t>
      </w:r>
    </w:p>
    <w:p>
      <w:pPr>
        <w:spacing w:before="0" w:after="240"/>
        <w:rPr>
          <w:rFonts w:eastAsia="Arial Unicode MS"/>
          <w:noProof/>
        </w:rPr>
      </w:pPr>
      <w:r>
        <w:rPr>
          <w:noProof/>
        </w:rPr>
        <w:t>Instrumentul propus: Decizie de punere în aplicare a Consiliului.</w:t>
      </w:r>
    </w:p>
    <w:p>
      <w:pPr>
        <w:spacing w:before="0" w:after="240"/>
        <w:rPr>
          <w:rFonts w:eastAsia="Arial Unicode MS"/>
          <w:noProof/>
        </w:rPr>
      </w:pPr>
      <w:r>
        <w:rPr>
          <w:noProof/>
        </w:rPr>
        <w:t>În temeiul articolului 395 din Directiva 2006/112/CE a Consiliului, derogarea de la dispozițiile comune în materie de TVA este posibilă numai cu autorizarea Consiliului, hotărând în unanimitate la propunerea Comisiei. O decizie de punere în aplicare a Consiliului este cel mai adecvat instrument, deoarece poate fi adresată unui singur stat membru.</w:t>
      </w:r>
    </w:p>
    <w:p>
      <w:pPr>
        <w:pStyle w:val="ManualHeading1"/>
        <w:rPr>
          <w:noProof/>
        </w:rPr>
      </w:pPr>
      <w:r>
        <w:rPr>
          <w:noProof/>
        </w:rPr>
        <w:t>3.</w:t>
      </w:r>
      <w:r>
        <w:rPr>
          <w:noProof/>
        </w:rPr>
        <w:tab/>
        <w:t>REZULTATELE EVALUĂRILOR EX-POST, ALE CONSULTĂRILOR CU PĂRȚILE INTERESATE ȘI ALE EVALUĂRILOR IMPACTULUI</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Arial Unicode MS"/>
          <w:noProof/>
        </w:rPr>
      </w:pPr>
      <w:r>
        <w:rPr>
          <w:noProof/>
        </w:rPr>
        <w:t>Prezenta propunere se bazează pe o cerere înaintată de România și vizează doar acest stat membru.</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a fost necesar să se recurgă la expertiză externă.</w:t>
      </w:r>
    </w:p>
    <w:p>
      <w:pPr>
        <w:pStyle w:val="ManualHeading2"/>
        <w:rPr>
          <w:rFonts w:eastAsia="Arial Unicode MS"/>
          <w:noProof/>
          <w:u w:color="000000"/>
          <w:bdr w:val="nil"/>
        </w:rPr>
      </w:pPr>
      <w:r>
        <w:rPr>
          <w:noProof/>
        </w:rPr>
        <w:t>•</w:t>
      </w:r>
      <w:r>
        <w:rPr>
          <w:noProof/>
        </w:rPr>
        <w:tab/>
        <w:t>Evaluarea impactului</w:t>
      </w:r>
    </w:p>
    <w:p>
      <w:pPr>
        <w:rPr>
          <w:noProof/>
        </w:rPr>
      </w:pPr>
      <w:r>
        <w:rPr>
          <w:noProof/>
        </w:rPr>
        <w:t>Propunerea de decizie de punere în aplicare a Consiliului are ca scop prevenirea anumitor forme de evaziune fiscală sau de evitare a obligațiilor fiscale în sectorul lemnului și, prin urmare, poate avea un impact pozitiv, deoarece va continua să prevină practicile frauduloase utilizate anterior în sectorul lemnului. În opinia României, dacă măsura nu ar fi prelungită, aceste practici ar reapărea în mod inevitabil.</w:t>
      </w:r>
    </w:p>
    <w:p>
      <w:pPr>
        <w:rPr>
          <w:noProof/>
        </w:rPr>
      </w:pPr>
      <w:r>
        <w:rPr>
          <w:noProof/>
        </w:rPr>
        <w:t>Cu toate acestea, având în vedere sfera de aplicare restrânsă a derogării și aplicarea sa limitată în timp, impactul va fi, în orice caz, limitat.</w:t>
      </w:r>
    </w:p>
    <w:p>
      <w:pPr>
        <w:pStyle w:val="ManualHeading1"/>
        <w:rPr>
          <w:noProof/>
        </w:rPr>
      </w:pPr>
      <w:r>
        <w:rPr>
          <w:noProof/>
        </w:rPr>
        <w:t>4.</w:t>
      </w:r>
      <w:r>
        <w:rPr>
          <w:noProof/>
        </w:rPr>
        <w:tab/>
        <w:t>IMPLICAȚII BUGETARE</w:t>
      </w:r>
    </w:p>
    <w:p>
      <w:pPr>
        <w:rPr>
          <w:noProof/>
        </w:rPr>
      </w:pPr>
      <w:r>
        <w:rPr>
          <w:noProof/>
        </w:rPr>
        <w:t>Propunerea nu va avea implicații negative pentru bugetul UE.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keepNext/>
        <w:tabs>
          <w:tab w:val="left" w:pos="850"/>
        </w:tabs>
        <w:ind w:left="850" w:hanging="850"/>
        <w:outlineLvl w:val="1"/>
        <w:rPr>
          <w:noProof/>
        </w:rPr>
      </w:pPr>
      <w:r>
        <w:rPr>
          <w:noProof/>
        </w:rPr>
        <w:t>Propunerea este limitată în timp.</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2019/0144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 xml:space="preserve">de modificare a Deciziei de punere în aplicare 2013/676/UE de autorizare a României să aplice în continuare o măsură specială de derogare de la articolul 193 din Directiva 2006/112/CE privind sistemul comun al taxei pe valoarea adăugată </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noteReference"/>
          <w:noProof/>
        </w:rPr>
        <w:footnoteReference w:id="5"/>
      </w:r>
      <w:r>
        <w:rPr>
          <w:noProof/>
        </w:rPr>
        <w:t>, în special articolul 395 alineatul (1),</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Decizia de punere în aplicare 2010/583/UE a Consiliului</w:t>
      </w:r>
      <w:r>
        <w:rPr>
          <w:rStyle w:val="FootnoteReference"/>
          <w:noProof/>
        </w:rPr>
        <w:footnoteReference w:id="6"/>
      </w:r>
      <w:r>
        <w:rPr>
          <w:noProof/>
        </w:rPr>
        <w:t xml:space="preserve"> și, ulterior, Decizia de punere în aplicare 2013/676/UE a Consiliului</w:t>
      </w:r>
      <w:r>
        <w:rPr>
          <w:rStyle w:val="FootnoteReference"/>
          <w:noProof/>
        </w:rPr>
        <w:footnoteReference w:id="7"/>
      </w:r>
      <w:r>
        <w:rPr>
          <w:noProof/>
        </w:rPr>
        <w:t xml:space="preserve"> a autorizat România să aplice o măsură specială care să desemneze persoana impozabilă către care se fac livrări de produse din lemn de către persoane impozabile ca fiind persoana care are obligația de a plăti taxa pe valoarea adăugată (TVA) aferentă acelor livrări. Autorizarea acordată prin Decizia de punere în aplicare 2013/676/UE a fost prelungită până la 31 decembrie 2019 prin Decizia de punere în aplicare (UE) 2016/1206 a Consiliului</w:t>
      </w:r>
      <w:r>
        <w:rPr>
          <w:rStyle w:val="FootnoteReference"/>
          <w:noProof/>
        </w:rPr>
        <w:footnoteReference w:id="8"/>
      </w:r>
      <w:r>
        <w:rPr>
          <w:noProof/>
        </w:rPr>
        <w:t>.</w:t>
      </w:r>
    </w:p>
    <w:p>
      <w:pPr>
        <w:pStyle w:val="ManualConsidrant"/>
        <w:rPr>
          <w:noProof/>
        </w:rPr>
      </w:pPr>
      <w:r>
        <w:t>(2)</w:t>
      </w:r>
      <w:r>
        <w:tab/>
      </w:r>
      <w:r>
        <w:rPr>
          <w:noProof/>
        </w:rPr>
        <w:t>Printr-o scrisoare înregistrată la Comisie la 11 martie 2019, România a solicitat autorizarea de a continua aplicarea măsurii speciale autorizate prin Decizia de punere în aplicare 2013/676/UE. Cererea a fost însoțită de un raport privind aplicarea măsurii respective, astfel cum se prevede la articolul 3 din acea decizie de punere în aplicare.</w:t>
      </w:r>
    </w:p>
    <w:p>
      <w:pPr>
        <w:pStyle w:val="ManualConsidrant"/>
        <w:rPr>
          <w:noProof/>
        </w:rPr>
      </w:pPr>
      <w:r>
        <w:t>(3)</w:t>
      </w:r>
      <w:r>
        <w:tab/>
      </w:r>
      <w:r>
        <w:rPr>
          <w:noProof/>
        </w:rPr>
        <w:t>Prin scrisorile datate 9 aprilie 2019, Comisia a informat celelalte state membre cu privire la cererea înaintată de România. Prin scrisoarea datată 10 aprilie 2019, Comisia a înștiințat România că dispune de toate informațiile necesare pentru a analiza cererea.</w:t>
      </w:r>
    </w:p>
    <w:p>
      <w:pPr>
        <w:pStyle w:val="ManualConsidrant"/>
        <w:rPr>
          <w:noProof/>
        </w:rPr>
      </w:pPr>
      <w:r>
        <w:t>(4)</w:t>
      </w:r>
      <w:r>
        <w:tab/>
      </w:r>
      <w:r>
        <w:rPr>
          <w:noProof/>
        </w:rPr>
        <w:t>Conform informațiilor furnizate de România în cererea sa, situația de fapt care a justificat aplicarea măsurii speciale nu s-a schimbat. De asemenea, analiza efectuată de autoritățile române indică faptul că măsura s-a dovedit eficace pentru reducerea evaziunii fiscale.</w:t>
      </w:r>
    </w:p>
    <w:p>
      <w:pPr>
        <w:pStyle w:val="ManualConsidrant"/>
        <w:rPr>
          <w:noProof/>
        </w:rPr>
      </w:pPr>
      <w:r>
        <w:t>(5)</w:t>
      </w:r>
      <w:r>
        <w:tab/>
      </w:r>
      <w:r>
        <w:rPr>
          <w:noProof/>
        </w:rPr>
        <w:t>Comisia consideră că măsura specială este proporțională cu obiectivele urmărite deoarece este limitată la operațiuni foarte specifice din cadrul unui sector care ridică probleme considerabile cu privire la evaziunea fiscală și la evitarea obligațiilor fiscale. Totodată, Comisia consideră că aplicarea în continuare a măsurii nu ar avea niciun impact negativ asupra prevenirii fraudei în sectorul comerțului cu amănuntul, în alte sectoare sau în alte state membre.</w:t>
      </w:r>
    </w:p>
    <w:p>
      <w:pPr>
        <w:pStyle w:val="ManualConsidrant"/>
        <w:rPr>
          <w:noProof/>
        </w:rPr>
      </w:pPr>
      <w:r>
        <w:t>(6)</w:t>
      </w:r>
      <w:r>
        <w:tab/>
      </w:r>
      <w:r>
        <w:rPr>
          <w:noProof/>
        </w:rPr>
        <w:t>Prin urmare, România ar trebui să fie autorizată să aplice în continuare măsura specială pentru o nouă perioadă limitată, și anume până la 31 decembrie 2022.</w:t>
      </w:r>
    </w:p>
    <w:p>
      <w:pPr>
        <w:pStyle w:val="ManualConsidrant"/>
        <w:rPr>
          <w:noProof/>
        </w:rPr>
      </w:pPr>
      <w:r>
        <w:t>(7)</w:t>
      </w:r>
      <w:r>
        <w:tab/>
      </w:r>
      <w:r>
        <w:rPr>
          <w:noProof/>
        </w:rPr>
        <w:t>În general, derogările sunt autorizate pentru o perioadă limitată, pentru a se putea evalua dacă măsurile speciale sunt sau nu adecvate și eficace. Derogările acordă statelor membre timpul necesar pentru a introduce alte măsuri convenționale pentru abordarea problemei în discuție până la expirarea măsurilor speciale. O derogare care permite utilizarea procedurii de taxare inversă este acordată numai în mod excepțional pentru anumite domenii unde se observă fraude și constituie un mijloc de ultimă instanță. Prin urmare, România ar trebui să pună în aplicare alte măsuri convenționale pentru combaterea fraudei în materie de TVA și prevenirea răspândirii acesteia în sectorul lemnului și al produselor din lemn și, în consecință, nu ar trebui să mai fie necesară derogarea de la articolul 193 din Directiva 2006/112/CE în ceea ce privește aceste livrări și prestări. Prin urmare, nu este necesar, în acest stadiu, să se includă o dispoziție specifică în Decizia de punere în aplicare 2013/676/UE pentru înaintarea de alte cereri de prelungire după 31 decembrie 2022 a derogării autorizate prin decizia respectivă de punere în aplicare.</w:t>
      </w:r>
    </w:p>
    <w:p>
      <w:pPr>
        <w:pStyle w:val="ManualConsidrant"/>
        <w:rPr>
          <w:noProof/>
        </w:rPr>
      </w:pPr>
      <w:r>
        <w:t>(8)</w:t>
      </w:r>
      <w:r>
        <w:tab/>
      </w:r>
      <w:r>
        <w:rPr>
          <w:noProof/>
        </w:rPr>
        <w:t>Măsura de derogare nu are un impact negativ asupra resurselor proprii ale Uniunii provenite din TVA.</w:t>
      </w:r>
    </w:p>
    <w:p>
      <w:pPr>
        <w:pStyle w:val="ManualConsidrant"/>
        <w:rPr>
          <w:noProof/>
        </w:rPr>
      </w:pPr>
      <w:r>
        <w:t>(9)</w:t>
      </w:r>
      <w:r>
        <w:tab/>
      </w:r>
      <w:r>
        <w:rPr>
          <w:noProof/>
        </w:rPr>
        <w:t>Prin urmare, Decizia de punere în aplicare 2013/676/UE ar trebui modificată în consecință,</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Decizia de punere în aplicare 2013/676/UE a Consiliului se modifică după cum urmează:</w:t>
      </w:r>
    </w:p>
    <w:p>
      <w:pPr>
        <w:rPr>
          <w:noProof/>
        </w:rPr>
      </w:pPr>
      <w:r>
        <w:rPr>
          <w:noProof/>
        </w:rPr>
        <w:t>1. La articolul 1, data „31 decembrie 2019” se înlocuiește cu data „31 decembrie 2022”.</w:t>
      </w:r>
    </w:p>
    <w:p>
      <w:pPr>
        <w:rPr>
          <w:noProof/>
        </w:rPr>
      </w:pPr>
      <w:r>
        <w:rPr>
          <w:noProof/>
        </w:rPr>
        <w:t>2. Articolul 3 se elimină.</w:t>
      </w:r>
    </w:p>
    <w:p>
      <w:pPr>
        <w:pStyle w:val="Titrearticle"/>
        <w:rPr>
          <w:noProof/>
        </w:rPr>
      </w:pPr>
      <w:r>
        <w:rPr>
          <w:noProof/>
        </w:rPr>
        <w:t>Articolul 2</w:t>
      </w:r>
    </w:p>
    <w:p>
      <w:pPr>
        <w:keepNext/>
        <w:keepLines/>
        <w:rPr>
          <w:noProof/>
        </w:rPr>
      </w:pPr>
      <w:r>
        <w:rPr>
          <w:noProof/>
          <w:color w:val="000000"/>
        </w:rPr>
        <w:t>Prezenta decizie se adresează României</w:t>
      </w:r>
      <w: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11.12.2006, p. 1.</w:t>
      </w:r>
    </w:p>
  </w:footnote>
  <w:footnote w:id="2">
    <w:p>
      <w:pPr>
        <w:pStyle w:val="FootnoteText"/>
      </w:pPr>
      <w:r>
        <w:rPr>
          <w:rStyle w:val="FootnoteReference"/>
        </w:rPr>
        <w:footnoteRef/>
      </w:r>
      <w:r>
        <w:tab/>
        <w:t>Decizia de punere în aplicare 2010/583/UE a Consiliului din 27 septembrie 2010 de autorizare a României de a introduce o măsură specială de derogare de la articolul 193 din Directiva 2006/112/CE privind sistemul comun al taxei pe valoarea adăugată (JO L 256, 30.9.2010, p. 27).</w:t>
      </w:r>
    </w:p>
  </w:footnote>
  <w:footnote w:id="3">
    <w:p>
      <w:pPr>
        <w:pStyle w:val="FootnoteText"/>
      </w:pPr>
      <w:r>
        <w:rPr>
          <w:rStyle w:val="FootnoteReference"/>
        </w:rPr>
        <w:footnoteRef/>
      </w:r>
      <w:r>
        <w:tab/>
        <w:t>Decizia de punere în aplicare 2013/676/UE a Consiliului din 15 noiembrie 2013 de autorizare a României să aplice în continuare o măsură specială de derogare de la articolul 193 din Directiva 2006/112/CE privind sistemul comun al taxei pe valoarea adăugată (JO L 316, 27.11.2013, p. 31).</w:t>
      </w:r>
    </w:p>
  </w:footnote>
  <w:footnote w:id="4">
    <w:p>
      <w:pPr>
        <w:pStyle w:val="FootnoteText"/>
      </w:pPr>
      <w:r>
        <w:rPr>
          <w:rStyle w:val="FootnoteReference"/>
        </w:rPr>
        <w:footnoteRef/>
      </w:r>
      <w:r>
        <w:tab/>
        <w:t>Decizia de punere în aplicare (UE) 2016/1206 a Consiliului din 18 iulie 2016 de modificare a Deciziei de punere în aplicare 2013/676/UE de autorizare a României să aplice în continuare o măsură specială de derogare de la articolul 193 din Directiva 2006/112/CE privind sistemul comun al taxei pe valoarea adăugată (JO L 198, 23.7.2016, p. 47).</w:t>
      </w:r>
    </w:p>
  </w:footnote>
  <w:footnote w:id="5">
    <w:p>
      <w:pPr>
        <w:pStyle w:val="FootnoteText"/>
      </w:pPr>
      <w:r>
        <w:rPr>
          <w:rStyle w:val="FootnoteReference"/>
        </w:rPr>
        <w:footnoteRef/>
      </w:r>
      <w:r>
        <w:tab/>
        <w:t>JO L 347, 11.12.2006, p.1.</w:t>
      </w:r>
    </w:p>
  </w:footnote>
  <w:footnote w:id="6">
    <w:p>
      <w:pPr>
        <w:pStyle w:val="FootnoteText"/>
      </w:pPr>
      <w:r>
        <w:rPr>
          <w:rStyle w:val="FootnoteReference"/>
        </w:rPr>
        <w:footnoteRef/>
      </w:r>
      <w:r>
        <w:tab/>
        <w:t>Decizia de punere în aplicare 2010/583/UE a Consiliului din 27 septembrie 2010 de autorizare a României de a introduce o măsură specială de derogare de la articolul 193 din Directiva 2006/112/CE privind sistemul comun al taxei pe valoarea adăugată (JO L 256, 30.9.2010, p. 27).</w:t>
      </w:r>
    </w:p>
  </w:footnote>
  <w:footnote w:id="7">
    <w:p>
      <w:pPr>
        <w:pStyle w:val="FootnoteText"/>
      </w:pPr>
      <w:r>
        <w:rPr>
          <w:rStyle w:val="FootnoteReference"/>
        </w:rPr>
        <w:footnoteRef/>
      </w:r>
      <w:r>
        <w:tab/>
        <w:t>Decizia de punere în aplicare 2013/676/UE a Consiliului din 15 noiembrie 2013 de autorizare a României să aplice în continuare o măsură specială de derogare de la articolul 193 din Directiva 2006/112/CE privind sistemul comun al taxei pe valoarea adăugată (JO L 316, 27.11.2013, p. 31).</w:t>
      </w:r>
    </w:p>
  </w:footnote>
  <w:footnote w:id="8">
    <w:p>
      <w:pPr>
        <w:pStyle w:val="FootnoteText"/>
      </w:pPr>
      <w:r>
        <w:rPr>
          <w:rStyle w:val="FootnoteReference"/>
        </w:rPr>
        <w:footnoteRef/>
      </w:r>
      <w:r>
        <w:tab/>
        <w:t>Decizia de punere în aplicare (UE) 2016/1206 a Consiliului din 18 iulie 2016 de modificare a Deciziei de punere în aplicare 2013/676/UE de autorizare a României să aplice în continuare o măsură specială de derogare de la articolul 193 din Directiva 2006/112/CE privind sistemul comun al taxei pe valoarea adăugată (JO L 198, 23.7.2016,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22: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DCA835-0485-483F-8BC7-ABC0E6D6A98B"/>
    <w:docVar w:name="LW_COVERPAGE_TYPE" w:val="1"/>
    <w:docVar w:name="LW_CROSSREFERENCE" w:val="&lt;UNUSED&gt;"/>
    <w:docVar w:name="LW_DocType" w:val="COM"/>
    <w:docVar w:name="LW_EMISSION" w:val="28.6.2019"/>
    <w:docVar w:name="LW_EMISSION_ISODATE" w:val="2019-06-28"/>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eciziei de punere în aplicare 2013/676/UE de autorizare a României s\u259? aplice în continuare o m\u259?sur\u259? special\u259? de derogare de la articolul 193 din Directiva 2006/112/CE privind sistemul comun al taxei pe valoarea ad\u259?ugat\u259? "/>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35EE9E-BD27-42A4-A640-0390F1EC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1699</Words>
  <Characters>9568</Characters>
  <Application>Microsoft Office Word</Application>
  <DocSecurity>0</DocSecurity>
  <Lines>167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2019-06-13T11:12:00Z</dcterms:created>
  <dcterms:modified xsi:type="dcterms:W3CDTF">2019-06-24T10:22:00Z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