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84E3D133-202D-4417-B87C-15883A9EB654" style="width:450.75pt;height:338.25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t>PASKAIDROJUMA RAKSTS</w:t>
      </w:r>
    </w:p>
    <w:p>
      <w:pPr>
        <w:rPr>
          <w:noProof/>
        </w:rPr>
      </w:pPr>
      <w:r>
        <w:rPr>
          <w:noProof/>
        </w:rPr>
        <w:t>Ar Padomes 2013. gada 2. decembra Regulu (ES, EURATOM) Nr. 1311/2013, ar ko nosaka daudzgadu finanšu shēmu 2014.–2020. gadam</w:t>
      </w:r>
      <w:r>
        <w:rPr>
          <w:rStyle w:val="FootnoteReference"/>
          <w:noProof/>
        </w:rPr>
        <w:footnoteReference w:id="1"/>
      </w:r>
      <w:r>
        <w:rPr>
          <w:noProof/>
        </w:rPr>
        <w:t>, un jo īpaši tās 10. pantu ir atļauts izmantot Eiropas Savienības Solidaritātes fondu ar ikgadējo maksimālo apjomu 500 000 000 EUR apmērā (2011. gada cenās), pārsniedzot finanšu shēmas attiecīgajām izdevumu kategorijām noteiktos maksimālos apjomus.</w:t>
      </w:r>
    </w:p>
    <w:p>
      <w:pPr>
        <w:rPr>
          <w:noProof/>
        </w:rPr>
      </w:pPr>
      <w:r>
        <w:rPr>
          <w:noProof/>
        </w:rPr>
        <w:t>Fonda izmantošanas kārtība ir izklāstīta Eiropas Parlamenta, Padomes un Komisijas 2013. gada 2. decembra Iestāžu nolīguma par budžeta disciplīnu, sadarbību budžeta jautājumos un pareizu finanšu pārvaldību</w:t>
      </w:r>
      <w:r>
        <w:rPr>
          <w:rStyle w:val="FootnoteReference"/>
          <w:noProof/>
        </w:rPr>
        <w:footnoteReference w:id="2"/>
      </w:r>
      <w:r>
        <w:rPr>
          <w:noProof/>
        </w:rPr>
        <w:t xml:space="preserve"> 11. punktā.</w:t>
      </w:r>
    </w:p>
    <w:p>
      <w:pPr>
        <w:rPr>
          <w:noProof/>
        </w:rPr>
      </w:pPr>
      <w:r>
        <w:rPr>
          <w:noProof/>
        </w:rPr>
        <w:t>Fonda pieejamības nosacījumi ir sīki izklāstīti Eiropas Parlamenta un Padomes regulā, ar kuru groza Padomes Regulu (EK) Nr. 2012/2002</w:t>
      </w:r>
      <w:r>
        <w:rPr>
          <w:rStyle w:val="FootnoteReference"/>
          <w:noProof/>
        </w:rPr>
        <w:footnoteReference w:id="3"/>
      </w:r>
      <w:r>
        <w:rPr>
          <w:noProof/>
        </w:rPr>
        <w:t xml:space="preserve"> un kurā ir paredzēts, ka avansa maksājumiem budžetā iekļauj summu, kas maksimāli sasniedz 50 000 000 EUR gan saistību, gan maksājumu apropriācijās.</w:t>
      </w:r>
    </w:p>
    <w:p>
      <w:pPr>
        <w:rPr>
          <w:noProof/>
        </w:rPr>
      </w:pPr>
      <w:r>
        <w:rPr>
          <w:noProof/>
        </w:rPr>
        <w:t>Komisija iekļauj šīs summas 2020. gada budžeta projektā.</w:t>
      </w:r>
    </w:p>
    <w:p>
      <w:pPr>
        <w:rPr>
          <w:noProof/>
        </w:rPr>
        <w:sectPr>
          <w:footerReference w:type="default" r:id="rId15"/>
          <w:footerReference w:type="first" r:id="rId16"/>
          <w:pgSz w:w="11907" w:h="16839"/>
          <w:pgMar w:top="1134" w:right="1417" w:bottom="1134" w:left="1417" w:header="709" w:footer="709" w:gutter="0"/>
          <w:cols w:space="708"/>
          <w:docGrid w:linePitch="360"/>
        </w:sectPr>
      </w:pPr>
    </w:p>
    <w:p>
      <w:pPr>
        <w:pStyle w:val="Statut"/>
        <w:rPr>
          <w:noProof/>
        </w:rPr>
      </w:pPr>
      <w:r>
        <w:rPr>
          <w:noProof/>
        </w:rPr>
        <w:t>Priekšlikums</w:t>
      </w:r>
    </w:p>
    <w:p>
      <w:pPr>
        <w:pStyle w:val="Typedudocument"/>
        <w:rPr>
          <w:noProof/>
        </w:rPr>
      </w:pPr>
      <w:r>
        <w:rPr>
          <w:noProof/>
        </w:rPr>
        <w:t>EIROPAS PARLAMENTA UN PADOMES LĒMUMS</w:t>
      </w:r>
    </w:p>
    <w:p>
      <w:pPr>
        <w:pStyle w:val="Titreobjet"/>
        <w:rPr>
          <w:noProof/>
        </w:rPr>
      </w:pPr>
      <w:r>
        <w:rPr>
          <w:noProof/>
        </w:rPr>
        <w:t>par ES Solidaritātes fonda izmantošanu avansa maksājumu nodrošināšanai Savienības 2020. gada vispārējā budžetā</w:t>
      </w:r>
    </w:p>
    <w:p>
      <w:pPr>
        <w:pStyle w:val="Institutionquiagit"/>
        <w:spacing w:before="480" w:after="360"/>
        <w:rPr>
          <w:noProof/>
        </w:rPr>
      </w:pPr>
      <w:r>
        <w:rPr>
          <w:noProof/>
        </w:rPr>
        <w:t>EIROPAS PARLAMENTS UN EIROPAS SAVIENĪBAS PADOME,</w:t>
      </w:r>
    </w:p>
    <w:p>
      <w:pPr>
        <w:rPr>
          <w:noProof/>
        </w:rPr>
      </w:pPr>
      <w:r>
        <w:rPr>
          <w:noProof/>
        </w:rPr>
        <w:t>ņemot vērā Līgumu par Eiropas Savienības darbību,</w:t>
      </w:r>
    </w:p>
    <w:p>
      <w:pPr>
        <w:rPr>
          <w:noProof/>
        </w:rPr>
      </w:pPr>
      <w:r>
        <w:rPr>
          <w:noProof/>
        </w:rPr>
        <w:t>ņemot vērā Padomes 2002. gada 11. novembra Regulu (EK) Nr. 2012/2002, ar ko izveido Eiropas Savienības Solidaritātes fondu</w:t>
      </w:r>
      <w:r>
        <w:rPr>
          <w:rStyle w:val="FootnoteReference"/>
          <w:noProof/>
        </w:rPr>
        <w:footnoteReference w:id="4"/>
      </w:r>
      <w:r>
        <w:rPr>
          <w:noProof/>
        </w:rPr>
        <w:t xml:space="preserve">, un jo īpaši tās 4.a panta 4. punktu, </w:t>
      </w:r>
    </w:p>
    <w:p>
      <w:pPr>
        <w:rPr>
          <w:noProof/>
        </w:rPr>
      </w:pPr>
      <w:r>
        <w:rPr>
          <w:noProof/>
        </w:rPr>
        <w:t>ņemot vērā Eiropas Parlamenta, Padomes un Komisijas 2013. gada 2. decembra Iestāžu nolīgumu par budžeta disciplīnu, sadarbību budžeta jautājumos un pareizu finanšu pārvaldību</w:t>
      </w:r>
      <w:r>
        <w:rPr>
          <w:rStyle w:val="FootnoteReference"/>
          <w:noProof/>
        </w:rPr>
        <w:footnoteReference w:id="5"/>
      </w:r>
      <w:r>
        <w:rPr>
          <w:noProof/>
        </w:rPr>
        <w:t xml:space="preserve"> un jo īpaši tā 11. punktu,</w:t>
      </w:r>
    </w:p>
    <w:p>
      <w:pPr>
        <w:rPr>
          <w:noProof/>
        </w:rPr>
      </w:pPr>
      <w:r>
        <w:rPr>
          <w:noProof/>
        </w:rPr>
        <w:t>ņemot vērā Eiropas Komisijas priekšlikumu,</w:t>
      </w:r>
    </w:p>
    <w:p>
      <w:pPr>
        <w:spacing w:after="360"/>
        <w:rPr>
          <w:noProof/>
        </w:rPr>
      </w:pPr>
      <w:r>
        <w:rPr>
          <w:noProof/>
        </w:rPr>
        <w:t>tā kā:</w:t>
      </w:r>
    </w:p>
    <w:p>
      <w:pPr>
        <w:pStyle w:val="Point0number"/>
        <w:numPr>
          <w:ilvl w:val="0"/>
          <w:numId w:val="1"/>
        </w:numPr>
        <w:rPr>
          <w:noProof/>
        </w:rPr>
      </w:pPr>
      <w:r>
        <w:rPr>
          <w:noProof/>
        </w:rPr>
        <w:t>Eiropas Savienības Solidaritātes fonda (“fonds”) mērķis ir ļaut Savienībai ātri, efektīvi un elastīgi reaģēt uz ārkārtas situācijām un demonstrēt solidaritāti ar to reģionu iedzīvotājiem, kurus ir piemeklējušas dabas katastrofas.</w:t>
      </w:r>
    </w:p>
    <w:p>
      <w:pPr>
        <w:pStyle w:val="Point0number"/>
        <w:rPr>
          <w:noProof/>
        </w:rPr>
      </w:pPr>
      <w:r>
        <w:rPr>
          <w:noProof/>
        </w:rPr>
        <w:t>Fondu var izmantot, nepārsniedzot maksimālo summu, kas ir 500 000 000 EUR (2011. gada cenās), kā noteikts Padomes Regulas (ES, Euratom) Nr. 1311/2013</w:t>
      </w:r>
      <w:r>
        <w:rPr>
          <w:rStyle w:val="FootnoteReference"/>
          <w:noProof/>
        </w:rPr>
        <w:footnoteReference w:id="6"/>
      </w:r>
      <w:r>
        <w:rPr>
          <w:noProof/>
        </w:rPr>
        <w:t xml:space="preserve"> 10. pantā.</w:t>
      </w:r>
    </w:p>
    <w:p>
      <w:pPr>
        <w:pStyle w:val="Point0number"/>
        <w:rPr>
          <w:noProof/>
          <w:sz w:val="22"/>
        </w:rPr>
      </w:pPr>
      <w:r>
        <w:rPr>
          <w:noProof/>
        </w:rPr>
        <w:t>Grozītās Regulas (EK) Nr. 2012/2002 4.a panta 4. punktā ir noteikts, ka gadījumos, kad tas ir vajadzīgs, lai nodrošinātu budžeta līdzekļu savlaicīgu pieejamību, fondu var izmantot avansa maksājumiem maksimāli 50 000 000 EUR apmērā, iekļaujot attiecīgās apropriācijas Savienības vispārējā budžetā.</w:t>
      </w:r>
    </w:p>
    <w:p>
      <w:pPr>
        <w:pStyle w:val="Point0number"/>
        <w:rPr>
          <w:noProof/>
          <w:sz w:val="22"/>
        </w:rPr>
      </w:pPr>
      <w:r>
        <w:rPr>
          <w:noProof/>
        </w:rPr>
        <w:t>Lai nodrošinātu Savienības 2020. gada vispārējā budžetā pietiekamu budžeta līdzekļu savlaicīgu pieejamību, fonds būtu jāizmanto avansa maksājumiem 50 000 000 EUR apmērā.</w:t>
      </w:r>
    </w:p>
    <w:p>
      <w:pPr>
        <w:pStyle w:val="Point0number"/>
        <w:rPr>
          <w:noProof/>
        </w:rPr>
      </w:pPr>
      <w:r>
        <w:rPr>
          <w:noProof/>
        </w:rPr>
        <w:t>Lai pēc iespējas saīsinātu laiku, kas vajadzīgs fonda izmantošanai, šis lēmums būtu jāpiemēro no 2020. finanšu gada sākuma,</w:t>
      </w:r>
    </w:p>
    <w:p>
      <w:pPr>
        <w:pStyle w:val="Formuledadoption"/>
        <w:spacing w:before="240"/>
        <w:rPr>
          <w:noProof/>
        </w:rPr>
      </w:pPr>
      <w:r>
        <w:rPr>
          <w:noProof/>
        </w:rPr>
        <w:t xml:space="preserve">IR PIEŅĒMUŠI ŠO LĒMUMU. </w:t>
      </w:r>
    </w:p>
    <w:p>
      <w:pPr>
        <w:pStyle w:val="Titrearticle"/>
        <w:rPr>
          <w:noProof/>
        </w:rPr>
      </w:pPr>
      <w:r>
        <w:rPr>
          <w:noProof/>
        </w:rPr>
        <w:t>1. pants</w:t>
      </w:r>
    </w:p>
    <w:p>
      <w:pPr>
        <w:rPr>
          <w:noProof/>
        </w:rPr>
      </w:pPr>
      <w:r>
        <w:rPr>
          <w:noProof/>
        </w:rPr>
        <w:t>Eiropas Savienības 2020. finanšu gada vispārējā budžetā Eiropas Savienības Solidaritātes fondu izmanto, lai avansa maksājumiem nodrošinātu summu 50 000 000 EUR apmērā saistību un maksājumu apropriācijās.</w:t>
      </w:r>
    </w:p>
    <w:p>
      <w:pPr>
        <w:pStyle w:val="Titrearticle"/>
        <w:rPr>
          <w:noProof/>
        </w:rPr>
      </w:pPr>
      <w:r>
        <w:rPr>
          <w:noProof/>
        </w:rPr>
        <w:br w:type="page"/>
        <w:t>2. pants</w:t>
      </w:r>
    </w:p>
    <w:p>
      <w:pPr>
        <w:rPr>
          <w:noProof/>
        </w:rPr>
      </w:pPr>
      <w:r>
        <w:rPr>
          <w:noProof/>
        </w:rPr>
        <w:t xml:space="preserve">Šis lēmums stājas spēkā nākamajā dienā pēc tā publicēšanas </w:t>
      </w:r>
      <w:r>
        <w:rPr>
          <w:i/>
          <w:noProof/>
        </w:rPr>
        <w:t>Eiropas Savienības Oficiālajā Vēstnesī</w:t>
      </w:r>
      <w:r>
        <w:rPr>
          <w:noProof/>
        </w:rPr>
        <w:t>.</w:t>
      </w:r>
    </w:p>
    <w:p>
      <w:pPr>
        <w:rPr>
          <w:noProof/>
        </w:rPr>
      </w:pPr>
      <w:r>
        <w:rPr>
          <w:noProof/>
        </w:rPr>
        <w:t>To piemēro no 2020. gada 1. janvāra.</w:t>
      </w:r>
    </w:p>
    <w:p>
      <w:pPr>
        <w:pStyle w:val="Fait"/>
        <w:rPr>
          <w:noProof/>
        </w:rPr>
      </w:pPr>
      <w:r>
        <w:t>Briselē,</w:t>
      </w:r>
    </w:p>
    <w:p>
      <w:pPr>
        <w:pStyle w:val="Institutionquisigne"/>
        <w:rPr>
          <w:noProof/>
        </w:rPr>
      </w:pPr>
      <w:r>
        <w:rPr>
          <w:noProof/>
        </w:rPr>
        <w:t>Eiropas Parlamenta vārdā —</w:t>
      </w:r>
      <w:r>
        <w:rPr>
          <w:noProof/>
        </w:rPr>
        <w:tab/>
        <w:t>Padomes vārdā –</w:t>
      </w:r>
    </w:p>
    <w:p>
      <w:pPr>
        <w:pStyle w:val="Personnequisigne"/>
        <w:rPr>
          <w:noProof/>
        </w:rPr>
      </w:pPr>
      <w:r>
        <w:rPr>
          <w:noProof/>
        </w:rPr>
        <w:t>priekšsēdētājs</w:t>
      </w:r>
      <w:r>
        <w:rPr>
          <w:noProof/>
        </w:rPr>
        <w:tab/>
        <w:t>priekšsēdētājs</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rPr>
        <w:rFonts w:ascii="Arial" w:hAnsi="Arial" w:cs="Arial"/>
        <w:b/>
        <w:sz w:val="48"/>
      </w:rPr>
      <w:tab/>
    </w:r>
    <w:r>
      <w:tab/>
    </w:r>
    <w:r>
      <w:rPr>
        <w:rFonts w:ascii="Arial" w:hAnsi="Arial" w:cs="Arial"/>
        <w:b/>
        <w:sz w:val="48"/>
      </w:rPr>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fldChar w:fldCharType="begin"/>
    </w:r>
    <w:r>
      <w:instrText xml:space="preserve"> PAGE  \* MERGEFORMAT </w:instrText>
    </w:r>
    <w:r>
      <w:fldChar w:fldCharType="separate"/>
    </w:r>
    <w:r>
      <w:rPr>
        <w:noProof/>
      </w:rPr>
      <w:t>3</w:t>
    </w:r>
    <w:r>
      <w:fldChar w:fldCharType="end"/>
    </w:r>
    <w:r>
      <w:tab/>
    </w:r>
    <w:r>
      <w:tab/>
    </w:r>
    <w:r>
      <w:rPr>
        <w:rFonts w:ascii="Arial" w:hAnsi="Arial" w:cs="Arial"/>
        <w:b/>
        <w:sz w:val="48"/>
      </w:rPr>
      <w:t>LV</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nn-NO"/>
        </w:rPr>
      </w:pPr>
      <w:r>
        <w:rPr>
          <w:rStyle w:val="FootnoteReference"/>
        </w:rPr>
        <w:footnoteRef/>
      </w:r>
      <w:r>
        <w:rPr>
          <w:lang w:val="nn-NO"/>
        </w:rPr>
        <w:tab/>
        <w:t>OV L 347, 20.12.2013., 884. lpp.</w:t>
      </w:r>
    </w:p>
  </w:footnote>
  <w:footnote w:id="2">
    <w:p>
      <w:pPr>
        <w:pStyle w:val="FootnoteText"/>
        <w:rPr>
          <w:lang w:val="nn-NO"/>
        </w:rPr>
      </w:pPr>
      <w:r>
        <w:rPr>
          <w:rStyle w:val="FootnoteReference"/>
        </w:rPr>
        <w:footnoteRef/>
      </w:r>
      <w:r>
        <w:rPr>
          <w:lang w:val="nn-NO"/>
        </w:rPr>
        <w:tab/>
        <w:t>OV C 373, 20.12.2013., 1. lpp.</w:t>
      </w:r>
    </w:p>
  </w:footnote>
  <w:footnote w:id="3">
    <w:p>
      <w:pPr>
        <w:pStyle w:val="FootnoteText"/>
        <w:rPr>
          <w:lang w:val="nn-NO"/>
        </w:rPr>
      </w:pPr>
      <w:r>
        <w:rPr>
          <w:rStyle w:val="FootnoteReference"/>
        </w:rPr>
        <w:footnoteRef/>
      </w:r>
      <w:r>
        <w:rPr>
          <w:lang w:val="nn-NO"/>
        </w:rPr>
        <w:tab/>
        <w:t>OV L 189, 27.6.2014., 143. lpp.</w:t>
      </w:r>
    </w:p>
  </w:footnote>
  <w:footnote w:id="4">
    <w:p>
      <w:pPr>
        <w:pStyle w:val="FootnoteText"/>
        <w:rPr>
          <w:lang w:val="nn-NO"/>
        </w:rPr>
      </w:pPr>
      <w:r>
        <w:rPr>
          <w:rStyle w:val="FootnoteReference"/>
        </w:rPr>
        <w:footnoteRef/>
      </w:r>
      <w:r>
        <w:rPr>
          <w:lang w:val="nn-NO"/>
        </w:rPr>
        <w:tab/>
        <w:t>OV L 189, 27.6.2014., 143. lpp.</w:t>
      </w:r>
    </w:p>
  </w:footnote>
  <w:footnote w:id="5">
    <w:p>
      <w:pPr>
        <w:pStyle w:val="FootnoteText"/>
        <w:rPr>
          <w:lang w:val="nn-NO"/>
        </w:rPr>
      </w:pPr>
      <w:r>
        <w:rPr>
          <w:rStyle w:val="FootnoteReference"/>
        </w:rPr>
        <w:footnoteRef/>
      </w:r>
      <w:r>
        <w:rPr>
          <w:lang w:val="nn-NO"/>
        </w:rPr>
        <w:tab/>
        <w:t>OV C 373, 20.12.2013., 1. lpp.</w:t>
      </w:r>
    </w:p>
  </w:footnote>
  <w:footnote w:id="6">
    <w:p>
      <w:pPr>
        <w:pStyle w:val="FootnoteText"/>
        <w:rPr>
          <w:lang w:val="nn-NO"/>
        </w:rPr>
      </w:pPr>
      <w:r>
        <w:rPr>
          <w:rStyle w:val="FootnoteReference"/>
        </w:rPr>
        <w:footnoteRef/>
      </w:r>
      <w:r>
        <w:rPr>
          <w:lang w:val="nn-NO"/>
        </w:rPr>
        <w:tab/>
        <w:t>OV L 347, 20.12.2013., 884. lpp.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0ADCE7D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88EAD89E"/>
    <w:lvl w:ilvl="0">
      <w:start w:val="1"/>
      <w:numFmt w:val="decimal"/>
      <w:pStyle w:val="ListNumber3"/>
      <w:lvlText w:val="%1."/>
      <w:lvlJc w:val="left"/>
      <w:pPr>
        <w:tabs>
          <w:tab w:val="num" w:pos="926"/>
        </w:tabs>
        <w:ind w:left="926" w:hanging="360"/>
      </w:pPr>
    </w:lvl>
  </w:abstractNum>
  <w:abstractNum w:abstractNumId="2">
    <w:nsid w:val="FFFFFF7F"/>
    <w:multiLevelType w:val="singleLevel"/>
    <w:tmpl w:val="B4FEE4CE"/>
    <w:lvl w:ilvl="0">
      <w:start w:val="1"/>
      <w:numFmt w:val="decimal"/>
      <w:pStyle w:val="ListNumber2"/>
      <w:lvlText w:val="%1."/>
      <w:lvlJc w:val="left"/>
      <w:pPr>
        <w:tabs>
          <w:tab w:val="num" w:pos="643"/>
        </w:tabs>
        <w:ind w:left="643" w:hanging="360"/>
      </w:pPr>
    </w:lvl>
  </w:abstractNum>
  <w:abstractNum w:abstractNumId="3">
    <w:nsid w:val="FFFFFF81"/>
    <w:multiLevelType w:val="singleLevel"/>
    <w:tmpl w:val="E2625B6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3EF6CD4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FAB0F38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63E001D2"/>
    <w:lvl w:ilvl="0">
      <w:start w:val="1"/>
      <w:numFmt w:val="decimal"/>
      <w:pStyle w:val="ListNumber"/>
      <w:lvlText w:val="%1."/>
      <w:lvlJc w:val="left"/>
      <w:pPr>
        <w:tabs>
          <w:tab w:val="num" w:pos="360"/>
        </w:tabs>
        <w:ind w:left="360" w:hanging="360"/>
      </w:pPr>
    </w:lvl>
  </w:abstractNum>
  <w:abstractNum w:abstractNumId="7">
    <w:nsid w:val="FFFFFF89"/>
    <w:multiLevelType w:val="singleLevel"/>
    <w:tmpl w:val="5686B15A"/>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7-01 09:23:11"/>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84E3D133-202D-4417-B87C-15883A9EB654"/>
    <w:docVar w:name="LW_COVERPAGE_TYPE" w:val="1"/>
    <w:docVar w:name="LW_CROSSREFERENCE" w:val="&lt;UNUSED&gt;"/>
    <w:docVar w:name="LW_DocType" w:val="COM"/>
    <w:docVar w:name="LW_EMISSION" w:val="5.6.2019"/>
    <w:docVar w:name="LW_EMISSION_ISODATE" w:val="2019-06-05"/>
    <w:docVar w:name="LW_EMISSION_LOCATION" w:val="BRX"/>
    <w:docVar w:name="LW_EMISSION_PREFIX" w:val="Briselē, "/>
    <w:docVar w:name="LW_EMISSION_SUFFIX" w:val="&lt;EMPTY&gt;"/>
    <w:docVar w:name="LW_ID_DOCMODEL" w:val="SJ-026"/>
    <w:docVar w:name="LW_ID_DOCSIGNATURE" w:val="SJ-026"/>
    <w:docVar w:name="LW_ID_DOCSTRUCTURE" w:val="COM/PL/ORG"/>
    <w:docVar w:name="LW_ID_DOCTYPE" w:val="SJ-026"/>
    <w:docVar w:name="LW_ID_EXP.MOTIFS.NEW" w:val="EM_PL_"/>
    <w:docVar w:name="LW_ID_STATUT" w:val="SJ-026"/>
    <w:docVar w:name="LW_INTERETEEE.CP" w:val="&lt;UNUSED&gt;"/>
    <w:docVar w:name="LW_LANGUE" w:val="LV"/>
    <w:docVar w:name="LW_LEVEL_OF_SENSITIVITY" w:val="Standard treatment"/>
    <w:docVar w:name="LW_NOM.INST" w:val="EIROPAS KOMISIJA"/>
    <w:docVar w:name="LW_NOM.INST_JOINTDOC" w:val="&lt;EMPTY&gt;"/>
    <w:docVar w:name="LW_PART_NBR" w:val="1"/>
    <w:docVar w:name="LW_PART_NBR_TOTAL" w:val="1"/>
    <w:docVar w:name="LW_REF.II.NEW.CP" w:val="&lt;UNUSED&gt;"/>
    <w:docVar w:name="LW_REF.II.NEW.CP_NUMBER" w:val="&lt;UNUSED&gt;"/>
    <w:docVar w:name="LW_REF.II.NEW.CP_YEAR" w:val="2019"/>
    <w:docVar w:name="LW_REF.INST.NEW" w:val="COM"/>
    <w:docVar w:name="LW_REF.INST.NEW_ADOPTED" w:val="final"/>
    <w:docVar w:name="LW_REF.INST.NEW_TEXT" w:val="(2019) 25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iek\u353?likums"/>
    <w:docVar w:name="LW_SUPERTITRE" w:val="&lt;UNUSED&gt;"/>
    <w:docVar w:name="LW_TITRE.OBJ.CP" w:val="par ES Solidarit\u257?tes fonda izmanto\u353?anu avansa maks\u257?jumu nodro\u353?in\u257?\u353?anai Savien\u299?bas 2020. gada visp\u257?r\u275?j\u257? bud\u382?et\u257?"/>
    <w:docVar w:name="LW_TYPE.DOC.CP" w:val="EIROPAS PARLAMENTA UN PADOMES L\u274?MUM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v-LV"/>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lv-LV"/>
    </w:rPr>
  </w:style>
  <w:style w:type="character" w:customStyle="1" w:styleId="italic1">
    <w:name w:val="italic1"/>
    <w:basedOn w:val="DefaultParagraphFont"/>
    <w:rPr>
      <w:i/>
      <w:iCs/>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v-LV"/>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v-LV"/>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v-LV"/>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v-LV"/>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v-LV"/>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lv-LV"/>
    </w:rPr>
  </w:style>
  <w:style w:type="character" w:customStyle="1" w:styleId="italic1">
    <w:name w:val="italic1"/>
    <w:basedOn w:val="DefaultParagraphFont"/>
    <w:rPr>
      <w:i/>
      <w:iCs/>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v-LV"/>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v-LV"/>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v-LV"/>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v-LV"/>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3</TotalTime>
  <Pages>4</Pages>
  <Words>428</Words>
  <Characters>2655</Characters>
  <Application>Microsoft Office Word</Application>
  <DocSecurity>0</DocSecurity>
  <Lines>59</Lines>
  <Paragraphs>32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19</cp:revision>
  <dcterms:created xsi:type="dcterms:W3CDTF">2019-06-27T14:21:00Z</dcterms:created>
  <dcterms:modified xsi:type="dcterms:W3CDTF">2019-07-01T07:23:00Z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6.0.1, Build 20180503</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SJ-026</vt:lpwstr>
  </property>
  <property fmtid="{D5CDD505-2E9C-101B-9397-08002B2CF9AE}" pid="10" name="DQCStatus">
    <vt:lpwstr>Green (DQC version 03)</vt:lpwstr>
  </property>
</Properties>
</file>