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4B0B073-84DA-46BB-A072-DB192BF2B1A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rPr>
          <w:noProof/>
        </w:rPr>
      </w:pPr>
      <w:r>
        <w:rPr>
          <w:noProof/>
        </w:rPr>
        <w:t>Ο κανονισμός (ΕΕ, Ευρατόμ) αριθ. 1311/2013 του Συμβουλίου, της 2ας Δεκεμβρίου 2013, για τον καθορισμό του πολυετούς δημοσιονομικού πλαισίου για την περίοδο 2014-2020</w:t>
      </w:r>
      <w:r>
        <w:rPr>
          <w:rStyle w:val="FootnoteReference"/>
          <w:noProof/>
        </w:rPr>
        <w:footnoteReference w:id="1"/>
      </w:r>
      <w:r>
        <w:rPr>
          <w:noProof/>
        </w:rPr>
        <w:t xml:space="preserve"> επιτρέπει την κινητοποίηση του μηχανισμού ευελιξίας για τη χρηματοδότηση σαφώς προσδιορισμένων δαπανών οι οποίες δεν θα μπορούσαν να χρηματοδοτηθούν στο πλαίσιο των διαθέσιμων ανώτατων ορίων για έναν ή περισσοτέρους τομείς του πολυετούς δημοσιονομικού πλαισίου.</w:t>
      </w:r>
    </w:p>
    <w:p>
      <w:pPr>
        <w:rPr>
          <w:noProof/>
        </w:rPr>
      </w:pPr>
      <w:r>
        <w:rPr>
          <w:noProof/>
        </w:rPr>
        <w:t>Σύμφωνα με το άρθρο 11 του κανονισμού αριθ. 1311/2013 του Συμβουλίου και με το σημείο 12 της διοργανικής συμφωνίας της 2ας Δεκεμβρίου 2013 μεταξύ του Ευρωπαϊκού Κοινοβουλίου, του Συμβουλίου και της Επιτροπής για τη δημοσιονομική πειθαρχία, τη συνεργασία σε δημοσιονομικά θέματα και τη χρηστή δημοσιονομική διαχείριση</w:t>
      </w:r>
      <w:r>
        <w:rPr>
          <w:rStyle w:val="FootnoteReference"/>
          <w:noProof/>
        </w:rPr>
        <w:footnoteReference w:id="2"/>
      </w:r>
      <w:r>
        <w:rPr>
          <w:noProof/>
        </w:rPr>
        <w:t xml:space="preserve">, μετά την εξέταση όλων των δυνατοτήτων ανακατανομής πιστώσεων και την εξάντληση κάθε αδιάθετου περιθωρίου στο πλαίσιο των δαπανών για την </w:t>
      </w:r>
      <w:r>
        <w:rPr>
          <w:i/>
          <w:noProof/>
        </w:rPr>
        <w:t>Ασφάλεια και ιθαγένεια</w:t>
      </w:r>
      <w:r>
        <w:rPr>
          <w:noProof/>
        </w:rPr>
        <w:t xml:space="preserve"> (τομέας 3), η Επιτροπή προτείνει την κινητοποίηση του μηχανισμού ευελιξίας το 2020. Το ετήσιο διαθέσιμο ποσό το 2019 ανέρχεται σε 600 εκατ. EUR (τιμές 2011), τα οποία αντιστοιχούν σε 717 εκατ. EUR σε τρέχουσες τιμές. Επιπλέον, 202 εκατ. EUR είναι διαθέσιμα από το μη χρησιμοποιηθέν μέρος του 2019. </w:t>
      </w:r>
    </w:p>
    <w:p>
      <w:pPr>
        <w:rPr>
          <w:noProof/>
        </w:rPr>
      </w:pPr>
      <w:r>
        <w:rPr>
          <w:noProof/>
        </w:rPr>
        <w:t>Η παρούσα κινητοποίηση αφορά ποσό 778,1 εκατ. EUR, πέραν του ανώτατου ορίου του τομέα 3 του πολυετούς δημοσιονομικού πλαισίου, και προορίζεται να χρηματοδοτήσει τη στήριξη των μέτρων διαχείρισης της κρίσης στον τομέα της μετανάστευσης, των προσφύγων και της ασφάλειας.</w:t>
      </w:r>
    </w:p>
    <w:p>
      <w:pPr>
        <w:rPr>
          <w:noProof/>
        </w:rPr>
      </w:pPr>
      <w:r>
        <w:rPr>
          <w:noProof/>
        </w:rPr>
        <w:t>Οι ενδεικτικές πιστώσεις πληρωμών που αντιστοιχούν στην προτεινόμενη κινητοποίηση του μηχανισμού ευελιξίας έχουν υπολογιστεί βάσει των κανόνων που ισχύουν για την προχρηματοδότηση, την εκκαθάριση των προχρηματοδοτήσεων και τις τελικές πληρωμές για τα διάφορα είδη μέτρων που πρόκειται να χρηματοδοτηθούν, και παρουσιάζονται στον κατωτέρω πίνακα:</w:t>
      </w:r>
    </w:p>
    <w:p>
      <w:pPr>
        <w:ind w:left="5040" w:firstLine="720"/>
        <w:jc w:val="left"/>
        <w:rPr>
          <w:noProof/>
        </w:rPr>
      </w:pPr>
      <w:r>
        <w:rPr>
          <w:i/>
          <w:noProof/>
          <w:sz w:val="16"/>
        </w:rPr>
        <w:t>(σε εκατ. ευρώ, σε τρέχουσες τιμές)</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Έτος</w:t>
            </w:r>
          </w:p>
        </w:tc>
        <w:tc>
          <w:tcPr>
            <w:tcW w:w="5604" w:type="dxa"/>
            <w:shd w:val="clear" w:color="auto" w:fill="D9D9D9"/>
          </w:tcPr>
          <w:p>
            <w:pPr>
              <w:spacing w:before="30" w:after="30"/>
              <w:jc w:val="center"/>
              <w:rPr>
                <w:b/>
                <w:noProof/>
                <w:sz w:val="16"/>
                <w:szCs w:val="16"/>
              </w:rPr>
            </w:pPr>
            <w:r>
              <w:rPr>
                <w:b/>
                <w:noProof/>
                <w:sz w:val="16"/>
              </w:rPr>
              <w:t>Πιστώσεις πληρωμών για την κινητοποίηση του μηχανισμού ευελιξίας το 2020</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407,4</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312,2</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42,4</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16,1</w:t>
            </w:r>
          </w:p>
        </w:tc>
      </w:tr>
      <w:tr>
        <w:trPr>
          <w:jc w:val="center"/>
        </w:trPr>
        <w:tc>
          <w:tcPr>
            <w:tcW w:w="1560" w:type="dxa"/>
            <w:shd w:val="clear" w:color="auto" w:fill="D9D9D9"/>
          </w:tcPr>
          <w:p>
            <w:pPr>
              <w:spacing w:before="30" w:after="30"/>
              <w:jc w:val="right"/>
              <w:rPr>
                <w:b/>
                <w:noProof/>
                <w:sz w:val="16"/>
                <w:szCs w:val="16"/>
              </w:rPr>
            </w:pPr>
            <w:r>
              <w:rPr>
                <w:b/>
                <w:noProof/>
                <w:sz w:val="16"/>
              </w:rPr>
              <w:t>Σύνολο</w:t>
            </w:r>
          </w:p>
        </w:tc>
        <w:tc>
          <w:tcPr>
            <w:tcW w:w="5604" w:type="dxa"/>
            <w:shd w:val="clear" w:color="auto" w:fill="D9D9D9"/>
          </w:tcPr>
          <w:p>
            <w:pPr>
              <w:spacing w:before="30" w:after="30"/>
              <w:jc w:val="right"/>
              <w:rPr>
                <w:b/>
                <w:noProof/>
                <w:sz w:val="16"/>
                <w:szCs w:val="16"/>
              </w:rPr>
            </w:pPr>
            <w:r>
              <w:rPr>
                <w:b/>
                <w:noProof/>
                <w:sz w:val="16"/>
              </w:rPr>
              <w:t>778,1</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lastRenderedPageBreak/>
        <w:t>Πρόταση</w:t>
      </w:r>
    </w:p>
    <w:p>
      <w:pPr>
        <w:pStyle w:val="Typedudocument"/>
        <w:rPr>
          <w:noProof/>
        </w:rPr>
      </w:pPr>
      <w:r>
        <w:rPr>
          <w:noProof/>
        </w:rPr>
        <w:t>ΑΠΟΦΑΣΗ ΤΟΥ ΕΥΡΩΠΑΪΚΟΥ ΚΟΙΝΟΒΟΥΛΙΟΥ ΚΑΙ ΤΟΥ ΣΥΜΒΟΥΛΙΟΥ</w:t>
      </w:r>
    </w:p>
    <w:p>
      <w:pPr>
        <w:pStyle w:val="Titreobjet"/>
        <w:rPr>
          <w:noProof/>
        </w:rPr>
      </w:pPr>
      <w:r>
        <w:rPr>
          <w:noProof/>
        </w:rPr>
        <w:t>σχετικά με την κινητοποίηση του μηχανισμού ευελιξίας για τη χρηματοδότηση άμεσων δημοσιονομικών μέτρων για την αντιμετώπιση των συνεχιζόμενων προκλήσεων στον τομέα της μετανάστευσης, των εισροών προσφύγων και των απειλών κατά της ασφάλειας</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w:t>
      </w:r>
    </w:p>
    <w:p>
      <w:pPr>
        <w:rPr>
          <w:noProof/>
        </w:rPr>
      </w:pPr>
      <w:r>
        <w:rPr>
          <w:noProof/>
        </w:rPr>
        <w:t>Έχοντας υπόψη τη διοργανική συμφωνία της 2ας Δεκεμβρίου 2013 μεταξύ του Ευρωπαϊκού Κοινοβουλίου, του Συμβουλίου και της Επιτροπής για τη δημοσιονομική πειθαρχία, τη συνεργασία σε δημοσιονομικά θέματα και τη χρηστή δημοσιονομική διαχείριση</w:t>
      </w:r>
      <w:r>
        <w:rPr>
          <w:rStyle w:val="FootnoteReference"/>
          <w:noProof/>
        </w:rPr>
        <w:footnoteReference w:id="3"/>
      </w:r>
      <w:r>
        <w:rPr>
          <w:noProof/>
        </w:rPr>
        <w:t>, και ιδίως το σημείο 12,</w:t>
      </w:r>
    </w:p>
    <w:p>
      <w:pPr>
        <w:rPr>
          <w:noProof/>
        </w:rPr>
      </w:pPr>
      <w:r>
        <w:rPr>
          <w:noProof/>
        </w:rPr>
        <w:t>Έχοντας υπόψη την πρόταση της Ευρωπαϊκής Επιτροπής,</w:t>
      </w:r>
    </w:p>
    <w:p>
      <w:pPr>
        <w:rPr>
          <w:noProof/>
        </w:rPr>
      </w:pPr>
      <w:r>
        <w:rPr>
          <w:noProof/>
        </w:rPr>
        <w:t xml:space="preserve">Εκτιμώντας τα ακόλουθα: </w:t>
      </w:r>
    </w:p>
    <w:p>
      <w:pPr>
        <w:pStyle w:val="Point0number"/>
        <w:numPr>
          <w:ilvl w:val="0"/>
          <w:numId w:val="6"/>
        </w:numPr>
        <w:spacing w:before="0" w:after="0"/>
        <w:rPr>
          <w:noProof/>
        </w:rPr>
      </w:pPr>
      <w:r>
        <w:rPr>
          <w:noProof/>
        </w:rPr>
        <w:t>Ο μηχανισμός ευελιξίας προορίζεται για τη χρηματοδότηση σαφώς προσδιορισμένων δαπανών οι οποίες δεν θα μπορούσαν να χρηματοδοτηθούν στο πλαίσιο των διαθέσιμων ανώτατων ορίων για έναν ή περισσοτέρους άλλους τομείς.</w:t>
      </w:r>
    </w:p>
    <w:p>
      <w:pPr>
        <w:pStyle w:val="Point0number"/>
        <w:numPr>
          <w:ilvl w:val="0"/>
          <w:numId w:val="6"/>
        </w:numPr>
        <w:rPr>
          <w:noProof/>
        </w:rPr>
      </w:pPr>
      <w:r>
        <w:rPr>
          <w:noProof/>
        </w:rPr>
        <w:t>Το ανώτατο όριο του ετήσιου ποσού που είναι διαθέσιμο για τον μηχανισμό ευελιξίας ανέρχεται σε 600 000 000 EUR (σε τιμές του 2011), όπως ορίζεται στο άρθρο 11 του κανονισμού (ΕΕ, Ευρατόμ) αριθ. 1311/2013 του Συμβουλίου</w:t>
      </w:r>
      <w:r>
        <w:rPr>
          <w:rStyle w:val="FootnoteReference"/>
          <w:noProof/>
        </w:rPr>
        <w:footnoteReference w:id="4"/>
      </w:r>
      <w:r>
        <w:rPr>
          <w:noProof/>
        </w:rPr>
        <w:t xml:space="preserve">, και αυξάνεται, κατά περίπτωση, με τα καταργηθέντα ποσά τα οποία γίνονται διαθέσιμα σύμφωνα με το δεύτερο εδάφιο της παραγράφου 1 του εν λόγω άρθρου. </w:t>
      </w:r>
    </w:p>
    <w:p>
      <w:pPr>
        <w:pStyle w:val="Point0number"/>
        <w:numPr>
          <w:ilvl w:val="0"/>
          <w:numId w:val="6"/>
        </w:numPr>
        <w:spacing w:before="0" w:after="0"/>
        <w:rPr>
          <w:noProof/>
        </w:rPr>
      </w:pPr>
      <w:r>
        <w:rPr>
          <w:noProof/>
        </w:rPr>
        <w:t>Προκειμένου να αντιμετωπιστούν οι συνεχιζόμενες προκλήσεις της μετανάστευσης, των προσφυγικών εισροών και των απειλών κατά της ασφάλειας, είναι αναγκαία η κατεπείγουσα κινητοποίηση σημαντικών συμπληρωματικών ποσών για τη χρηματοδότηση των εν λόγω μέτρων.</w:t>
      </w:r>
    </w:p>
    <w:p>
      <w:pPr>
        <w:pStyle w:val="Point0number"/>
        <w:rPr>
          <w:noProof/>
        </w:rPr>
      </w:pPr>
      <w:r>
        <w:rPr>
          <w:noProof/>
        </w:rPr>
        <w:t>Αφού εξετάστηκαν όλες οι δυνατότητες ανακατανομής πιστώσεων στο πλαίσιο του ανώτατου ορίου δαπανών του τομέα 3 (</w:t>
      </w:r>
      <w:r>
        <w:rPr>
          <w:i/>
          <w:noProof/>
        </w:rPr>
        <w:t>Ασφάλεια και ιθαγένεια</w:t>
      </w:r>
      <w:r>
        <w:rPr>
          <w:noProof/>
        </w:rPr>
        <w:t>), είναι αναγκαία η κινητοποίηση του μηχανισμού ευελιξίας, για να συμπληρωθεί η χρηματοδότηση που διατίθεται στον γενικό προϋπολογισμό της Ένωσης για το οικονομικό έτος 2020, πέραν του ανώτατου ορίου του τομέα 3 με ποσό ύψους 778 074 489 EUR για τη χρηματοδότηση μέτρων στον τομέα της μετανάστευσης, των προσφύγων και της ασφάλειας.</w:t>
      </w:r>
    </w:p>
    <w:p>
      <w:pPr>
        <w:pStyle w:val="Point0number"/>
        <w:rPr>
          <w:noProof/>
        </w:rPr>
      </w:pPr>
      <w:r>
        <w:rPr>
          <w:noProof/>
        </w:rPr>
        <w:t>Με βάση την αναμενόμενη πορεία των πληρωμών, οι πιστώσεις πληρωμών που αντιστοιχούν στην κινητοποίηση του μηχανισμού ευελιξίας θα πρέπει να κατανεμηθούν σε περισσότερα οικονομικά έτη.</w:t>
      </w:r>
    </w:p>
    <w:p>
      <w:pPr>
        <w:pStyle w:val="Point0number"/>
        <w:rPr>
          <w:noProof/>
        </w:rPr>
      </w:pPr>
      <w:r>
        <w:rPr>
          <w:noProof/>
        </w:rPr>
        <w:lastRenderedPageBreak/>
        <w:t>Προκειμένου να είναι δυνατή η ταχεία χρήση των πόρων, η παρούσα απόφαση θα πρέπει να εφαρμοστεί από την έναρξη του οικονομικού έτους 2020,</w:t>
      </w:r>
    </w:p>
    <w:p>
      <w:pPr>
        <w:pStyle w:val="Formuledadoption"/>
        <w:rPr>
          <w:noProof/>
        </w:rPr>
      </w:pPr>
      <w:r>
        <w:rPr>
          <w:noProof/>
        </w:rPr>
        <w:t>ΕΞΕΔΩΣΑΝ ΤΗΝ ΠΑΡΟΥΣΑ ΑΠΟΦΑΣΗ:</w:t>
      </w:r>
    </w:p>
    <w:p>
      <w:pPr>
        <w:pStyle w:val="Titrearticle"/>
        <w:rPr>
          <w:noProof/>
        </w:rPr>
      </w:pPr>
      <w:r>
        <w:rPr>
          <w:noProof/>
        </w:rPr>
        <w:t>Άρθρο 1</w:t>
      </w:r>
    </w:p>
    <w:p>
      <w:pPr>
        <w:pStyle w:val="Point0number"/>
        <w:numPr>
          <w:ilvl w:val="0"/>
          <w:numId w:val="5"/>
        </w:numPr>
        <w:spacing w:before="0" w:after="0"/>
        <w:rPr>
          <w:noProof/>
        </w:rPr>
      </w:pPr>
      <w:r>
        <w:rPr>
          <w:noProof/>
        </w:rPr>
        <w:t>Στο πλαίσιο του γενικού προϋπολογισμού της Ένωσης για το οικονομικό έτος 2020, κινητοποιείται ο μηχανισμός ευελιξίας για τη χορήγηση ποσού ύψους 778 074 489 EUR σε πιστώσεις ανάληψης υποχρεώσεων στον τομέα 3 (</w:t>
      </w:r>
      <w:r>
        <w:rPr>
          <w:i/>
          <w:noProof/>
        </w:rPr>
        <w:t>Ασφάλεια και Ιθαγένεια</w:t>
      </w:r>
      <w:r>
        <w:rPr>
          <w:noProof/>
        </w:rPr>
        <w:t>).</w:t>
      </w:r>
    </w:p>
    <w:p>
      <w:pPr>
        <w:rPr>
          <w:noProof/>
        </w:rPr>
      </w:pPr>
      <w:r>
        <w:rPr>
          <w:noProof/>
        </w:rPr>
        <w:t>Το ποσό που αναφέρεται στο πρώτο εδάφιο χρησιμοποιείται για τη χρηματοδότηση μέτρων για την αντιμετώπιση των συνεχιζόμενων προκλήσεων στον τομέα της μετανάστευσης, των προσφυγικών εισροών και των απειλών κατά της ασφάλειας.</w:t>
      </w:r>
    </w:p>
    <w:p>
      <w:pPr>
        <w:pStyle w:val="Point0"/>
        <w:rPr>
          <w:noProof/>
        </w:rPr>
      </w:pPr>
      <w:r>
        <w:rPr>
          <w:noProof/>
        </w:rPr>
        <w:t>(2)</w:t>
      </w:r>
      <w:r>
        <w:rPr>
          <w:noProof/>
        </w:rPr>
        <w:tab/>
        <w:t>Με βάση την αναμενόμενη πορεία των πληρωμών, οι πιστώσεις πληρωμών που αντιστοιχούν στην κινητοποίηση του μηχανισμού ευελιξίας έχουν ως εξής:</w:t>
      </w:r>
    </w:p>
    <w:p>
      <w:pPr>
        <w:pStyle w:val="Point0"/>
        <w:rPr>
          <w:noProof/>
        </w:rPr>
      </w:pPr>
      <w:r>
        <w:rPr>
          <w:noProof/>
        </w:rPr>
        <w:t>α)</w:t>
      </w:r>
      <w:r>
        <w:rPr>
          <w:noProof/>
        </w:rPr>
        <w:tab/>
        <w:t>407 402 108 EUR το 2020·</w:t>
      </w:r>
    </w:p>
    <w:p>
      <w:pPr>
        <w:pStyle w:val="Point0"/>
        <w:rPr>
          <w:noProof/>
        </w:rPr>
      </w:pPr>
      <w:r>
        <w:rPr>
          <w:noProof/>
        </w:rPr>
        <w:t>β)</w:t>
      </w:r>
      <w:r>
        <w:rPr>
          <w:noProof/>
        </w:rPr>
        <w:tab/>
        <w:t>312 205 134 EUR το 2021·</w:t>
      </w:r>
    </w:p>
    <w:p>
      <w:pPr>
        <w:pStyle w:val="Point0"/>
        <w:rPr>
          <w:noProof/>
        </w:rPr>
      </w:pPr>
      <w:r>
        <w:rPr>
          <w:noProof/>
        </w:rPr>
        <w:t>γ)</w:t>
      </w:r>
      <w:r>
        <w:rPr>
          <w:noProof/>
        </w:rPr>
        <w:tab/>
        <w:t>42 336 587 EUR το 2022·</w:t>
      </w:r>
    </w:p>
    <w:p>
      <w:pPr>
        <w:pStyle w:val="Point0"/>
        <w:rPr>
          <w:noProof/>
        </w:rPr>
      </w:pPr>
      <w:r>
        <w:rPr>
          <w:noProof/>
        </w:rPr>
        <w:t>δ)</w:t>
      </w:r>
      <w:r>
        <w:rPr>
          <w:noProof/>
        </w:rPr>
        <w:tab/>
        <w:t>16 130 660 EUR το 2023.</w:t>
      </w:r>
    </w:p>
    <w:p>
      <w:pPr>
        <w:rPr>
          <w:noProof/>
        </w:rPr>
      </w:pPr>
      <w:r>
        <w:rPr>
          <w:noProof/>
        </w:rPr>
        <w:t>Τα ειδικά ποσά πιστώσεων πληρωμών για κάθε οικονομικό έτος εγκρίνονται σύμφωνα με την ετήσια διαδικασία του προϋπολογισμού.</w:t>
      </w:r>
    </w:p>
    <w:p>
      <w:pPr>
        <w:pStyle w:val="Titrearticle"/>
        <w:rPr>
          <w:noProof/>
        </w:rPr>
      </w:pPr>
      <w:r>
        <w:rPr>
          <w:noProof/>
        </w:rPr>
        <w:t>Άρθρο 2</w:t>
      </w:r>
    </w:p>
    <w:p>
      <w:pPr>
        <w:rPr>
          <w:i/>
          <w:noProof/>
        </w:rPr>
      </w:pPr>
      <w:r>
        <w:rPr>
          <w:noProof/>
        </w:rPr>
        <w:t xml:space="preserve">Η παρούσα απόφαση αρχίζει να ισχύει την ημέρα της δημοσίευσής της στην </w:t>
      </w:r>
      <w:r>
        <w:rPr>
          <w:i/>
          <w:noProof/>
        </w:rPr>
        <w:t>Επίσημη Εφημερίδα της Ευρωπαϊκής Ένωσης</w:t>
      </w:r>
      <w:r>
        <w:rPr>
          <w:noProof/>
        </w:rPr>
        <w:t>.</w:t>
      </w:r>
    </w:p>
    <w:p>
      <w:pPr>
        <w:rPr>
          <w:noProof/>
        </w:rPr>
      </w:pPr>
      <w:r>
        <w:rPr>
          <w:noProof/>
        </w:rPr>
        <w:t>Εφαρμόζεται από την 1η Ιανουαρίου 2020.</w:t>
      </w:r>
    </w:p>
    <w:p>
      <w:pPr>
        <w:rPr>
          <w:i/>
          <w:noProof/>
        </w:rPr>
      </w:pP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347 της 20.12.2013, σ. 884.</w:t>
      </w:r>
    </w:p>
  </w:footnote>
  <w:footnote w:id="2">
    <w:p>
      <w:pPr>
        <w:pStyle w:val="FootnoteText"/>
      </w:pPr>
      <w:r>
        <w:rPr>
          <w:rStyle w:val="FootnoteReference"/>
        </w:rPr>
        <w:footnoteRef/>
      </w:r>
      <w:r>
        <w:tab/>
        <w:t>ΕΕ C 373 της 20.12.2013, σ. 1.</w:t>
      </w:r>
    </w:p>
  </w:footnote>
  <w:footnote w:id="3">
    <w:p>
      <w:pPr>
        <w:pStyle w:val="FootnoteText"/>
      </w:pPr>
      <w:r>
        <w:rPr>
          <w:rStyle w:val="FootnoteReference"/>
        </w:rPr>
        <w:footnoteRef/>
      </w:r>
      <w:r>
        <w:tab/>
        <w:t>ΕΕ C 373 της 20.12.2013, σ. 1.</w:t>
      </w:r>
    </w:p>
  </w:footnote>
  <w:footnote w:id="4">
    <w:p>
      <w:pPr>
        <w:pStyle w:val="FootnoteText"/>
      </w:pPr>
      <w:r>
        <w:rPr>
          <w:rStyle w:val="FootnoteReference"/>
        </w:rPr>
        <w:footnoteRef/>
      </w:r>
      <w:r>
        <w:tab/>
        <w:t>Κανονισμός (EE, Ευρατόμ) αριθ. 1311/2013 του Συμβουλίου, της 2ας Δεκεμβρίου 2013, για τον καθορισμό του πολυετούς δημοσιονομικού πλαισίου για την περίοδο 2014-2020 (ΕΕ L 347 της 20.12.2013, σ.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9:18: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4B0B073-84DA-46BB-A072-DB192BF2B1AD"/>
    <w:docVar w:name="LW_COVERPAGE_TYPE" w:val="1"/>
    <w:docVar w:name="LW_CROSSREFERENCE" w:val="&lt;UNUSED&gt;"/>
    <w:docVar w:name="LW_DocType" w:val="COM"/>
    <w:docVar w:name="LW_EMISSION" w:val="5.6.2019"/>
    <w:docVar w:name="LW_EMISSION_ISODATE" w:val="2019-06-05"/>
    <w:docVar w:name="LW_EMISSION_LOCATION" w:val="BRX"/>
    <w:docVar w:name="LW_EMISSION_PREFIX" w:val="Βρυξέλλες,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u957? \u954?\u953?\u957?\u951?\u964?\u959?\u960?\u959?\u943?\u951?\u963?\u951? \u964?\u959?\u965? \u956?\u951?\u967?\u945?\u957?\u953?\u963?\u956?\u959?\u973? \u949?\u965?\u949?\u955?\u953?\u958?\u943?\u945?\u962? \u947?\u953?\u945? \u964?\u951? \u967?\u961?\u951?\u956?\u945?\u964?\u959?\u948?\u972?\u964?\u951?\u963?\u951? \u940?\u956?\u949?\u963?\u969?\u957? \u948?\u951?\u956?\u959?\u963?\u953?\u959?\u957?\u959?\u956?\u953?\u954?\u974?\u957? \u956?\u941?\u964?\u961?\u969?\u957? \u947?\u953?\u945? \u964?\u951?\u957? \u945?\u957?\u964?\u953?\u956?\u949?\u964?\u974?\u960?\u953?\u963?\u951? \u964?\u969?\u957? \u963?\u965?\u957?\u949?\u967?\u953?\u950?\u972?\u956?\u949?\u957?\u969?\u957? \u960?\u961?\u959?\u954?\u955?\u942?\u963?\u949?\u969?\u957? \u963?\u964?\u959?\u957? \u964?\u959?\u956?\u941?\u945? \u964?\u951?\u962? \u956?\u949?\u964?\u945?\u957?\u940?\u963?\u964?\u949?\u965?\u963?\u951?\u962?, \u964?\u969?\u957? \u949?\u953?\u963?\u961?\u959?\u974?\u957? \u960?\u961?\u959?\u963?\u966?\u973?\u947?\u969?\u957? \u954?\u945?\u953? \u964?\u969?\u957? \u945?\u960?\u949?\u953?\u955?\u974?\u957? \u954?\u945?\u964?\u940? \u964?\u951?\u962? \u945?\u963?\u966?\u940?\u955?\u949?\u953?\u945?\u962?"/>
    <w:docVar w:name="LW_TYPE.DOC.CP" w:val="\u913?\u928?\u927?\u934?\u913?\u931?\u919?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81DA21-8613-4C73-8EF7-6C118B95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813</Words>
  <Characters>4729</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2019-06-21T10:54:00Z</dcterms:created>
  <dcterms:modified xsi:type="dcterms:W3CDTF">2019-07-01T07:18:00Z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