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F6AB154-843D-4D95-B170-462B0521469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rPr>
          <w:noProof/>
        </w:rPr>
      </w:pPr>
      <w:r>
        <w:rPr>
          <w:noProof/>
        </w:rPr>
        <w:t>Rådets forordning (EU, Euratom) nr. 1311/2013 af 2. december 2013 om fastlæggelse af den flerårige finansielle ramme for årene 2014-2020</w:t>
      </w:r>
      <w:r>
        <w:rPr>
          <w:rStyle w:val="FootnoteReference"/>
          <w:noProof/>
        </w:rPr>
        <w:footnoteReference w:id="1"/>
      </w:r>
      <w:r>
        <w:rPr>
          <w:noProof/>
        </w:rPr>
        <w:t xml:space="preserve"> giver mulighed for at anvende fleksibilitetsinstrumentet til finansiering af nøje fastlagte udgifter, som det ikke har været muligt at finansiere inden for de lofter, der var til rådighed for et eller flere udgiftsområder i den flerårige finansielle ramme.</w:t>
      </w:r>
    </w:p>
    <w:p>
      <w:pPr>
        <w:rPr>
          <w:noProof/>
        </w:rPr>
      </w:pPr>
      <w:r>
        <w:rPr>
          <w:noProof/>
        </w:rPr>
        <w:t xml:space="preserve">Efter at have undersøgt alle muligheder for omfordeling af bevillinger og opbrugt enhver uudnyttet margen under udgiftsområdet </w:t>
      </w:r>
      <w:r>
        <w:rPr>
          <w:i/>
          <w:noProof/>
        </w:rPr>
        <w:t>Sikkerhed og medborgerskab</w:t>
      </w:r>
      <w:r>
        <w:rPr>
          <w:noProof/>
        </w:rPr>
        <w:t xml:space="preserve"> (udgiftsområde 3) foreslår Kommissionen, at der i 2020 gøres brug af fleksibilitetsinstrumentet, jf. artikel 11 i Rådets forordning nr. 1311/2013 og punkt 12 i den interinstitutionelle aftale af 2. december 2013 mellem Europa-Parlamentet, Rådet og Kommissionen om budgetdisciplin, om samarbejde på budgetområdet og om forsvarlig økonomisk forvaltning</w:t>
      </w:r>
      <w:r>
        <w:rPr>
          <w:rStyle w:val="FootnoteReference"/>
          <w:noProof/>
        </w:rPr>
        <w:footnoteReference w:id="2"/>
      </w:r>
      <w:r>
        <w:rPr>
          <w:noProof/>
        </w:rPr>
        <w:t xml:space="preserve">. Det disponible årlige beløb er på 600 mio. EUR i 2011-priser svarende til 717 mio. EUR i løbende priser. Derudover er der 202 mio. EUR til rådighed i 2019. </w:t>
      </w:r>
    </w:p>
    <w:p>
      <w:pPr>
        <w:rPr>
          <w:noProof/>
        </w:rPr>
      </w:pPr>
      <w:r>
        <w:rPr>
          <w:noProof/>
        </w:rPr>
        <w:t>Det foreslås at anvende et beløb på 778,1 mio. EUR ud over loftet for udgiftsområde 3 i den flerårige finansielle ramme til finansiering af støtte til foranstaltninger til håndtering af migrations-, flygtninge- og sikkerhedskrisen.</w:t>
      </w:r>
    </w:p>
    <w:p>
      <w:pPr>
        <w:rPr>
          <w:noProof/>
        </w:rPr>
      </w:pPr>
      <w:r>
        <w:rPr>
          <w:noProof/>
        </w:rPr>
        <w:t>Nedenstående tabel indeholder en vejledende oversigt over de betalingsbevillinger, der svarer til den foreslåede anvendelse af fleksibilitetsinstrumentet. De er beregnet på grundlag af de regler, der gælder for forfinansiering, udligning af forfinansiering og betaling af saldoen for de forskellige typer foranstaltninger, der skal finansieres:</w:t>
      </w:r>
    </w:p>
    <w:p>
      <w:pPr>
        <w:jc w:val="left"/>
        <w:rPr>
          <w:noProof/>
        </w:rPr>
      </w:pPr>
      <w:r>
        <w:rPr>
          <w:i/>
          <w:noProof/>
          <w:sz w:val="16"/>
        </w:rPr>
        <w:t>(i mio. EUR, løbende priser)</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År</w:t>
            </w:r>
          </w:p>
        </w:tc>
        <w:tc>
          <w:tcPr>
            <w:tcW w:w="5604" w:type="dxa"/>
            <w:shd w:val="clear" w:color="auto" w:fill="D9D9D9"/>
          </w:tcPr>
          <w:p>
            <w:pPr>
              <w:spacing w:before="30" w:after="30"/>
              <w:jc w:val="center"/>
              <w:rPr>
                <w:b/>
                <w:noProof/>
                <w:sz w:val="16"/>
                <w:szCs w:val="16"/>
              </w:rPr>
            </w:pPr>
            <w:r>
              <w:rPr>
                <w:b/>
                <w:noProof/>
                <w:sz w:val="16"/>
              </w:rPr>
              <w:t>Fordeling af betalingsbevillinger i forbindelse med anvendelsen af fleksibilitetsinstrumentet i 2020</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407,4</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312,2</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42,4</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16,1</w:t>
            </w:r>
          </w:p>
        </w:tc>
      </w:tr>
      <w:tr>
        <w:trPr>
          <w:jc w:val="center"/>
        </w:trPr>
        <w:tc>
          <w:tcPr>
            <w:tcW w:w="1560" w:type="dxa"/>
            <w:shd w:val="clear" w:color="auto" w:fill="D9D9D9"/>
          </w:tcPr>
          <w:p>
            <w:pPr>
              <w:spacing w:before="30" w:after="30"/>
              <w:jc w:val="right"/>
              <w:rPr>
                <w:b/>
                <w:noProof/>
                <w:sz w:val="16"/>
                <w:szCs w:val="16"/>
              </w:rPr>
            </w:pPr>
            <w:r>
              <w:rPr>
                <w:b/>
                <w:noProof/>
                <w:sz w:val="16"/>
              </w:rPr>
              <w:t>I alt</w:t>
            </w:r>
          </w:p>
        </w:tc>
        <w:tc>
          <w:tcPr>
            <w:tcW w:w="5604" w:type="dxa"/>
            <w:shd w:val="clear" w:color="auto" w:fill="D9D9D9"/>
          </w:tcPr>
          <w:p>
            <w:pPr>
              <w:spacing w:before="30" w:after="30"/>
              <w:jc w:val="right"/>
              <w:rPr>
                <w:b/>
                <w:noProof/>
                <w:sz w:val="16"/>
                <w:szCs w:val="16"/>
              </w:rPr>
            </w:pPr>
            <w:r>
              <w:rPr>
                <w:b/>
                <w:noProof/>
                <w:sz w:val="16"/>
              </w:rPr>
              <w:t>778,1</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t>Forslag til</w:t>
      </w:r>
    </w:p>
    <w:p>
      <w:pPr>
        <w:pStyle w:val="Typedudocument"/>
        <w:rPr>
          <w:noProof/>
        </w:rPr>
      </w:pPr>
      <w:r>
        <w:rPr>
          <w:noProof/>
        </w:rPr>
        <w:t>EUROPA-PARLAMENTETS OG RÅDETS AFGØRELSE</w:t>
      </w:r>
    </w:p>
    <w:p>
      <w:pPr>
        <w:pStyle w:val="Titreobjet"/>
        <w:rPr>
          <w:noProof/>
        </w:rPr>
      </w:pPr>
      <w:r>
        <w:rPr>
          <w:noProof/>
        </w:rPr>
        <w:t>om anvendelse af fleksibilitetsinstrumentet til finansiering af øjeblikkelige budgetforanstaltninger for at klare de aktuelle udfordringer vedrørende migration, tilstrømningen af flygtninge og sikkerhedstrusler</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w:t>
      </w:r>
    </w:p>
    <w:p>
      <w:pPr>
        <w:rPr>
          <w:noProof/>
        </w:rPr>
      </w:pPr>
      <w:r>
        <w:rPr>
          <w:noProof/>
        </w:rPr>
        <w:t>under henvisning til den interinstitutionelle aftale af 2. december 2013 mellem Europa-Parlamentet, Rådet og Kommissionen om budgetdisciplin, om samarbejde på budgetområdet og om forsvarlig økonomisk forvaltning</w:t>
      </w:r>
      <w:r>
        <w:rPr>
          <w:rStyle w:val="FootnoteReference"/>
          <w:noProof/>
        </w:rPr>
        <w:footnoteReference w:id="3"/>
      </w:r>
      <w:r>
        <w:rPr>
          <w:noProof/>
        </w:rPr>
        <w:t>, særlig punkt 12,</w:t>
      </w:r>
    </w:p>
    <w:p>
      <w:pPr>
        <w:rPr>
          <w:noProof/>
        </w:rPr>
      </w:pPr>
      <w:r>
        <w:rPr>
          <w:noProof/>
        </w:rPr>
        <w:t>under henvisning til forslag fra Europa-Kommissionen, og</w:t>
      </w:r>
    </w:p>
    <w:p>
      <w:pPr>
        <w:rPr>
          <w:noProof/>
        </w:rPr>
      </w:pPr>
      <w:r>
        <w:rPr>
          <w:noProof/>
        </w:rPr>
        <w:t xml:space="preserve">ud fra følgende betragtninger: </w:t>
      </w:r>
    </w:p>
    <w:p>
      <w:pPr>
        <w:pStyle w:val="Point0number"/>
        <w:numPr>
          <w:ilvl w:val="0"/>
          <w:numId w:val="6"/>
        </w:numPr>
        <w:spacing w:before="0" w:after="0"/>
        <w:rPr>
          <w:noProof/>
        </w:rPr>
      </w:pPr>
      <w:r>
        <w:rPr>
          <w:noProof/>
        </w:rPr>
        <w:t>Fleksibilitetsinstrumentet skal gøre det muligt at finansiere nøje fastlagte udgifter, der ikke kunne finansieres inden for rammerne af lofterne for et eller flere udgiftsområder.</w:t>
      </w:r>
    </w:p>
    <w:p>
      <w:pPr>
        <w:pStyle w:val="Point0number"/>
        <w:numPr>
          <w:ilvl w:val="0"/>
          <w:numId w:val="6"/>
        </w:numPr>
        <w:rPr>
          <w:noProof/>
        </w:rPr>
      </w:pPr>
      <w:r>
        <w:rPr>
          <w:noProof/>
        </w:rPr>
        <w:t>Loftet for det årlige beløb, der er til rådighed under fleksibilitetsinstrumentet, er på 600 000 000 EUR (2011-priser), jf. artikel 11 i Rådets forordning (EU, Euratom) nr. 1311/2013</w:t>
      </w:r>
      <w:r>
        <w:rPr>
          <w:rStyle w:val="FootnoteReference"/>
          <w:noProof/>
        </w:rPr>
        <w:footnoteReference w:id="4"/>
      </w:r>
      <w:r>
        <w:rPr>
          <w:noProof/>
        </w:rPr>
        <w:t xml:space="preserve">, i givet fald forhøjet med de bortfaldne beløb, der stilles til rådighed i henhold til stk. 1, andet afsnit, i samme artikel. </w:t>
      </w:r>
    </w:p>
    <w:p>
      <w:pPr>
        <w:pStyle w:val="Point0number"/>
        <w:numPr>
          <w:ilvl w:val="0"/>
          <w:numId w:val="6"/>
        </w:numPr>
        <w:spacing w:before="0" w:after="0"/>
        <w:rPr>
          <w:noProof/>
        </w:rPr>
      </w:pPr>
      <w:r>
        <w:rPr>
          <w:noProof/>
        </w:rPr>
        <w:t>For at klare de aktuelle udfordringer vedrørende migration, tilstrømningen af flygtninge og sikkerhedstrusler er det nødvendigt hurtigst muligt at tilvejebringe betydelige supplerende beløb til finansiering af sådanne foranstaltninger.</w:t>
      </w:r>
    </w:p>
    <w:p>
      <w:pPr>
        <w:pStyle w:val="Point0number"/>
        <w:rPr>
          <w:noProof/>
        </w:rPr>
      </w:pPr>
      <w:r>
        <w:rPr>
          <w:noProof/>
        </w:rPr>
        <w:t>Efter at alle muligheder for omfordeling af bevillingerne under loftet for udgiftsområde 3 (</w:t>
      </w:r>
      <w:r>
        <w:rPr>
          <w:i/>
          <w:noProof/>
        </w:rPr>
        <w:t>Sikkerhed og medborgerskab</w:t>
      </w:r>
      <w:r>
        <w:rPr>
          <w:noProof/>
        </w:rPr>
        <w:t>) er blevet undersøgt, har det vist sig nødvendigt at anvende fleksibilitetsinstrumentet til at supplere den finansiering, der er til rådighed på Unionens almindelige budget for regnskabsåret 2020 ud over loftet for udgiftsområde 3, med et beløb på 778 074 489 EUR med henblik på at finansiere foranstaltninger på migrations-, flygtninge- og sikkerhedsområdet.</w:t>
      </w:r>
    </w:p>
    <w:p>
      <w:pPr>
        <w:pStyle w:val="Point0number"/>
        <w:rPr>
          <w:noProof/>
        </w:rPr>
      </w:pPr>
      <w:r>
        <w:rPr>
          <w:noProof/>
        </w:rPr>
        <w:t>På grundlag af den forventede betalingsprofil bør de betalingsbevillinger, der svarer til det beløb, der anvendes via fleksibilitetsinstrumentet, fordeles over flere regnskabsår.</w:t>
      </w:r>
    </w:p>
    <w:p>
      <w:pPr>
        <w:pStyle w:val="Point0number"/>
        <w:rPr>
          <w:noProof/>
        </w:rPr>
      </w:pPr>
      <w:r>
        <w:rPr>
          <w:noProof/>
        </w:rPr>
        <w:t>For at disse midler kan anvendes hurtigst muligt, bør denne afgørelse anvendes fra starten af regnskabsåret 2020 —</w:t>
      </w:r>
    </w:p>
    <w:p>
      <w:pPr>
        <w:pStyle w:val="Formuledadoption"/>
        <w:rPr>
          <w:noProof/>
        </w:rPr>
      </w:pPr>
      <w:r>
        <w:rPr>
          <w:noProof/>
        </w:rPr>
        <w:t>VEDTAGET DENNE AFGØRELSE:</w:t>
      </w:r>
    </w:p>
    <w:p>
      <w:pPr>
        <w:pStyle w:val="Titrearticle"/>
        <w:rPr>
          <w:noProof/>
        </w:rPr>
      </w:pPr>
      <w:r>
        <w:rPr>
          <w:noProof/>
        </w:rPr>
        <w:t>Artikel 1</w:t>
      </w:r>
    </w:p>
    <w:p>
      <w:pPr>
        <w:pStyle w:val="Point0number"/>
        <w:numPr>
          <w:ilvl w:val="0"/>
          <w:numId w:val="5"/>
        </w:numPr>
        <w:spacing w:before="0" w:after="0"/>
        <w:rPr>
          <w:noProof/>
        </w:rPr>
      </w:pPr>
      <w:r>
        <w:rPr>
          <w:noProof/>
        </w:rPr>
        <w:t>Fleksibilitetsinstrumentet anvendes til at tilvejebringe et beløb på 778 074 489 EUR i forpligtelsesbevillinger til Den Europæiske Unions almindelige budget for regnskabsåret 2020 under udgiftsområde 3 (</w:t>
      </w:r>
      <w:r>
        <w:rPr>
          <w:i/>
          <w:noProof/>
        </w:rPr>
        <w:t>Sikkerhed og medborgerskab</w:t>
      </w:r>
      <w:r>
        <w:rPr>
          <w:noProof/>
        </w:rPr>
        <w:t>).</w:t>
      </w:r>
    </w:p>
    <w:p>
      <w:pPr>
        <w:rPr>
          <w:noProof/>
        </w:rPr>
      </w:pPr>
      <w:r>
        <w:rPr>
          <w:noProof/>
        </w:rPr>
        <w:t>De beløb, der er omhandlet i første afsnit, skal anvendes til at finansiere foranstaltninger med henblik på at klare de aktuelle udfordringer vedrørende migration, tilstrømningen af flygtninge og sikkerhedstrusler.</w:t>
      </w:r>
    </w:p>
    <w:p>
      <w:pPr>
        <w:pStyle w:val="Point0number"/>
        <w:numPr>
          <w:ilvl w:val="0"/>
          <w:numId w:val="5"/>
        </w:numPr>
        <w:spacing w:before="0" w:after="0"/>
        <w:rPr>
          <w:noProof/>
        </w:rPr>
      </w:pPr>
      <w:r>
        <w:rPr>
          <w:noProof/>
        </w:rPr>
        <w:t>På grundlag af den forventede betalingsprofil fastlægges fordelingen af betalingsbevillingerne svarende til anvendelsen af fleksibilitetsinstrumentet således:</w:t>
      </w:r>
    </w:p>
    <w:p>
      <w:pPr>
        <w:pStyle w:val="Point0letter"/>
        <w:rPr>
          <w:noProof/>
        </w:rPr>
      </w:pPr>
      <w:r>
        <w:rPr>
          <w:noProof/>
        </w:rPr>
        <w:t>407 402 108 EUR i 2020</w:t>
      </w:r>
    </w:p>
    <w:p>
      <w:pPr>
        <w:pStyle w:val="Point0letter"/>
        <w:rPr>
          <w:noProof/>
        </w:rPr>
      </w:pPr>
      <w:r>
        <w:rPr>
          <w:noProof/>
        </w:rPr>
        <w:t>312 205 134 EUR i 2021</w:t>
      </w:r>
    </w:p>
    <w:p>
      <w:pPr>
        <w:pStyle w:val="Point0letter"/>
        <w:rPr>
          <w:noProof/>
        </w:rPr>
      </w:pPr>
      <w:r>
        <w:rPr>
          <w:noProof/>
        </w:rPr>
        <w:t>42 336 587 EUR i 2022</w:t>
      </w:r>
    </w:p>
    <w:p>
      <w:pPr>
        <w:pStyle w:val="Point0letter"/>
        <w:rPr>
          <w:noProof/>
        </w:rPr>
      </w:pPr>
      <w:r>
        <w:rPr>
          <w:noProof/>
        </w:rPr>
        <w:t>16 130 660 EUR i 2023.</w:t>
      </w:r>
    </w:p>
    <w:p>
      <w:pPr>
        <w:rPr>
          <w:noProof/>
        </w:rPr>
      </w:pPr>
      <w:r>
        <w:rPr>
          <w:noProof/>
        </w:rPr>
        <w:t>De specifikke beløb for betalingsbevillingerne for hvert regnskabsår godkendes i overensstemmelse med den årlige budgetprocedure.</w:t>
      </w:r>
    </w:p>
    <w:p>
      <w:pPr>
        <w:pStyle w:val="Titrearticle"/>
        <w:rPr>
          <w:noProof/>
        </w:rPr>
      </w:pPr>
      <w:r>
        <w:rPr>
          <w:noProof/>
        </w:rPr>
        <w:t>Artikel 2</w:t>
      </w:r>
    </w:p>
    <w:p>
      <w:pPr>
        <w:rPr>
          <w:i/>
          <w:noProof/>
        </w:rPr>
      </w:pPr>
      <w:r>
        <w:rPr>
          <w:noProof/>
        </w:rPr>
        <w:t xml:space="preserve">Denne afgørelse træder i kraft på dagen for offentliggørelsen i </w:t>
      </w:r>
      <w:r>
        <w:rPr>
          <w:i/>
          <w:noProof/>
        </w:rPr>
        <w:t>Den Europæiske Unions Tidende</w:t>
      </w:r>
      <w:r>
        <w:rPr>
          <w:noProof/>
        </w:rPr>
        <w:t>.</w:t>
      </w:r>
    </w:p>
    <w:p>
      <w:pPr>
        <w:rPr>
          <w:noProof/>
        </w:rPr>
      </w:pPr>
      <w:r>
        <w:rPr>
          <w:noProof/>
        </w:rPr>
        <w:t>Den anvendes fra den 1. januar 2020.</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347 af 20.12.2013, s. 884.</w:t>
      </w:r>
    </w:p>
  </w:footnote>
  <w:footnote w:id="2">
    <w:p>
      <w:pPr>
        <w:pStyle w:val="FootnoteText"/>
      </w:pPr>
      <w:r>
        <w:rPr>
          <w:rStyle w:val="FootnoteReference"/>
        </w:rPr>
        <w:footnoteRef/>
      </w:r>
      <w:r>
        <w:tab/>
        <w:t>EUT C 373 af 20.12.2013, s. 1.</w:t>
      </w:r>
    </w:p>
  </w:footnote>
  <w:footnote w:id="3">
    <w:p>
      <w:pPr>
        <w:pStyle w:val="FootnoteText"/>
      </w:pPr>
      <w:r>
        <w:rPr>
          <w:rStyle w:val="FootnoteReference"/>
        </w:rPr>
        <w:footnoteRef/>
      </w:r>
      <w:r>
        <w:tab/>
        <w:t>EUT C 373 af 20.12.2013, s. 1.</w:t>
      </w:r>
    </w:p>
  </w:footnote>
  <w:footnote w:id="4">
    <w:p>
      <w:pPr>
        <w:pStyle w:val="FootnoteText"/>
      </w:pPr>
      <w:r>
        <w:rPr>
          <w:rStyle w:val="FootnoteReference"/>
        </w:rPr>
        <w:footnoteRef/>
      </w:r>
      <w:r>
        <w:tab/>
        <w:t>Rådets forordning (EU, Euratom) nr. 1311/2013 af 2. december 2013 om fastlæggelse af den flerårige finansielle ramme for årene 2014-2020 (EUT L 347 af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9:19: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7F6AB154-843D-4D95-B170-462B05214691"/>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den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anvendelse af fleksibilitetsinstrumentet til finansiering af øjeblikkelige budgetforanstaltninger for at klare de aktuelle udfordringer vedrørende migration, tilstrømningen af flygtninge og sikkerhedstrusler"/>
    <w:docVar w:name="LW_TYPE.DOC.CP" w:val="EUROPA-PARLAMENTETS OG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00CDAA-9B72-4839-BF6E-9DA711F8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719</Words>
  <Characters>4438</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2019-06-26T10:19:00Z</dcterms:created>
  <dcterms:modified xsi:type="dcterms:W3CDTF">2019-07-01T07:19:00Z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