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5F2A182-BC69-41B3-BEA2-46827EAE9068"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rPr>
          <w:noProof/>
        </w:rPr>
      </w:pPr>
      <w:r>
        <w:rPr>
          <w:noProof/>
        </w:rPr>
        <w:t>Vuosia 2014–2020 koskevan monivuotisen rahoituskehyksen vahvistamisesta 2 päivänä joulukuuta 2013 annetussa neuvoston asetuksessa (EU, Euratom) N:o 1311/2013</w:t>
      </w:r>
      <w:r>
        <w:rPr>
          <w:rStyle w:val="FootnoteReference"/>
          <w:noProof/>
        </w:rPr>
        <w:footnoteReference w:id="1"/>
      </w:r>
      <w:r>
        <w:rPr>
          <w:noProof/>
        </w:rPr>
        <w:t xml:space="preserve"> säädetään, että joustovälineestä voidaan ottaa käyttöön varoja sellaisten tarkasti määriteltyjen menojen rahoittamiseksi, joita ei voida kattaa yhden tai useamman monivuotiseen rahoituskehykseen sisältyvän otsakkeen enimmäismäärien puitteissa.</w:t>
      </w:r>
    </w:p>
    <w:p>
      <w:pPr>
        <w:rPr>
          <w:noProof/>
        </w:rPr>
      </w:pPr>
      <w:r>
        <w:rPr>
          <w:noProof/>
        </w:rPr>
        <w:t>Tarkasteltuaan kaikkia mahdollisuuksia määrärahojen uudelleen kohdentamiseen ja käytettyään koko kohdentamattoman liikkumavaran meno-otsakkeen ”Turvallisuus ja kansalaisuus” (otsake 3) sisällä komissio esittää neuvoston asetuksen (EU, Euratom) N:o 1311/2013 11 artiklan ja talousarviota koskevasta kurinalaisuudesta, talousarvioyhteistyöstä ja moitteettomasta varainhoidosta 2 päivänä joulukuuta 2013 tehdyn Euroopan parlamentin, neuvoston ja komission välisen toimielinten sopimuksen</w:t>
      </w:r>
      <w:r>
        <w:rPr>
          <w:rStyle w:val="FootnoteReference"/>
          <w:noProof/>
        </w:rPr>
        <w:footnoteReference w:id="2"/>
      </w:r>
      <w:r>
        <w:rPr>
          <w:noProof/>
        </w:rPr>
        <w:t xml:space="preserve"> 12 kohdan mukaisesti, että joustovälineestä otetaan käyttöön varoja vuonna 2020. Joustovälineestä voidaan ottaa vuosittain käyttöön enintään 600 miljoonaa euroa (vuoden 2011 hintoina) eli 717 miljoonaa euroa käypinä hintoina. Lisäksi vuoden 2019 osuudesta on vielä käyttämättä 202 miljoonaa euroa. </w:t>
      </w:r>
    </w:p>
    <w:p>
      <w:pPr>
        <w:rPr>
          <w:noProof/>
        </w:rPr>
      </w:pPr>
      <w:r>
        <w:rPr>
          <w:noProof/>
        </w:rPr>
        <w:t>Tämä joustovälineen käyttöönotto koskee monivuotisen rahoituskehyksen otsakkeen 3 enimmäismäärän ylittämistä 778,1 miljoonalla eurolla, ja se on tarkoitettu muuttoliike-, pakolais- ja turvallisuuskriisin hallintaa koskevien toimenpiteiden rahoittamiseen.</w:t>
      </w:r>
    </w:p>
    <w:p>
      <w:pPr>
        <w:rPr>
          <w:noProof/>
        </w:rPr>
      </w:pPr>
      <w:r>
        <w:rPr>
          <w:noProof/>
        </w:rPr>
        <w:t>Ehdotettuja joustovälineestä käyttöön otettavia varoja vastaavat alustavat maksumäärärahat on laskettu erityyppisten rahoitettavien toimenpiteiden ennakkomaksuihin, ennakkomaksujen kuittaamiseen ja loppumaksuihin sovellettavien sääntöjen perusteella. Määrät on esitetty seuraavassa taulukossa.</w:t>
      </w:r>
    </w:p>
    <w:p>
      <w:pPr>
        <w:ind w:left="5040" w:firstLine="720"/>
        <w:jc w:val="left"/>
        <w:rPr>
          <w:noProof/>
        </w:rPr>
      </w:pPr>
      <w:r>
        <w:rPr>
          <w:i/>
          <w:noProof/>
          <w:sz w:val="16"/>
        </w:rPr>
        <w:t>(milj. euroa, käypinä hintoina)</w:t>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04"/>
      </w:tblGrid>
      <w:tr>
        <w:trPr>
          <w:jc w:val="center"/>
        </w:trPr>
        <w:tc>
          <w:tcPr>
            <w:tcW w:w="1560" w:type="dxa"/>
            <w:shd w:val="clear" w:color="auto" w:fill="D9D9D9"/>
          </w:tcPr>
          <w:p>
            <w:pPr>
              <w:spacing w:before="30" w:after="30"/>
              <w:jc w:val="center"/>
              <w:rPr>
                <w:b/>
                <w:noProof/>
                <w:sz w:val="16"/>
                <w:szCs w:val="16"/>
              </w:rPr>
            </w:pPr>
            <w:r>
              <w:rPr>
                <w:b/>
                <w:noProof/>
                <w:sz w:val="16"/>
              </w:rPr>
              <w:t>Vuosi</w:t>
            </w:r>
          </w:p>
        </w:tc>
        <w:tc>
          <w:tcPr>
            <w:tcW w:w="5604" w:type="dxa"/>
            <w:shd w:val="clear" w:color="auto" w:fill="D9D9D9"/>
          </w:tcPr>
          <w:p>
            <w:pPr>
              <w:spacing w:before="30" w:after="30"/>
              <w:jc w:val="center"/>
              <w:rPr>
                <w:b/>
                <w:noProof/>
                <w:sz w:val="16"/>
                <w:szCs w:val="16"/>
              </w:rPr>
            </w:pPr>
            <w:r>
              <w:rPr>
                <w:b/>
                <w:noProof/>
                <w:sz w:val="16"/>
              </w:rPr>
              <w:t>Joustovälineen käyttöönottoon vuonna 2020 liittyvät maksumäärärahat</w:t>
            </w:r>
          </w:p>
        </w:tc>
      </w:tr>
      <w:tr>
        <w:trPr>
          <w:jc w:val="center"/>
        </w:trPr>
        <w:tc>
          <w:tcPr>
            <w:tcW w:w="1560" w:type="dxa"/>
            <w:shd w:val="clear" w:color="auto" w:fill="auto"/>
          </w:tcPr>
          <w:p>
            <w:pPr>
              <w:spacing w:before="30" w:after="30"/>
              <w:jc w:val="center"/>
              <w:rPr>
                <w:noProof/>
                <w:sz w:val="16"/>
                <w:szCs w:val="16"/>
              </w:rPr>
            </w:pPr>
            <w:r>
              <w:rPr>
                <w:noProof/>
                <w:sz w:val="16"/>
              </w:rPr>
              <w:t>2020</w:t>
            </w:r>
          </w:p>
        </w:tc>
        <w:tc>
          <w:tcPr>
            <w:tcW w:w="5604" w:type="dxa"/>
            <w:shd w:val="clear" w:color="auto" w:fill="auto"/>
          </w:tcPr>
          <w:p>
            <w:pPr>
              <w:spacing w:before="30" w:after="30"/>
              <w:jc w:val="right"/>
              <w:rPr>
                <w:noProof/>
                <w:sz w:val="16"/>
                <w:szCs w:val="16"/>
              </w:rPr>
            </w:pPr>
            <w:r>
              <w:rPr>
                <w:noProof/>
                <w:sz w:val="16"/>
              </w:rPr>
              <w:t>407,4</w:t>
            </w:r>
          </w:p>
        </w:tc>
      </w:tr>
      <w:tr>
        <w:trPr>
          <w:jc w:val="center"/>
        </w:trPr>
        <w:tc>
          <w:tcPr>
            <w:tcW w:w="1560" w:type="dxa"/>
            <w:shd w:val="clear" w:color="auto" w:fill="auto"/>
          </w:tcPr>
          <w:p>
            <w:pPr>
              <w:spacing w:before="30" w:after="30"/>
              <w:jc w:val="center"/>
              <w:rPr>
                <w:noProof/>
                <w:sz w:val="16"/>
                <w:szCs w:val="16"/>
              </w:rPr>
            </w:pPr>
            <w:r>
              <w:rPr>
                <w:noProof/>
                <w:sz w:val="16"/>
              </w:rPr>
              <w:t>2021</w:t>
            </w:r>
          </w:p>
        </w:tc>
        <w:tc>
          <w:tcPr>
            <w:tcW w:w="5604" w:type="dxa"/>
            <w:shd w:val="clear" w:color="auto" w:fill="auto"/>
          </w:tcPr>
          <w:p>
            <w:pPr>
              <w:spacing w:before="30" w:after="30"/>
              <w:jc w:val="right"/>
              <w:rPr>
                <w:noProof/>
                <w:sz w:val="16"/>
                <w:szCs w:val="16"/>
              </w:rPr>
            </w:pPr>
            <w:r>
              <w:rPr>
                <w:noProof/>
                <w:sz w:val="16"/>
              </w:rPr>
              <w:t>312,2</w:t>
            </w:r>
          </w:p>
        </w:tc>
      </w:tr>
      <w:tr>
        <w:trPr>
          <w:jc w:val="center"/>
        </w:trPr>
        <w:tc>
          <w:tcPr>
            <w:tcW w:w="1560" w:type="dxa"/>
            <w:shd w:val="clear" w:color="auto" w:fill="auto"/>
          </w:tcPr>
          <w:p>
            <w:pPr>
              <w:spacing w:before="30" w:after="30"/>
              <w:jc w:val="center"/>
              <w:rPr>
                <w:noProof/>
                <w:sz w:val="16"/>
                <w:szCs w:val="16"/>
              </w:rPr>
            </w:pPr>
            <w:r>
              <w:rPr>
                <w:noProof/>
                <w:sz w:val="16"/>
              </w:rPr>
              <w:t>2022</w:t>
            </w:r>
          </w:p>
        </w:tc>
        <w:tc>
          <w:tcPr>
            <w:tcW w:w="5604" w:type="dxa"/>
            <w:shd w:val="clear" w:color="auto" w:fill="auto"/>
          </w:tcPr>
          <w:p>
            <w:pPr>
              <w:spacing w:before="30" w:after="30"/>
              <w:jc w:val="right"/>
              <w:rPr>
                <w:noProof/>
                <w:sz w:val="16"/>
                <w:szCs w:val="16"/>
              </w:rPr>
            </w:pPr>
            <w:r>
              <w:rPr>
                <w:noProof/>
                <w:sz w:val="16"/>
              </w:rPr>
              <w:t>42,4</w:t>
            </w:r>
          </w:p>
        </w:tc>
      </w:tr>
      <w:tr>
        <w:trPr>
          <w:jc w:val="center"/>
        </w:trPr>
        <w:tc>
          <w:tcPr>
            <w:tcW w:w="1560" w:type="dxa"/>
            <w:shd w:val="clear" w:color="auto" w:fill="auto"/>
          </w:tcPr>
          <w:p>
            <w:pPr>
              <w:spacing w:before="30" w:after="30"/>
              <w:jc w:val="center"/>
              <w:rPr>
                <w:noProof/>
                <w:sz w:val="16"/>
                <w:szCs w:val="16"/>
              </w:rPr>
            </w:pPr>
            <w:r>
              <w:rPr>
                <w:noProof/>
                <w:sz w:val="16"/>
              </w:rPr>
              <w:t>2023</w:t>
            </w:r>
          </w:p>
        </w:tc>
        <w:tc>
          <w:tcPr>
            <w:tcW w:w="5604" w:type="dxa"/>
            <w:shd w:val="clear" w:color="auto" w:fill="auto"/>
          </w:tcPr>
          <w:p>
            <w:pPr>
              <w:spacing w:before="30" w:after="30"/>
              <w:jc w:val="right"/>
              <w:rPr>
                <w:noProof/>
                <w:sz w:val="16"/>
                <w:szCs w:val="16"/>
              </w:rPr>
            </w:pPr>
            <w:r>
              <w:rPr>
                <w:noProof/>
                <w:sz w:val="16"/>
              </w:rPr>
              <w:t>16,1</w:t>
            </w:r>
          </w:p>
        </w:tc>
      </w:tr>
      <w:tr>
        <w:trPr>
          <w:jc w:val="center"/>
        </w:trPr>
        <w:tc>
          <w:tcPr>
            <w:tcW w:w="1560" w:type="dxa"/>
            <w:shd w:val="clear" w:color="auto" w:fill="D9D9D9"/>
          </w:tcPr>
          <w:p>
            <w:pPr>
              <w:spacing w:before="30" w:after="30"/>
              <w:jc w:val="right"/>
              <w:rPr>
                <w:b/>
                <w:noProof/>
                <w:sz w:val="16"/>
                <w:szCs w:val="16"/>
              </w:rPr>
            </w:pPr>
            <w:r>
              <w:rPr>
                <w:b/>
                <w:noProof/>
                <w:sz w:val="16"/>
              </w:rPr>
              <w:t>Yhteensä</w:t>
            </w:r>
          </w:p>
        </w:tc>
        <w:tc>
          <w:tcPr>
            <w:tcW w:w="5604" w:type="dxa"/>
            <w:shd w:val="clear" w:color="auto" w:fill="D9D9D9"/>
          </w:tcPr>
          <w:p>
            <w:pPr>
              <w:spacing w:before="30" w:after="30"/>
              <w:jc w:val="right"/>
              <w:rPr>
                <w:b/>
                <w:noProof/>
                <w:sz w:val="16"/>
                <w:szCs w:val="16"/>
              </w:rPr>
            </w:pPr>
            <w:r>
              <w:rPr>
                <w:b/>
                <w:noProof/>
                <w:sz w:val="16"/>
              </w:rPr>
              <w:t>778,1</w:t>
            </w:r>
          </w:p>
        </w:tc>
      </w:tr>
    </w:tbl>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Statut"/>
        <w:rPr>
          <w:noProof/>
        </w:rPr>
      </w:pPr>
      <w:r>
        <w:rPr>
          <w:noProof/>
        </w:rPr>
        <w:t>Ehdotus</w:t>
      </w:r>
    </w:p>
    <w:p>
      <w:pPr>
        <w:pStyle w:val="Typedudocument"/>
        <w:rPr>
          <w:noProof/>
        </w:rPr>
      </w:pPr>
      <w:r>
        <w:rPr>
          <w:noProof/>
        </w:rPr>
        <w:t>EUROOPAN PARLAMENTIN JA NEUVOSTON PÄÄTÖS</w:t>
      </w:r>
    </w:p>
    <w:p>
      <w:pPr>
        <w:pStyle w:val="Titreobjet"/>
        <w:rPr>
          <w:noProof/>
        </w:rPr>
      </w:pPr>
      <w:r>
        <w:rPr>
          <w:noProof/>
        </w:rPr>
        <w:t>joustovälineen varojen käyttöönotosta muuttoliikkeeseen, pakolaisvirtoihin ja turvallisuusuhkiin liittyvien tämänhetkisten haasteiden edellyttämiä välittömiä talousarviotoimenpiteitä varten</w:t>
      </w:r>
    </w:p>
    <w:p>
      <w:pPr>
        <w:pStyle w:val="Institutionquiagit"/>
        <w:rPr>
          <w:noProof/>
        </w:rPr>
      </w:pPr>
      <w:r>
        <w:rPr>
          <w:noProof/>
        </w:rPr>
        <w:t>EUROOPAN PARLAMENTTI JA EUROOPAN UNIONIN NEUVOSTO, jotka</w:t>
      </w:r>
    </w:p>
    <w:p>
      <w:pPr>
        <w:rPr>
          <w:noProof/>
        </w:rPr>
      </w:pPr>
      <w:r>
        <w:rPr>
          <w:noProof/>
        </w:rPr>
        <w:t>ottavat huomioon Euroopan unionin toiminnasta tehdyn sopimuksen,</w:t>
      </w:r>
    </w:p>
    <w:p>
      <w:pPr>
        <w:rPr>
          <w:noProof/>
        </w:rPr>
      </w:pPr>
      <w:r>
        <w:rPr>
          <w:noProof/>
        </w:rPr>
        <w:t>ottavat huomioon talousarviota koskevasta kurinalaisuudesta, talousarvioyhteistyöstä ja moitteettomasta varainhoidosta 2 päivänä joulukuuta 2013 tehdyn Euroopan parlamentin, neuvoston ja komission välisen toimielinten sopimuksen</w:t>
      </w:r>
      <w:r>
        <w:rPr>
          <w:rStyle w:val="FootnoteReference"/>
          <w:noProof/>
        </w:rPr>
        <w:footnoteReference w:id="3"/>
      </w:r>
      <w:r>
        <w:rPr>
          <w:noProof/>
        </w:rPr>
        <w:t xml:space="preserve"> ja erityisesti sen 12 kohdan,</w:t>
      </w:r>
    </w:p>
    <w:p>
      <w:pPr>
        <w:rPr>
          <w:noProof/>
        </w:rPr>
      </w:pPr>
      <w:r>
        <w:rPr>
          <w:noProof/>
        </w:rPr>
        <w:t>ottavat huomioon Euroopan komission ehdotuksen,</w:t>
      </w:r>
    </w:p>
    <w:p>
      <w:pPr>
        <w:rPr>
          <w:noProof/>
        </w:rPr>
      </w:pPr>
      <w:r>
        <w:rPr>
          <w:noProof/>
        </w:rPr>
        <w:t xml:space="preserve">sekä katsovat seuraavaa: </w:t>
      </w:r>
    </w:p>
    <w:p>
      <w:pPr>
        <w:pStyle w:val="Point0number"/>
        <w:numPr>
          <w:ilvl w:val="0"/>
          <w:numId w:val="6"/>
        </w:numPr>
        <w:spacing w:before="0" w:after="0"/>
        <w:rPr>
          <w:noProof/>
        </w:rPr>
      </w:pPr>
      <w:r>
        <w:rPr>
          <w:noProof/>
        </w:rPr>
        <w:t>Joustovälineen avulla on tarkoitus rahoittaa selkeästi määriteltyjä menoja, joita ei ole pystytty rahoittamaan yhden tai useamman muun otsakkeen enimmäismäärien puitteissa.</w:t>
      </w:r>
    </w:p>
    <w:p>
      <w:pPr>
        <w:pStyle w:val="Point0number"/>
        <w:numPr>
          <w:ilvl w:val="0"/>
          <w:numId w:val="6"/>
        </w:numPr>
        <w:rPr>
          <w:noProof/>
        </w:rPr>
      </w:pPr>
      <w:r>
        <w:rPr>
          <w:noProof/>
        </w:rPr>
        <w:t>Joustovälinettä varten käytettävissä oleva vuotuinen enimmäismäärä on 600 000 000 euroa (vuoden 2011 hintoina) neuvoston asetuksen (EU, Euratom) N:o 1311/2013</w:t>
      </w:r>
      <w:r>
        <w:rPr>
          <w:rStyle w:val="FootnoteReference"/>
          <w:noProof/>
        </w:rPr>
        <w:footnoteReference w:id="4"/>
      </w:r>
      <w:r>
        <w:rPr>
          <w:noProof/>
        </w:rPr>
        <w:t xml:space="preserve"> 11 artiklassa säädetyn mukaisesti, ja tähän määrään voidaan lisätä peruuntuneet määrät kyseisen artiklan 1 kohdan toisen alakohdan mukaisesti. </w:t>
      </w:r>
    </w:p>
    <w:p>
      <w:pPr>
        <w:pStyle w:val="Point0number"/>
        <w:numPr>
          <w:ilvl w:val="0"/>
          <w:numId w:val="6"/>
        </w:numPr>
        <w:spacing w:before="0" w:after="0"/>
        <w:rPr>
          <w:noProof/>
        </w:rPr>
      </w:pPr>
      <w:r>
        <w:rPr>
          <w:noProof/>
        </w:rPr>
        <w:t>Jotta voitaisiin vastata muuttoliikkeeseen, pakolaisvirtoihin ja turvallisuusuhkiin liittyviin tämänhetkisiin haasteisiin, on tarpeen ottaa käyttöön merkittäviä lisämääriä, joilla voidaan viipymättä rahoittaa tarvittavia toimenpiteitä.</w:t>
      </w:r>
    </w:p>
    <w:p>
      <w:pPr>
        <w:pStyle w:val="Point0number"/>
        <w:rPr>
          <w:noProof/>
        </w:rPr>
      </w:pPr>
      <w:r>
        <w:rPr>
          <w:noProof/>
        </w:rPr>
        <w:t>Kun on tarkasteltu kaikkia mahdollisuuksia kohdentaa uudelleen määrärahoja otsakkeen 3 (</w:t>
      </w:r>
      <w:r>
        <w:rPr>
          <w:i/>
          <w:noProof/>
        </w:rPr>
        <w:t>Turvallisuus ja kansalaisuus</w:t>
      </w:r>
      <w:r>
        <w:rPr>
          <w:noProof/>
        </w:rPr>
        <w:t>) enimmäismäärän puitteissa, voidaan todeta, että joustovälineestä on tarpeen ottaa käyttöön otsakkeen 3 enimmäismäärän ylittävä 778 074 489 euron määrä, jolla täydennetään unionin varainhoitovuoden 2020 yleisessä talousarviossa muuttoliike-, pakolais- ja turvallisuusasioiden alalla toteutettavien toimenpiteiden rahoittamiseksi käytettävissä olevaa rahoitusta.</w:t>
      </w:r>
    </w:p>
    <w:p>
      <w:pPr>
        <w:pStyle w:val="Point0number"/>
        <w:rPr>
          <w:noProof/>
        </w:rPr>
      </w:pPr>
      <w:r>
        <w:rPr>
          <w:noProof/>
        </w:rPr>
        <w:t>Joustovälineestä käyttöön otettuja varoja vastaavat maksumäärärahat olisi jaettava useammalle varainhoitovuodelle maksettavien määrien odotetun kehityksen perusteella.</w:t>
      </w:r>
    </w:p>
    <w:p>
      <w:pPr>
        <w:pStyle w:val="Point0number"/>
        <w:rPr>
          <w:noProof/>
        </w:rPr>
      </w:pPr>
      <w:r>
        <w:rPr>
          <w:noProof/>
        </w:rPr>
        <w:t>Jotta varat saataisiin nopeasti käyttöön, tätä päätöstä olisi sovellettava varainhoitovuoden 2020 alusta alkaen,</w:t>
      </w:r>
    </w:p>
    <w:p>
      <w:pPr>
        <w:pStyle w:val="Formuledadoption"/>
        <w:rPr>
          <w:noProof/>
        </w:rPr>
      </w:pPr>
      <w:r>
        <w:rPr>
          <w:noProof/>
        </w:rPr>
        <w:t>OVAT HYVÄKSYNEET TÄMÄN PÄÄTÖKSEN:</w:t>
      </w:r>
    </w:p>
    <w:p>
      <w:pPr>
        <w:pStyle w:val="Titrearticle"/>
        <w:rPr>
          <w:noProof/>
        </w:rPr>
      </w:pPr>
      <w:r>
        <w:rPr>
          <w:noProof/>
        </w:rPr>
        <w:t>1 artikla</w:t>
      </w:r>
    </w:p>
    <w:p>
      <w:pPr>
        <w:pStyle w:val="Point0"/>
        <w:rPr>
          <w:noProof/>
        </w:rPr>
      </w:pPr>
      <w:r>
        <w:rPr>
          <w:noProof/>
        </w:rPr>
        <w:t>1)</w:t>
      </w:r>
      <w:r>
        <w:rPr>
          <w:noProof/>
        </w:rPr>
        <w:tab/>
        <w:t>Otetaan käyttöön joustovälineestä 778 074 489 euroa otsakkeeseen 3 (</w:t>
      </w:r>
      <w:r>
        <w:rPr>
          <w:i/>
          <w:noProof/>
        </w:rPr>
        <w:t>Turvallisuus ja kansalaisuus</w:t>
      </w:r>
      <w:r>
        <w:rPr>
          <w:noProof/>
        </w:rPr>
        <w:t>) sisältyvinä maksusitoumusmäärärahoina unionin varainhoitovuoden 2020 yleiseen talousarvioon.</w:t>
      </w:r>
    </w:p>
    <w:p>
      <w:pPr>
        <w:rPr>
          <w:noProof/>
        </w:rPr>
      </w:pPr>
      <w:r>
        <w:rPr>
          <w:noProof/>
        </w:rPr>
        <w:t>Ensimmäisessä alakohdassa mainittu määrä käytetään rahoittamaan toimenpiteitä, joilla vastataan muuttoliikkeeseen, pakolaisvirtoihin ja turvallisuusuhkiin liittyviin tämänhetkisiin haasteisiin.</w:t>
      </w:r>
    </w:p>
    <w:p>
      <w:pPr>
        <w:pStyle w:val="Point0"/>
        <w:rPr>
          <w:noProof/>
        </w:rPr>
      </w:pPr>
      <w:r>
        <w:rPr>
          <w:noProof/>
        </w:rPr>
        <w:t>2)</w:t>
      </w:r>
      <w:r>
        <w:rPr>
          <w:noProof/>
        </w:rPr>
        <w:tab/>
        <w:t>Joustovälineen käyttöönottoa vastaavat maksumäärärahat ovat maksettavien määrien odotetun kehityksen perusteella seuraavat:</w:t>
      </w:r>
    </w:p>
    <w:p>
      <w:pPr>
        <w:pStyle w:val="Point0"/>
        <w:ind w:left="426" w:hanging="424"/>
        <w:rPr>
          <w:noProof/>
        </w:rPr>
      </w:pPr>
      <w:r>
        <w:rPr>
          <w:noProof/>
        </w:rPr>
        <w:t>a)</w:t>
      </w:r>
      <w:r>
        <w:rPr>
          <w:noProof/>
        </w:rPr>
        <w:tab/>
        <w:t>407 402 108 euroa vuonna 2020;</w:t>
      </w:r>
    </w:p>
    <w:p>
      <w:pPr>
        <w:pStyle w:val="Point0"/>
        <w:ind w:left="426" w:hanging="424"/>
        <w:rPr>
          <w:noProof/>
        </w:rPr>
      </w:pPr>
      <w:r>
        <w:rPr>
          <w:noProof/>
        </w:rPr>
        <w:t>b)</w:t>
      </w:r>
      <w:r>
        <w:rPr>
          <w:noProof/>
        </w:rPr>
        <w:tab/>
        <w:t>312 205 134 euroa vuonna 2021;</w:t>
      </w:r>
    </w:p>
    <w:p>
      <w:pPr>
        <w:pStyle w:val="Point0"/>
        <w:ind w:left="426" w:hanging="424"/>
        <w:rPr>
          <w:noProof/>
        </w:rPr>
      </w:pPr>
      <w:r>
        <w:rPr>
          <w:noProof/>
        </w:rPr>
        <w:t>c)</w:t>
      </w:r>
      <w:r>
        <w:rPr>
          <w:noProof/>
        </w:rPr>
        <w:tab/>
        <w:t>42 336 587 euroa vuonna 2022;</w:t>
      </w:r>
    </w:p>
    <w:p>
      <w:pPr>
        <w:pStyle w:val="Point0"/>
        <w:ind w:left="426" w:hanging="424"/>
        <w:rPr>
          <w:noProof/>
        </w:rPr>
      </w:pPr>
      <w:r>
        <w:rPr>
          <w:noProof/>
        </w:rPr>
        <w:t>d)</w:t>
      </w:r>
      <w:r>
        <w:rPr>
          <w:noProof/>
        </w:rPr>
        <w:tab/>
        <w:t>16 130 660 euroa vuonna 2023.</w:t>
      </w:r>
    </w:p>
    <w:p>
      <w:pPr>
        <w:rPr>
          <w:noProof/>
        </w:rPr>
      </w:pPr>
      <w:r>
        <w:rPr>
          <w:noProof/>
        </w:rPr>
        <w:t>Kunkin varainhoitovuoden maksumäärärahojen täsmälliset määrät hyväksytään vuotuisen talousarviomenettelyn mukaisesti.</w:t>
      </w:r>
    </w:p>
    <w:p>
      <w:pPr>
        <w:pStyle w:val="Titrearticle"/>
        <w:rPr>
          <w:noProof/>
        </w:rPr>
      </w:pPr>
      <w:r>
        <w:rPr>
          <w:noProof/>
        </w:rPr>
        <w:t>2 artikla</w:t>
      </w:r>
    </w:p>
    <w:p>
      <w:pPr>
        <w:rPr>
          <w:i/>
          <w:noProof/>
        </w:rPr>
      </w:pPr>
      <w:r>
        <w:rPr>
          <w:noProof/>
        </w:rPr>
        <w:t xml:space="preserve">Tämä päätös tulee voimaan päivänä, jona se julkaistaan </w:t>
      </w:r>
      <w:r>
        <w:rPr>
          <w:i/>
          <w:noProof/>
        </w:rPr>
        <w:t>Euroopan unionin virallisessa lehdessä</w:t>
      </w:r>
      <w:r>
        <w:rPr>
          <w:noProof/>
        </w:rPr>
        <w:t>.</w:t>
      </w:r>
    </w:p>
    <w:p>
      <w:pPr>
        <w:rPr>
          <w:noProof/>
        </w:rPr>
      </w:pPr>
      <w:r>
        <w:rPr>
          <w:noProof/>
        </w:rPr>
        <w:t>Sitä sovelletaan 1 päivästä tammikuuta 2020.</w:t>
      </w:r>
    </w:p>
    <w:p>
      <w:pPr>
        <w:rPr>
          <w:i/>
          <w:noProof/>
        </w:rPr>
      </w:pP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L 347, 20.12.2013, s. 884.</w:t>
      </w:r>
    </w:p>
  </w:footnote>
  <w:footnote w:id="2">
    <w:p>
      <w:pPr>
        <w:pStyle w:val="FootnoteText"/>
      </w:pPr>
      <w:r>
        <w:rPr>
          <w:rStyle w:val="FootnoteReference"/>
        </w:rPr>
        <w:footnoteRef/>
      </w:r>
      <w:r>
        <w:tab/>
        <w:t>EUVL C 373, 20.12.2013, s. 1.</w:t>
      </w:r>
    </w:p>
  </w:footnote>
  <w:footnote w:id="3">
    <w:p>
      <w:pPr>
        <w:pStyle w:val="FootnoteText"/>
      </w:pPr>
      <w:r>
        <w:rPr>
          <w:rStyle w:val="FootnoteReference"/>
        </w:rPr>
        <w:footnoteRef/>
      </w:r>
      <w:r>
        <w:tab/>
        <w:t>EUVL C 373, 20.12.2013, s. 1.</w:t>
      </w:r>
    </w:p>
  </w:footnote>
  <w:footnote w:id="4">
    <w:p>
      <w:pPr>
        <w:pStyle w:val="FootnoteText"/>
      </w:pPr>
      <w:r>
        <w:rPr>
          <w:rStyle w:val="FootnoteReference"/>
        </w:rPr>
        <w:footnoteRef/>
      </w:r>
      <w:r>
        <w:tab/>
        <w:t>Neuvoston asetus (EU, Euratom) N:o 1311/2013, annettu 2 päivänä joulukuuta 2013, vuosia 2014–2020 koskevan monivuotisen rahoituskehyksen vahvistamisesta (EUVL L 347, 20.12.2013, s. 884).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5A3E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B2AA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7A8E05A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34694D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0C6E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88095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9561700"/>
    <w:lvl w:ilvl="0">
      <w:start w:val="1"/>
      <w:numFmt w:val="decimal"/>
      <w:pStyle w:val="ListNumber"/>
      <w:lvlText w:val="%1."/>
      <w:lvlJc w:val="left"/>
      <w:pPr>
        <w:tabs>
          <w:tab w:val="num" w:pos="360"/>
        </w:tabs>
        <w:ind w:left="360" w:hanging="360"/>
      </w:pPr>
    </w:lvl>
  </w:abstractNum>
  <w:abstractNum w:abstractNumId="7">
    <w:nsid w:val="FFFFFF89"/>
    <w:multiLevelType w:val="singleLevel"/>
    <w:tmpl w:val="6A8AB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hideSpellingErrors/>
  <w:hideGrammaticalErrors/>
  <w:attachedTemplate r:id="rId1"/>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9:18: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5F2A182-BC69-41B3-BEA2-46827EAE9068"/>
    <w:docVar w:name="LW_COVERPAGE_TYPE" w:val="1"/>
    <w:docVar w:name="LW_CROSSREFERENCE" w:val="&lt;UNUSED&gt;"/>
    <w:docVar w:name="LW_DocType" w:val="COM"/>
    <w:docVar w:name="LW_EMISSION" w:val="5.6.2019"/>
    <w:docVar w:name="LW_EMISSION_ISODATE" w:val="2019-06-05"/>
    <w:docVar w:name="LW_EMISSION_LOCATION" w:val="BRX"/>
    <w:docVar w:name="LW_EMISSION_PREFIX" w:val="Bryssel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joustovälineen varojen käyttöönotosta muuttoliikkeeseen, pakolaisvirtoihin ja turvallisuusuhkiin liittyvien tämänhetkisten haasteiden edellyttämiä välittömiä talousarviotoimenpiteitä varten"/>
    <w:docVar w:name="LW_TYPE.DOC.CP" w:val="EUROOPAN PARLAMENTIN JA 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9442298-A373-4E9D-8093-774484E8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Pages>
  <Words>555</Words>
  <Characters>4586</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19</cp:revision>
  <dcterms:created xsi:type="dcterms:W3CDTF">2019-06-24T09:53:00Z</dcterms:created>
  <dcterms:modified xsi:type="dcterms:W3CDTF">2019-07-01T07:18:00Z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