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54F09F0-EAC1-49EC-8BC4-15D4A1628F8F" style="width:450.45pt;height:380.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rPr>
          <w:rFonts w:eastAsia="Arial Unicode MS"/>
          <w:noProof/>
        </w:rPr>
      </w:pPr>
      <w:r>
        <w:rPr>
          <w:noProof/>
        </w:rPr>
        <w:t xml:space="preserve">Η παρούσα πρόταση αφορά απόφαση που καθορίζει τη θέση που πρέπει να ληφθεί εξ ονόματος της Ένωσης </w:t>
      </w:r>
      <w:r>
        <w:rPr>
          <w:noProof/>
          <w:color w:val="000000" w:themeColor="text1"/>
        </w:rPr>
        <w:t>στην προσεχή συνεδρίαση της Ευρωπαϊκής Επιτροπής Εκπόνησης Προτύπων στην Εσωτερική Ναυσιπλοΐα (CESNI), η οποία θα πραγματοποιηθεί στις 15 Οκτωβρίου 2019, και σε μελλοντική σύνοδο της ολομέλειας της Κεντρικής Επιτροπής για τη Ναυσιπλοΐα στον Ρήνο (CCNR)</w:t>
      </w:r>
      <w:r>
        <w:rPr>
          <w:noProof/>
        </w:rPr>
        <w:t xml:space="preserve"> σχετικά με την έγκριση προτύπων για την κατάρτιση υποδειγμάτων στο πεδίο των επαγγελματικών προσόντων στην εσωτερική ναυσιπλοΐα.</w:t>
      </w:r>
      <w:r>
        <w:rPr>
          <w:noProof/>
          <w:color w:val="000000" w:themeColor="text1"/>
        </w:rPr>
        <w:t xml:space="preserve"> </w:t>
      </w:r>
    </w:p>
    <w:p>
      <w:pPr>
        <w:pStyle w:val="ManualHeading1"/>
        <w:rPr>
          <w:noProof/>
        </w:rPr>
      </w:pPr>
      <w:r>
        <w:t>2.</w:t>
      </w:r>
      <w:r>
        <w:tab/>
      </w:r>
      <w:r>
        <w:rPr>
          <w:noProof/>
        </w:rPr>
        <w:t>Πλαίσιο της πρότασης</w:t>
      </w:r>
    </w:p>
    <w:p>
      <w:pPr>
        <w:pStyle w:val="ManualHeading2"/>
        <w:rPr>
          <w:noProof/>
        </w:rPr>
      </w:pPr>
      <w:r>
        <w:t>2.1.</w:t>
      </w:r>
      <w:r>
        <w:tab/>
      </w:r>
      <w:r>
        <w:rPr>
          <w:noProof/>
        </w:rPr>
        <w:t xml:space="preserve">Η αναθεωρημένη σύμβαση για τη ναυσιπλοΐα στον Ρήνο </w:t>
      </w:r>
    </w:p>
    <w:p>
      <w:pPr>
        <w:rPr>
          <w:noProof/>
        </w:rPr>
      </w:pPr>
      <w:r>
        <w:rPr>
          <w:noProof/>
        </w:rPr>
        <w:t xml:space="preserve">Η αναθεωρημένη σύμβαση για τη ναυσιπλοΐα στον Ρήνο, της 17ης Οκτωβρίου 1868, ορίζει το νομικό πλαίσιο που διέπει τη χρήση του Ρήνου ως εσωτερικής πλωτής οδού ναυσιπλοΐας και καθορίζει τις αρμοδιότητες της Κεντρικής Επιτροπής για τη Ναυσιπλοΐα στον Ρήνο (CCNR). Η ισχύουσα σήμερα έκδοση της σύμβασης είναι η </w:t>
      </w:r>
      <w:hyperlink r:id="rId16" w:anchor="10">
        <w:r>
          <w:rPr>
            <w:noProof/>
          </w:rPr>
          <w:t>σύμβαση της 20ής Νοεμβρίου 1963</w:t>
        </w:r>
      </w:hyperlink>
      <w:r>
        <w:rPr>
          <w:noProof/>
        </w:rPr>
        <w:t>, η οποία άρχισε να ισχύει στις 14 Απριλίου 1967.</w:t>
      </w:r>
    </w:p>
    <w:p>
      <w:pPr>
        <w:rPr>
          <w:noProof/>
        </w:rPr>
      </w:pPr>
      <w:r>
        <w:rPr>
          <w:noProof/>
        </w:rPr>
        <w:t>Μέχρι σήμερα, συμβαλλόμενα μέρη της αναθεωρημένης σύμβασης για τη ναυσιπλοΐα στον Ρήνο είναι τέσσερα κράτη μέλη της ΕΕ (Βέλγιο, Γαλλία, Γερμανία και Κάτω Χώρες) και η Ελβετία. Η Ένωση δεν είναι συμβαλλόμενο μέρος της σύμβασης.</w:t>
      </w:r>
    </w:p>
    <w:p>
      <w:pPr>
        <w:pStyle w:val="ManualHeading2"/>
        <w:rPr>
          <w:noProof/>
        </w:rPr>
      </w:pPr>
      <w:r>
        <w:t>2.2.</w:t>
      </w:r>
      <w:r>
        <w:tab/>
      </w:r>
      <w:r>
        <w:rPr>
          <w:noProof/>
        </w:rPr>
        <w:t>CCNR και CESNI</w:t>
      </w:r>
    </w:p>
    <w:p>
      <w:r>
        <w:rPr>
          <w:noProof/>
        </w:rPr>
        <w:t>Η CCNR είναι διεθνής οργανισμός ο οποίος αναλαμβάνει πρωτοβουλίες με σκοπό να διασφαλίζεται η ελευθερία της ναυσιπλοΐας στον Ρήνο και να προωθείται η ναυσιπλοΐα στον Ρήνο. Οι συνεδριάσεις της ολομέλειας πραγματοποιούνται δύο φορές τον χρόνο με τη συμμετοχή εκπροσώπων των κρατών μελών που είναι μέλη της CCNR. Η ολομέλεια είναι το όργανο λήψης αποφάσεων της CCNR, το οποίο εγκρίνει τις αποφάσεις της. Κάθε κράτος διαθέτει μία ψήφο και οι αποφάσεις λαμβάνονται ομόφωνα. Οι αποφάσεις είναι νομικώς δεσμευτικές.</w:t>
      </w:r>
      <w:r>
        <w:t xml:space="preserve"> </w:t>
      </w:r>
      <w:r>
        <w:rPr>
          <w:noProof/>
        </w:rPr>
        <w:t>Η ΕΕ δεν είναι μέλος της CCNR.</w:t>
      </w:r>
    </w:p>
    <w:p>
      <w:pPr>
        <w:rPr>
          <w:noProof/>
        </w:rPr>
      </w:pPr>
      <w:r>
        <w:rPr>
          <w:noProof/>
        </w:rPr>
        <w:t xml:space="preserve">Το 2015 η CCNR έλαβε απόφαση για τη σύσταση ευρωπαϊκής επιτροπής εκπόνησης κοινών προτύπων στο πεδίο της εσωτερικής ναυσιπλοΐας (Comité Européen pour l’Élaboration de Standards dans le Domaine de Navigation Intérieure – CESNI). Στις εργασίες της επιτροπής αυτής περιλαμβάνονται: i) η έκδοση τεχνικών προτύπων σε διάφορα πεδία, ιδίως όσον αφορά τα σκάφη, την τεχνολογία πληροφοριών και τα πληρώματα, ii) η ομοιόμορφη ερμηνεία των εν λόγω προτύπων και των αντίστοιχων διαδικασιών και iii) η συζήτηση με αντικείμενο την ασφάλεια της ναυσιπλοΐας, την προστασία του περιβάλλοντος ή άλλα πεδία σχετιζόμενα με τη ναυσιπλοΐα. </w:t>
      </w:r>
    </w:p>
    <w:p>
      <w:pPr>
        <w:rPr>
          <w:noProof/>
        </w:rPr>
      </w:pPr>
      <w:r>
        <w:rPr>
          <w:noProof/>
        </w:rPr>
        <w:t xml:space="preserve">Η CESNI απαρτίζεται από εμπειρογνώμονες που εκπροσωπούν τα κράτη μέλη της CCNR και της ΕΕ. Κάθε κράτος μέλος που εκπροσωπείται στην CESNI διαθέτει μία ψήφο. Η ΕΕ δεν είναι μέλος της CESNI, μπορεί όμως να συμμετέχει στις εργασίες της χωρίς δικαίωμα ψήφου, μαζί με διεθνείς οργανισμούς που δραστηριοποιούνται σε πεδία που υπάγονται στην CESNI. </w:t>
      </w:r>
    </w:p>
    <w:p>
      <w:pPr>
        <w:pStyle w:val="ManualHeading2"/>
        <w:rPr>
          <w:noProof/>
        </w:rPr>
      </w:pPr>
      <w:r>
        <w:t>2.3.</w:t>
      </w:r>
      <w:r>
        <w:tab/>
      </w:r>
      <w:r>
        <w:rPr>
          <w:noProof/>
        </w:rPr>
        <w:t>Τα προβλεπόμενα πρότυπα που πρόκειται να εγκριθούν από τις CESNI και CCNR</w:t>
      </w:r>
    </w:p>
    <w:p>
      <w:pPr>
        <w:rPr>
          <w:rFonts w:eastAsia="Arial Unicode MS"/>
          <w:noProof/>
        </w:rPr>
      </w:pPr>
      <w:r>
        <w:rPr>
          <w:noProof/>
        </w:rPr>
        <w:t>Στην επόμενη συνεδρίασή της που έχει προγραμματιστεί για τις 15 Οκτωβρίου 2019</w:t>
      </w:r>
      <w:r>
        <w:t>,</w:t>
      </w:r>
      <w:r>
        <w:rPr>
          <w:noProof/>
        </w:rPr>
        <w:t xml:space="preserve"> η</w:t>
      </w:r>
      <w:r>
        <w:t xml:space="preserve"> </w:t>
      </w:r>
      <w:r>
        <w:rPr>
          <w:noProof/>
        </w:rPr>
        <w:t>CESNI προγραμματίζει να εγκρίνει πρότυπα για τα υποδείγματα που χρησιμοποιούνται στο πεδίο των επαγγελματικών προσόντων στην εσωτερική ναυσιπλοΐα («η προβλεπόμενη πράξη»).</w:t>
      </w:r>
    </w:p>
    <w:p>
      <w:pPr>
        <w:rPr>
          <w:noProof/>
        </w:rPr>
      </w:pPr>
      <w:r>
        <w:rPr>
          <w:noProof/>
        </w:rPr>
        <w:lastRenderedPageBreak/>
        <w:t>Εν προκειμένω περιλαμβάνονται τα ακόλουθα υποδείγματα:</w:t>
      </w:r>
    </w:p>
    <w:p>
      <w:pPr>
        <w:pStyle w:val="Bullet0"/>
        <w:numPr>
          <w:ilvl w:val="0"/>
          <w:numId w:val="8"/>
        </w:numPr>
        <w:rPr>
          <w:noProof/>
        </w:rPr>
      </w:pPr>
      <w:r>
        <w:rPr>
          <w:noProof/>
        </w:rPr>
        <w:t>υποδείγματα πιστοποιητικού επαγγελματικών προσόντων πλοιάρχου, εμπειρογνώμονα υγροποιημένου φυσικού αερίου (ΥΦΑ) και εμπειρογνώμονα επιβατηγού ναυτιλίας (πρότυπα cesni(19)_17)·</w:t>
      </w:r>
    </w:p>
    <w:p>
      <w:pPr>
        <w:pStyle w:val="Bullet0"/>
        <w:rPr>
          <w:noProof/>
        </w:rPr>
      </w:pPr>
      <w:r>
        <w:rPr>
          <w:noProof/>
        </w:rPr>
        <w:t>υπόδειγμα ναυτικού φυλλαδίου (cesni(19)_15)·</w:t>
      </w:r>
    </w:p>
    <w:p>
      <w:pPr>
        <w:pStyle w:val="Bullet0"/>
        <w:rPr>
          <w:noProof/>
        </w:rPr>
      </w:pPr>
      <w:r>
        <w:rPr>
          <w:noProof/>
        </w:rPr>
        <w:t>υπόδειγμα ημερολογίου πλοίου (cesni(19)_14)·</w:t>
      </w:r>
    </w:p>
    <w:p>
      <w:pPr>
        <w:pStyle w:val="Bullet0"/>
        <w:rPr>
          <w:noProof/>
        </w:rPr>
      </w:pPr>
      <w:r>
        <w:rPr>
          <w:noProof/>
        </w:rPr>
        <w:t>υπόδειγμα εγγράφου που συνδυάζει το πιστοποιητικό επαγγελματικών προσόντων και το ναυτικό φυλλάδιο (cesni (19)16)·</w:t>
      </w:r>
    </w:p>
    <w:p>
      <w:pPr>
        <w:pStyle w:val="Bullet0"/>
        <w:rPr>
          <w:noProof/>
        </w:rPr>
      </w:pPr>
      <w:r>
        <w:rPr>
          <w:noProof/>
        </w:rPr>
        <w:t>υπόδειγμα πιστοποιητικού πρακτικής εξέτασης (cesni(19)_13).</w:t>
      </w:r>
    </w:p>
    <w:p>
      <w:pPr>
        <w:rPr>
          <w:noProof/>
        </w:rPr>
      </w:pPr>
      <w:r>
        <w:rPr>
          <w:noProof/>
        </w:rPr>
        <w:t xml:space="preserve">Στη συνεδρίασή της, στις 11 Απριλίου 2019, η CESNI αποφάσισε ομόφωνα να προγραμματίσει την έγκριση αυτών των προτύπων στην επόμενη συνεδρίασή της, η οποία έχει προγραμματιστεί για τις 15 Οκτωβρίου 2019. Αναμένεται ότι έως τότε θα επέλθουν στα σχέδια προτύπων μόνον ήσσονος σημασίας αλλαγές και, ενδεχομένως, η ενοποίηση των εγγράφων και των στοιχείων αναφοράς τους. </w:t>
      </w:r>
    </w:p>
    <w:p>
      <w:pPr>
        <w:rPr>
          <w:noProof/>
        </w:rPr>
      </w:pPr>
      <w:r>
        <w:rPr>
          <w:noProof/>
        </w:rPr>
        <w:t xml:space="preserve">Από τις 17 Ιανουαρίου 2022, θα παραπέμπουν στα πρότυπα της CESNI και οι κανονισμοί προσωπικού για τη ναυσιπλοΐα στον Ρήνο. Αυτή είναι η προθεσμία για τη μεταφορά της οδηγίας (ΕΕ) 2017/2397 στο εθνικό δίκαιο: το ρυθμιστικό καθεστώς της CCNR όσον αφορά τα επαγγελματικά προσόντα που υπάγονται στην εν λόγω οδηγία πρέπει να ευθυγραμμιστεί πλήρως με τα πρότυπα της CESNI έως την ανωτέρω ημερομηνία, προκειμένου να διασφαλιστεί η αναγνώριση των πιστοποιητικών του Ρήνου σε όλες τις εσωτερικές πλωτές οδούς της ΕΕ. </w:t>
      </w:r>
    </w:p>
    <w:p>
      <w:pPr>
        <w:pStyle w:val="ManualHeading1"/>
        <w:rPr>
          <w:rFonts w:eastAsia="Arial Unicode MS"/>
          <w:noProof/>
        </w:rPr>
      </w:pPr>
      <w:r>
        <w:t>3.</w:t>
      </w:r>
      <w:r>
        <w:tab/>
      </w:r>
      <w:r>
        <w:rPr>
          <w:noProof/>
        </w:rPr>
        <w:t>Θέση που πρέπει να ληφθεί εξ ονόματος της Ενωσης</w:t>
      </w:r>
    </w:p>
    <w:p>
      <w:pPr>
        <w:rPr>
          <w:noProof/>
        </w:rPr>
      </w:pPr>
      <w:r>
        <w:rPr>
          <w:noProof/>
        </w:rPr>
        <w:t>Η οδηγία (EΕ) 2017/2397</w:t>
      </w:r>
      <w:r>
        <w:rPr>
          <w:rStyle w:val="FootnoteReference"/>
          <w:noProof/>
        </w:rPr>
        <w:footnoteReference w:id="1"/>
      </w:r>
      <w:r>
        <w:rPr>
          <w:noProof/>
        </w:rPr>
        <w:t xml:space="preserve"> καθορίζει τους όρους και τις διαδικασίες πιστοποίησης των επαγγελματικών προσόντων προσώπων που συμμετέχουν στη λειτουργία σκάφους που εκτελεί πλόες σε εσωτερικές πλωτές οδούς της Ένωσης, καθώς και για την αναγνώριση των εν λόγω προσόντων στα κράτη μέλη. Για να εξασφαλιστούν ενιαίοι όροι εφαρμογής αυτών των διατάξεων, το άρθρο 11 παράγραφος 3, το άρθρο 18 παράγραφος 3 και το άρθρο 22 παράγραφος 4 της οδηγίας (ΕΕ) 2017/2397 αναθέτουν εκτελεστικές αρμοδιότητες στην Επιτροπή όσον αφορά την έγκριση υποδειγμάτων για την έγκριση ενωσιακών πιστοποιητικών επαγγελματικών προσόντων, πιστοποιητικών πρακτικής εξέτασης, ναυτικών φυλλαδίων και ημερολογίων πλοίου. Τα πρότυπα της CESNI για την κατάρτιση υποδειγμάτων στο πεδίο των επαγγελματικών προσόντων στην εσωτερική ναυσιπλοΐα πρόκειται να ενσωματωθούν στο δίκαιο της ΕΕ σύμφωνα με την οδηγία (ΕΕ) 2017/2397. Η προβλεπόμενη πράξη μπορεί, συνεπώς, να θίξει κοινούς κανόνες του δικαίου της Ένωσης ή να μεταβάλει το πεδίο εφαρμογής τους και, άρα, η Ένωση έχει αποκλειστική εξωτερική αρμοδιότητα δυνάμει του τελευταίου σκέλους του άρθρου 3 παράγραφος 2 της ΣΛΕΕ.</w:t>
      </w:r>
    </w:p>
    <w:p>
      <w:pPr>
        <w:rPr>
          <w:noProof/>
        </w:rPr>
      </w:pPr>
      <w:r>
        <w:rPr>
          <w:noProof/>
        </w:rPr>
        <w:t xml:space="preserve">Συνεπώς, απαιτείται να καθορισθεί η θέση της Ένωσης ώστε να διασφαλιστεί ότι κατά την έγκριση των προτύπων για την κατάρτιση υποδειγμάτων στο πεδίο των επαγγελματικών προσόντων στην εσωτερική ναυσιπλοΐα θα ληφθούν δεόντως υπόψη τα συμφέροντα της ΕΕ. </w:t>
      </w:r>
    </w:p>
    <w:p>
      <w:pPr>
        <w:rPr>
          <w:noProof/>
        </w:rPr>
      </w:pPr>
      <w:r>
        <w:rPr>
          <w:noProof/>
        </w:rPr>
        <w:lastRenderedPageBreak/>
        <w:t xml:space="preserve">Με βάση το πρόγραμμα εργασιών της CESNI για την περίοδο 2016-2018, οι εμπειρογνώμονες της CESNI (στην ομάδα εργασίας της CESNI για τα επαγγελματικά προσόντα - CESNI/QP) εκπόνησαν τα σχέδια προτύπων για τα επαγγελματικά προσόντα. </w:t>
      </w:r>
    </w:p>
    <w:p>
      <w:pPr>
        <w:rPr>
          <w:noProof/>
        </w:rPr>
      </w:pPr>
      <w:r>
        <w:rPr>
          <w:noProof/>
        </w:rPr>
        <w:t>Οι εμπειρογνώμονες της CESNI πραγματοποίησαν τις ακόλουθες τεχνικές συνεδριάσεις για την εκπόνηση των υποδειγμάτων:</w:t>
      </w:r>
    </w:p>
    <w:p>
      <w:pPr>
        <w:pStyle w:val="Bullet0"/>
        <w:rPr>
          <w:noProof/>
        </w:rPr>
      </w:pPr>
      <w:r>
        <w:rPr>
          <w:noProof/>
        </w:rPr>
        <w:t>συνεδριάσεις εμπειρογνωμόνων της CESNI την 1η Φεβρουαρίου 2018, στις 23-24 Μαΐου 2018, στις 4 Σεπτεμβρίου 2018, στις 6 Νοεμβρίου 2018 και στις 19 Φεβρουαρίου 2019·</w:t>
      </w:r>
    </w:p>
    <w:p>
      <w:pPr>
        <w:pStyle w:val="Bullet0"/>
        <w:rPr>
          <w:noProof/>
        </w:rPr>
      </w:pPr>
      <w:r>
        <w:rPr>
          <w:noProof/>
        </w:rPr>
        <w:t>συνεδρίαση της επιτροπής CESNI στις 11 Απριλίου 2019.</w:t>
      </w:r>
    </w:p>
    <w:p>
      <w:pPr>
        <w:rPr>
          <w:noProof/>
        </w:rPr>
      </w:pPr>
      <w:r>
        <w:rPr>
          <w:noProof/>
        </w:rPr>
        <w:t xml:space="preserve">Η ομάδα εμπειρογνωμόνων της Επιτροπής με αντικείμενο κοινωνικά θέματα στην εσωτερική ναυσιπλοΐα στις συνεδριάσεις της στις 7 Σεπτεμβρίου 2017, 21 Σεπτεμβρίου 2018 και 8 Φεβρουαρίου 2019 τηρήθηκε ενήμερη σχετικά με την πρόοδο που έχει σημειώσει η CESNI. </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Το άρθρο 218 παράγραφος 9 της ΣΛΕΕ εφαρμόζεται ανεξαρτήτως αν η Ένωση είναι μέλος του σχετικού οργάνου ή συμβαλλόμενο μέρος στη σχετική συμφωνία</w:t>
      </w:r>
      <w:r>
        <w:rPr>
          <w:rStyle w:val="FootnoteReference"/>
          <w:noProof/>
        </w:rPr>
        <w:footnoteReference w:id="2"/>
      </w:r>
      <w:r>
        <w:rPr>
          <w:noProof/>
        </w:rPr>
        <w:t>.</w:t>
      </w:r>
    </w:p>
    <w:p>
      <w:pPr>
        <w:rPr>
          <w:noProof/>
        </w:rPr>
      </w:pPr>
      <w:r>
        <w:rPr>
          <w:noProof/>
        </w:rPr>
        <w:t>Η έννοια των «</w:t>
      </w:r>
      <w:r>
        <w:rPr>
          <w:i/>
          <w:noProof/>
        </w:rPr>
        <w:t>πράξεων που παράγουν έννομα αποτελέσματα</w:t>
      </w:r>
      <w:r>
        <w:rPr>
          <w:noProof/>
        </w:rPr>
        <w:t>» περιλαμβάνει πράξεις που παράγουν έννομα αποτελέσματα δυνάμει των κανόνων του διεθνούς δικαίου που διέπουν το συγκεκριμένο όργανο. Εφαρμόζεται επίσης σε πράξεις που δεν έχουν δεσμευτικό αποτέλεσμα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3"/>
      </w:r>
      <w:r>
        <w:rPr>
          <w:noProof/>
        </w:rPr>
        <w:t>.</w:t>
      </w:r>
    </w:p>
    <w:p>
      <w:pPr>
        <w:pStyle w:val="ManualHeading3"/>
        <w:rPr>
          <w:noProof/>
        </w:rPr>
      </w:pPr>
      <w:r>
        <w:t>4.1.2.</w:t>
      </w:r>
      <w:r>
        <w:tab/>
      </w:r>
      <w:r>
        <w:rPr>
          <w:noProof/>
        </w:rPr>
        <w:t>Εφαρμογή στην προκειμένη περίπτωση</w:t>
      </w:r>
    </w:p>
    <w:p>
      <w:pPr>
        <w:rPr>
          <w:noProof/>
        </w:rPr>
      </w:pPr>
      <w:r>
        <w:rPr>
          <w:noProof/>
        </w:rPr>
        <w:t>Η CCNR είναι όργανο που έχει συσταθεί με συμφωνία, ήτοι την αναθεωρημένη σύμβαση για τη ναυσιπλοΐα στον Ρήνο. Η CESNI είναι όργανο που δημιουργήθηκε από την CCNR.</w:t>
      </w:r>
    </w:p>
    <w:p>
      <w:pPr>
        <w:rPr>
          <w:noProof/>
        </w:rPr>
      </w:pPr>
      <w:r>
        <w:rPr>
          <w:noProof/>
        </w:rPr>
        <w:t xml:space="preserve">Οι πράξεις τις οποίες καλούνται να εγκρίνουν η CESNI και η CCNR συνιστούν πράξεις που παράγουν έννομα αποτελέσματα. Οι προβλεπόμενες πράξεις μπορούν να θίξουν με καθοριστικό τρόπο το περιεχόμενο της νομοθεσίας της ΕΕ, και συγκεκριμένα: την οδηγία (EE) 2017/2397 του Ευρωπαϊκού Κοινοβουλίου και του Συμβουλίου, της 12ης Δεκεμβρίου 2017, σχετικά με την αναγνώριση των επαγγελματικών προσόντων στην εσωτερική ναυσιπλοΐα και την κατάργηση των οδηγιών 91/672/ΕΟΚ και 96/50/ΕΚ του Συμβουλίου. </w:t>
      </w:r>
    </w:p>
    <w:p>
      <w:pPr>
        <w:rPr>
          <w:noProof/>
        </w:rPr>
      </w:pPr>
      <w:r>
        <w:rPr>
          <w:noProof/>
        </w:rPr>
        <w:t>Αυτό οφείλεται στο γεγονός ότι η Επιτροπή πρέπει να εγκρίνει έως τις 17 Ιανουαρίου 2020 τις εκτελεστικές πράξεις που αναφέρονται στα ακόλουθα άρθρα:</w:t>
      </w:r>
    </w:p>
    <w:p>
      <w:pPr>
        <w:pStyle w:val="Bullet0"/>
        <w:rPr>
          <w:noProof/>
        </w:rPr>
      </w:pPr>
      <w:r>
        <w:rPr>
          <w:noProof/>
        </w:rPr>
        <w:lastRenderedPageBreak/>
        <w:t>άρθρο 11 παράγραφος 3 σχετικά με τα υποδείγματα για τα ενωσιακά πιστοποιητικά επαγγελματικών προσόντων και για τα ενιαία έγγραφα που συνδυάζουν τα ενωσιακά πιστοποιητικά επαγγελματικών προσόντων και τα ναυτικά φυλλάδια·</w:t>
      </w:r>
    </w:p>
    <w:p>
      <w:pPr>
        <w:pStyle w:val="Bullet0"/>
        <w:rPr>
          <w:noProof/>
        </w:rPr>
      </w:pPr>
      <w:r>
        <w:rPr>
          <w:noProof/>
        </w:rPr>
        <w:t>το άρθρο 18 παράγραφος 3 σχετικά με τα υποδείγματα των πιστοποιητικών πρακτικής εξέτασης·</w:t>
      </w:r>
    </w:p>
    <w:p>
      <w:pPr>
        <w:pStyle w:val="Bullet0"/>
        <w:rPr>
          <w:noProof/>
        </w:rPr>
      </w:pPr>
      <w:r>
        <w:rPr>
          <w:noProof/>
        </w:rPr>
        <w:t>το άρθρο 22 παράγραφος 4 σχετικά με τα υποδείγματα των ναυτικών φυλλαδίων και των ημερολογίων πλοίου.</w:t>
      </w:r>
    </w:p>
    <w:p>
      <w:pPr>
        <w:rPr>
          <w:noProof/>
        </w:rPr>
      </w:pPr>
      <w:r>
        <w:rPr>
          <w:noProof/>
        </w:rPr>
        <w:t>Στην αιτιολογική σκέψη (40) της οδηγίας (ΕΕ) 2017/2397 εξηγείται ότι τα πρότυπα της CESNI θα διευκολύνουν την εναρμόνιση της νομοθεσίας στο πεδίο των επαγγελματικών προσόντων στην εσωτερική ναυσιπλοΐα στην Ευρώπη. Το άρθρο 34 της οδηγίας ορίζει ότι οι ανωτέρω εκτελεστικές πράξεις πρέπει να παραπέμπουν σε πρότυπα που έχουν θεσπιστεί από τη CESNI εφόσον:</w:t>
      </w:r>
    </w:p>
    <w:p>
      <w:pPr>
        <w:rPr>
          <w:noProof/>
        </w:rPr>
      </w:pPr>
      <w:r>
        <w:rPr>
          <w:noProof/>
        </w:rPr>
        <w:t>α)</w:t>
      </w:r>
      <w:r>
        <w:rPr>
          <w:noProof/>
        </w:rPr>
        <w:tab/>
        <w:t>τα εν λόγω πρότυπα είναι διαθέσιμα και επικαιροποιημένα·</w:t>
      </w:r>
    </w:p>
    <w:p>
      <w:pPr>
        <w:ind w:left="720" w:hanging="720"/>
        <w:rPr>
          <w:noProof/>
        </w:rPr>
      </w:pPr>
      <w:r>
        <w:rPr>
          <w:noProof/>
        </w:rPr>
        <w:t>β)</w:t>
      </w:r>
      <w:r>
        <w:rPr>
          <w:noProof/>
        </w:rPr>
        <w:tab/>
        <w:t xml:space="preserve">τα εν λόγω πρότυπα είναι σύμφωνα με τις όποιες εφαρμοζόμενες απαιτήσεις που ορίζονται στα παραρτήματα της οδηγίας· </w:t>
      </w:r>
    </w:p>
    <w:p>
      <w:pPr>
        <w:ind w:left="720" w:hanging="720"/>
        <w:rPr>
          <w:noProof/>
        </w:rPr>
      </w:pPr>
      <w:r>
        <w:rPr>
          <w:noProof/>
        </w:rPr>
        <w:t>γ)</w:t>
      </w:r>
      <w:r>
        <w:rPr>
          <w:noProof/>
        </w:rPr>
        <w:tab/>
        <w:t>τα συμφέροντα της Ένωσης δεν θίγονται από αλλαγές στη διαδικασία λήψης αποφάσεων της CESNI.</w:t>
      </w:r>
    </w:p>
    <w:p>
      <w:pPr>
        <w:rPr>
          <w:noProof/>
        </w:rPr>
      </w:pPr>
      <w:r>
        <w:rPr>
          <w:noProof/>
        </w:rPr>
        <w:t>Η Επιτροπή πρέπει να περιλαμβάνει στις εκτελεστικές πράξεις ολόκληρο το κείμενο των προτύπων.</w:t>
      </w:r>
    </w:p>
    <w:p>
      <w:pPr>
        <w:rPr>
          <w:noProof/>
        </w:rPr>
      </w:pPr>
      <w:r>
        <w:rPr>
          <w:noProof/>
        </w:rPr>
        <w:t>Οι προβλεπόμενες πράξεις δεν συμπληρώνουν ούτε τροποποιούν το θεσμικό πλαίσιο της συμφωνίας.</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Εάν η προβλεπόμενη πράξη επιδιώκει διττό σκοπό ή έχει δύο συνιστώσες και εάν ένας από τους σκοπούς ή μία από τις συνιστώσες μπορεί να χαρακτηριστεί ως ο/η κύριος/-α, ενώ ο/η άλλος/-η έχει απλώς παρεπόμενο χαρακτήρα, η απόφαση δυνάμει του άρθρου 218 παράγραφος 9 της ΣΛΕΕ πρέπει να στηρίζεται σε μία και μόνη ουσιαστική νομική βάση, ήτοι μία που επιβάλλει ο/η κύριος/-α ή πρωτεύων/-ουσα σκοπός ή συνιστώσα.</w:t>
      </w:r>
    </w:p>
    <w:p>
      <w:pPr>
        <w:pStyle w:val="ManualHeading3"/>
        <w:rPr>
          <w:noProof/>
        </w:rPr>
      </w:pPr>
      <w:r>
        <w:t>4.2.2.</w:t>
      </w:r>
      <w:r>
        <w:tab/>
      </w:r>
      <w:r>
        <w:rPr>
          <w:noProof/>
        </w:rPr>
        <w:t>Εφαρμογή στην προκειμένη περίπτωση</w:t>
      </w:r>
    </w:p>
    <w:p>
      <w:r>
        <w:rPr>
          <w:noProof/>
        </w:rPr>
        <w:t>Ο κύριος στόχος και το περιεχόμενο των προβλεπόμενων πράξεων αφορούν την κοινή πολιτική μεταφορών.</w:t>
      </w:r>
    </w:p>
    <w:p>
      <w:pPr>
        <w:rPr>
          <w:i/>
          <w:noProof/>
        </w:rPr>
      </w:pPr>
      <w:r>
        <w:rPr>
          <w:noProof/>
        </w:rPr>
        <w:t>Συνεπώς, η ουσιαστική νομική βάση για την προτεινόμενη απόφαση είναι το άρθρο 91 παράγραφος 1</w:t>
      </w:r>
      <w:r>
        <w:t>.</w:t>
      </w:r>
    </w:p>
    <w:p>
      <w:pPr>
        <w:pStyle w:val="ManualHeading2"/>
        <w:rPr>
          <w:noProof/>
        </w:rPr>
      </w:pPr>
      <w:r>
        <w:t>4.3.</w:t>
      </w:r>
      <w:r>
        <w:tab/>
      </w:r>
      <w:r>
        <w:rPr>
          <w:noProof/>
        </w:rPr>
        <w:t>Συμπέρασμα</w:t>
      </w:r>
    </w:p>
    <w:p>
      <w:pPr>
        <w:rPr>
          <w:noProof/>
        </w:rPr>
      </w:pPr>
      <w:r>
        <w:rPr>
          <w:noProof/>
        </w:rPr>
        <w:t>Το άρθρο 91 παράγραφος 1</w:t>
      </w:r>
      <w:r>
        <w:t xml:space="preserve"> </w:t>
      </w:r>
      <w:r>
        <w:rPr>
          <w:noProof/>
        </w:rPr>
        <w:t>σε συνδυασμό με το άρθρο 218 παράγραφος 9 της ΣΛΕΕ θα πρέπει να αποτελέσουν τη νομική βάση της προτεινόμενης απόφασης.</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2019/0145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στην ευρωπαϊκή επιτροπή εκπόνησης προτύπων στον τομέα της εσωτερικής ναυσιπλοΐας και στην Κεντρική Επιτροπή για τη Ναυσιπλοΐα στον Ρήνο σχετικά με την έγκριση υποδειγμάτων στο πεδίο των επαγγελματικών προσόντων στην εσωτερική ναυσιπλοΐα</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91 παράγραφος 1,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αναθεωρημένη σύμβαση για τη ναυσιπλοΐα στον Ρήνο («η συμφωνία») άρχισε να ισχύει στις 14 Απριλίου 1967</w:t>
      </w:r>
      <w:r>
        <w:rPr>
          <w:rStyle w:val="FootnoteReference"/>
          <w:noProof/>
        </w:rPr>
        <w:footnoteReference w:id="4"/>
      </w:r>
      <w:r>
        <w:rPr>
          <w:noProof/>
        </w:rPr>
        <w:t xml:space="preserve">. </w:t>
      </w:r>
    </w:p>
    <w:p>
      <w:pPr>
        <w:pStyle w:val="ManualConsidrant"/>
        <w:rPr>
          <w:noProof/>
        </w:rPr>
      </w:pPr>
      <w:r>
        <w:t>(2)</w:t>
      </w:r>
      <w:r>
        <w:tab/>
      </w:r>
      <w:r>
        <w:rPr>
          <w:noProof/>
        </w:rPr>
        <w:t>Σύμφωνα με το άρθρο 46 της συμφωνίας, η Κεντρική Επιτροπή για τη Ναυσιπλοΐα στον Ρήνο (CCNR) μπορεί να εγκρίνει αποφάσεις, οι οποίες είναι δεσμευτικές για τα μέλη της</w:t>
      </w:r>
      <w:r>
        <w:t>.</w:t>
      </w:r>
    </w:p>
    <w:p>
      <w:pPr>
        <w:pStyle w:val="ManualConsidrant"/>
        <w:rPr>
          <w:noProof/>
        </w:rPr>
      </w:pPr>
      <w:r>
        <w:t>(3)</w:t>
      </w:r>
      <w:r>
        <w:tab/>
      </w:r>
      <w:r>
        <w:rPr>
          <w:noProof/>
        </w:rPr>
        <w:t>Η Ευρωπαϊκή Επιτροπή Εκπόνησης Προτύπων στον τομέα της Εσωτερικής Ναυσιπλοΐας (CESNI) συστάθηκε στις 3 Ιουνίου 2015 στο πλαίσιο της CCNR, με σκοπό να εκπονεί τεχνικά πρότυπα σε διάφορα πεδία για τις εσωτερικές πλωτές οδούς, ιδίως όσον αφορά τα σκάφη, την τεχνολογία πληροφοριών και το πλήρωμα.</w:t>
      </w:r>
    </w:p>
    <w:p>
      <w:pPr>
        <w:pStyle w:val="ManualConsidrant"/>
        <w:rPr>
          <w:noProof/>
        </w:rPr>
      </w:pPr>
      <w:r>
        <w:t>(4)</w:t>
      </w:r>
      <w:r>
        <w:tab/>
      </w:r>
      <w:r>
        <w:rPr>
          <w:noProof/>
        </w:rPr>
        <w:t>Στην επόμενη συνεδρίασή της που έχει προγραμματιστεί για τις 15 Οκτωβρίου 2019</w:t>
      </w:r>
      <w:r>
        <w:t>,</w:t>
      </w:r>
      <w:r>
        <w:rPr>
          <w:noProof/>
        </w:rPr>
        <w:t xml:space="preserve"> η CESNI πρόκειται να εγκρίνει πρότυπα για τα υποδείγματα στο πεδίο των επαγγελματικών προσόντων στην εσωτερική ναυσιπλοΐα. Η CCNR πρόκειται να εγκρίνει επίσης απόφαση για την ενσωμάτωση αυτών των υποδειγμάτων στους κανονισμούς προσωπικού για τη ναυσιπλοΐα στον Ρήνο</w:t>
      </w:r>
      <w:r>
        <w:rPr>
          <w:noProof/>
          <w:color w:val="000000" w:themeColor="text1"/>
        </w:rPr>
        <w:t>.</w:t>
      </w:r>
    </w:p>
    <w:p>
      <w:pPr>
        <w:pStyle w:val="ManualConsidrant"/>
        <w:rPr>
          <w:noProof/>
        </w:rPr>
      </w:pPr>
      <w:r>
        <w:t>(5)</w:t>
      </w:r>
      <w:r>
        <w:tab/>
      </w:r>
      <w:r>
        <w:rPr>
          <w:noProof/>
        </w:rPr>
        <w:t>Είναι σκόπιμο να καθοριστεί η θέση που πρέπει να ληφθεί εξ ονόματος της Ένωσης στην CESNI και στην CCNR</w:t>
      </w:r>
      <w:r>
        <w:t>,</w:t>
      </w:r>
      <w:r>
        <w:rPr>
          <w:noProof/>
        </w:rPr>
        <w:t xml:space="preserve"> διότι τα πρότυπα για τα υποδείγματα στο πεδίο των επαγγελματικών προσόντων θα επηρεάσουν αποφασιστικά το περιεχόμενο του δικαίου της Ένωσης, και συγκεκριμένα την οδηγία (ΕΕ) 2017/2397 του Ευρωπαϊκού Κοινοβουλίου και του Συμβουλίου</w:t>
      </w:r>
      <w:r>
        <w:rPr>
          <w:rStyle w:val="FootnoteReference"/>
          <w:noProof/>
        </w:rPr>
        <w:footnoteReference w:id="5"/>
      </w:r>
      <w:r>
        <w:rPr>
          <w:noProof/>
        </w:rPr>
        <w:t>.</w:t>
      </w:r>
    </w:p>
    <w:p>
      <w:pPr>
        <w:pStyle w:val="ManualConsidrant"/>
        <w:rPr>
          <w:noProof/>
        </w:rPr>
      </w:pPr>
      <w:r>
        <w:t>(6)</w:t>
      </w:r>
      <w:r>
        <w:tab/>
      </w:r>
      <w:r>
        <w:rPr>
          <w:noProof/>
        </w:rPr>
        <w:t xml:space="preserve">Για να διευκολυνθεί η κινητικότητα και να κατοχυρωθεί η ασφάλεια, είναι σημαντικό τα υποδείγματα που χρησιμοποιούν τα μέλη των πληρωμάτων για να διασφαλίσουν την αναγνώριση των προσόντων τους να είναι όσο το δυνατόν πιο εναρμονισμένα στα διάφορα νομικά καθεστώτα ανά την Ευρώπη. Πιο συγκεκριμένα, τα κράτη μέλη της </w:t>
      </w:r>
      <w:r>
        <w:rPr>
          <w:noProof/>
        </w:rPr>
        <w:lastRenderedPageBreak/>
        <w:t>ΕΕ που είναι επίσης μέλη της CCNR θα πρέπει να εξουσιοδοτηθούν να υποστηρίξουν αποφάσεις που εναρμονίζουν τους κανόνες της CCNR με αυτούς που ισχύουν στην Ένωση.</w:t>
      </w:r>
    </w:p>
    <w:p>
      <w:pPr>
        <w:pStyle w:val="ManualConsidrant"/>
        <w:rPr>
          <w:noProof/>
        </w:rPr>
      </w:pPr>
      <w:r>
        <w:t>(7)</w:t>
      </w:r>
      <w:r>
        <w:tab/>
      </w:r>
      <w:r>
        <w:rPr>
          <w:noProof/>
        </w:rPr>
        <w:t>Τα υποδείγματα που εκπόνησε η CESNI για τα πιστοποιητικά επαγγελματικών προσόντων, τα ναυτικά φυλλάδια, τα ημερολόγια πλοίων, ένα ενιαίο έγγραφο που συνδυάζει πιστοποιητικά επαγγελματικών προσόντων και ναυτικά φυλλάδια και τα πιστοποιητικά πρακτικής εξέτασης συνιστούν εναρμόνιση των ευρωπαϊκών προτύπων.</w:t>
      </w:r>
    </w:p>
    <w:p>
      <w:pPr>
        <w:pStyle w:val="ManualConsidrant"/>
        <w:rPr>
          <w:noProof/>
        </w:rPr>
      </w:pPr>
      <w:r>
        <w:t>(8)</w:t>
      </w:r>
      <w:r>
        <w:tab/>
      </w:r>
      <w:r>
        <w:rPr>
          <w:noProof/>
        </w:rPr>
        <w:t xml:space="preserve">Η θέση της Ένωσης πρέπει να εκφραστεί από τα κράτη μέλη της Ένωσης που είναι μέλη της CESNI και της CCNR, τα οποία ενεργούν από κοινού, </w:t>
      </w:r>
    </w:p>
    <w:p>
      <w:pPr>
        <w:pStyle w:val="Formuledadoption"/>
        <w:rPr>
          <w:noProof/>
        </w:rPr>
      </w:pPr>
      <w:r>
        <w:rPr>
          <w:noProof/>
        </w:rPr>
        <w:t>ΕΞΕΔΩΣΕ ΤΗΝ ΠΑΡΟΥΣΑ ΑΠΟΦΑΣΗ:</w:t>
      </w:r>
    </w:p>
    <w:p>
      <w:pPr>
        <w:pStyle w:val="Titrearticle"/>
        <w:rPr>
          <w:noProof/>
        </w:rPr>
      </w:pPr>
      <w:r>
        <w:rPr>
          <w:noProof/>
        </w:rPr>
        <w:t>Άρθρο 1</w:t>
      </w:r>
    </w:p>
    <w:p>
      <w:pPr>
        <w:pStyle w:val="ManualNumPar1"/>
        <w:rPr>
          <w:noProof/>
        </w:rPr>
      </w:pPr>
      <w:r>
        <w:t>1.</w:t>
      </w:r>
      <w:r>
        <w:tab/>
      </w:r>
      <w:r>
        <w:rPr>
          <w:noProof/>
        </w:rPr>
        <w:t xml:space="preserve">Η θέση που πρέπει να ληφθεί εξ ονόματος της Ένωσης στην Ευρωπαϊκή Επιτροπή Εκπόνησης Προτύπων στον τομέα της Εσωτερικής Ναυσιπλοΐας (CESNI) στην προσεχή συνεδρίασή της, η οποία έχει προγραμματιστεί για τις 15 Οκτωβρίου 2019 και πρόκειται να αποφασίσει σχετικά με τα ευρωπαϊκά πρότυπα για τα επαγγελματικά προσόντα στην εσωτερική ναυσιπλοΐα, όπως ορίζονται στο παράρτημα I της παρούσας απόφασης, είναι ότι συμφωνεί με την έγκριση αυτών των προτύπων. </w:t>
      </w:r>
    </w:p>
    <w:p>
      <w:pPr>
        <w:pStyle w:val="ManualNumPar1"/>
        <w:rPr>
          <w:noProof/>
        </w:rPr>
      </w:pPr>
      <w:r>
        <w:t>2.</w:t>
      </w:r>
      <w:r>
        <w:tab/>
      </w:r>
      <w:r>
        <w:rPr>
          <w:noProof/>
        </w:rPr>
        <w:t xml:space="preserve">Η θέση που πρέπει να ληφθεί εξ ονόματος της Ένωσης στην ολομέλεια της Κεντρικής Επιτροπής για τη Ναυσιπλοΐα στον Ρήνο (CCNR), η οποία θα λάβει απόφαση σχετικά με τα ευρωπαϊκά πρότυπα για τα επαγγελματικά προσόντα στην εσωτερική ναυσιπλοΐα, όπως ορίζονται στο παράρτημα Ι της παρούσας απόφασης, είναι ότι υποστηρίζει όλες τις προτάσεις που εναρμονίζουν τις απαιτήσεις των κανονισμών προσωπικού για τη ναυσιπλοΐα στον Ρήνο με εκείνες των ευρωπαϊκών προτύπων για τα επαγγελματικά προσόντα στην εσωτερική ναυσιπλοΐα. </w:t>
      </w:r>
    </w:p>
    <w:p>
      <w:pPr>
        <w:pStyle w:val="Titrearticle"/>
        <w:rPr>
          <w:noProof/>
        </w:rPr>
      </w:pPr>
      <w:r>
        <w:rPr>
          <w:noProof/>
        </w:rPr>
        <w:t>Άρθρο 2</w:t>
      </w:r>
    </w:p>
    <w:p>
      <w:pPr>
        <w:pStyle w:val="ManualNumPar1"/>
        <w:rPr>
          <w:noProof/>
        </w:rPr>
      </w:pPr>
      <w:r>
        <w:t>1.</w:t>
      </w:r>
      <w:r>
        <w:tab/>
      </w:r>
      <w:r>
        <w:rPr>
          <w:noProof/>
        </w:rPr>
        <w:t>Η θέση που αναφέρεται στο άρθρο 1 παράγραφος 1 εκφράζεται από τα κράτη μέλη της Ένωσης που είναι μέλη της CESNI, τα οποία ενεργούν από κοινού.</w:t>
      </w:r>
    </w:p>
    <w:p>
      <w:pPr>
        <w:pStyle w:val="ManualNumPar1"/>
        <w:rPr>
          <w:noProof/>
        </w:rPr>
      </w:pPr>
      <w:r>
        <w:t>2.</w:t>
      </w:r>
      <w:r>
        <w:tab/>
      </w:r>
      <w:r>
        <w:rPr>
          <w:noProof/>
        </w:rPr>
        <w:t>Η θέση που αναφέρεται στο άρθρο 1 παράγραφος 2 εκφράζεται από τα κράτη μέλη της Ένωσης που είναι μέλη της CCNR, τα οποία ενεργούν από κοινού.</w:t>
      </w:r>
    </w:p>
    <w:p>
      <w:pPr>
        <w:pStyle w:val="Titrearticle"/>
        <w:rPr>
          <w:noProof/>
        </w:rPr>
      </w:pPr>
      <w:r>
        <w:rPr>
          <w:noProof/>
        </w:rPr>
        <w:t>Άρθρο 3</w:t>
      </w:r>
    </w:p>
    <w:p>
      <w:pPr>
        <w:rPr>
          <w:i/>
          <w:noProof/>
        </w:rPr>
      </w:pPr>
      <w:r>
        <w:rPr>
          <w:noProof/>
        </w:rPr>
        <w:t>Η παρούσα απόφαση απευθύνεται στα κράτη μέλη.</w:t>
      </w:r>
    </w:p>
    <w:p>
      <w:pPr>
        <w:rPr>
          <w:noProof/>
        </w:rPr>
      </w:pP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Οδηγία (EE) 2017/2397 του Ευρωπαϊκού Κοινοβουλίου και του Συμβουλίου, της 12ης Δεκεμβρίου 2017, σχετικά με την αναγνώριση των επαγγελματικών προσόντων στην εσωτερική ναυσιπλοΐα και την κατάργηση των οδηγιών 91/672/ΕΟΚ και 96/50/ΕΚ του Συμβουλίου (ΕΕ L 345 της 27.12.2017, σ. 53).</w:t>
      </w:r>
    </w:p>
  </w:footnote>
  <w:footnote w:id="2">
    <w:p>
      <w:pPr>
        <w:pStyle w:val="FootnoteText"/>
      </w:pPr>
      <w:r>
        <w:rPr>
          <w:rStyle w:val="FootnoteReference"/>
        </w:rPr>
        <w:footnoteRef/>
      </w:r>
      <w:r>
        <w:tab/>
        <w:t>Απόφαση του Δικαστηρίου της 7ης Οκτωβρίου 2014, Γερμανία κατά Συμβουλίου, C-399/12, ECLI:EU:C:2014:2258, σκέψη 64.</w:t>
      </w:r>
    </w:p>
  </w:footnote>
  <w:footnote w:id="3">
    <w:p>
      <w:pPr>
        <w:pStyle w:val="FootnoteText"/>
      </w:pPr>
      <w:r>
        <w:rPr>
          <w:rStyle w:val="FootnoteReference"/>
        </w:rPr>
        <w:footnoteRef/>
      </w:r>
      <w:r>
        <w:tab/>
        <w:t>Απόφαση του Δικαστηρίου της 7ης Οκτωβρίου 2014, Γερμανία κατά Συμβουλίου, C-399/12, ECLI:EU:C:2014:2258, σκέψεις 61 έως 64.</w:t>
      </w:r>
    </w:p>
  </w:footnote>
  <w:footnote w:id="4">
    <w:p>
      <w:pPr>
        <w:pStyle w:val="FootnoteText"/>
        <w:rPr>
          <w:vertAlign w:val="superscript"/>
        </w:rPr>
      </w:pPr>
      <w:r>
        <w:rPr>
          <w:rStyle w:val="FootnoteReference"/>
        </w:rPr>
        <w:footnoteRef/>
      </w:r>
      <w:r>
        <w:tab/>
        <w:t>Μέχρι σήμερα, συμβαλλόμενα μέρη της αναθεωρημένης σύμβασης για τη ναυσιπλοΐα στον Ρήνο είναι τέσσερα κράτη μέλη (Βέλγιο, Γαλλία, Γερμανία και Κάτω Χώρες) και η Ελβετία. Η Ένωση δεν είναι μέλος της CCNR.</w:t>
      </w:r>
    </w:p>
  </w:footnote>
  <w:footnote w:id="5">
    <w:p>
      <w:pPr>
        <w:pStyle w:val="FootnoteText"/>
      </w:pPr>
      <w:r>
        <w:rPr>
          <w:rStyle w:val="FootnoteReference"/>
        </w:rPr>
        <w:footnoteRef/>
      </w:r>
      <w:r>
        <w:tab/>
        <w:t>Οδηγία (EE) 2017/2397 του Ευρωπαϊκού Κοινοβουλίου και του Συμβουλίου, της 12ης Δεκεμβρίου 2017, σχετικά με την αναγνώριση των επαγγελματικών προσόντων στην εσωτερική ναυσιπλοΐα και την κατάργηση των οδηγιών 91/672/ΕΟΚ και 96/50/ΕΚ του Συμβουλίου (ΕΕ L 345 της 27.12.2017, σ.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0848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BDE785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1E79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B2D3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EC678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DA85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4949B34"/>
    <w:lvl w:ilvl="0">
      <w:start w:val="1"/>
      <w:numFmt w:val="decimal"/>
      <w:pStyle w:val="ListNumber"/>
      <w:lvlText w:val="%1."/>
      <w:lvlJc w:val="left"/>
      <w:pPr>
        <w:tabs>
          <w:tab w:val="num" w:pos="360"/>
        </w:tabs>
        <w:ind w:left="360" w:hanging="360"/>
      </w:pPr>
    </w:lvl>
  </w:abstractNum>
  <w:abstractNum w:abstractNumId="7">
    <w:nsid w:val="FFFFFF89"/>
    <w:multiLevelType w:val="singleLevel"/>
    <w:tmpl w:val="024C78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7 10:09: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54F09F0-EAC1-49EC-8BC4-15D4A1628F8F"/>
    <w:docVar w:name="LW_COVERPAGE_TYPE" w:val="1"/>
    <w:docVar w:name="LW_CROSSREFERENCE" w:val="&lt;UNUSED&gt;"/>
    <w:docVar w:name="LW_DocType" w:val="COM"/>
    <w:docVar w:name="LW_EMISSION" w:val="3.7.2019"/>
    <w:docVar w:name="LW_EMISSION_ISODATE" w:val="2019-07-03"/>
    <w:docVar w:name="LW_EMISSION_LOCATION" w:val="BRX"/>
    <w:docVar w:name="LW_EMISSION_PREFIX" w:val="Βρυξέλλες,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45"/>
    <w:docVar w:name="LW_REF.II.NEW.CP_YEAR" w:val="2019"/>
    <w:docVar w:name="LW_REF.INST.NEW" w:val="COM"/>
    <w:docVar w:name="LW_REF.INST.NEW_ADOPTED" w:val="final"/>
    <w:docVar w:name="LW_REF.INST.NEW_TEXT" w:val="(2019) 3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1?\u957? \u949?\u965?\u961?\u969?\u960?\u945?\u970?\u954?\u942? \u949?\u960?\u953?\u964?\u961?\u959?\u960?\u942? \u949?\u954?\u960?\u972?\u957?\u951?\u963?\u951?\u962? \u960?\u961?\u959?\u964?\u973?\u960?\u969?\u957? \u963?\u964?\u959?\u957? \u964?\u959?\u956?\u941?\u945? \u964?\u951?\u962? \u949?\u963?\u969?\u964?\u949?\u961?\u953?\u954?\u942?\u962? \u957?\u945?\u965?\u963?\u953?\u960?\u955?\u959?\u912?\u945?\u962? \u954?\u945?\u953? \u963?\u964?\u951?\u957? \u922?\u949?\u957?\u964?\u961?\u953?\u954?\u942? \u917?\u960?\u953?\u964?\u961?\u959?\u960?\u942? \u947?\u953?\u945? \u964?\u951? \u925?\u945?\u965?\u963?\u953?\u960?\u955?\u959?\u912?\u945? \u963?\u964?\u959?\u957? \u929?\u942?\u957?\u959? \u963?\u967?\u949?\u964?\u953?\u954?\u940? \u956?\u949? \u964?\u951?\u957? \u941?\u947?\u954?\u961?\u953?\u963?\u951? \u965?\u960?\u959?\u948?\u949?\u953?\u947?\u956?\u940?\u964?\u969?\u957? \u963?\u964?\u959? \u960?\u949?\u948?\u943?\u959? \u964?\u969?\u957? \u949?\u960?\u945?\u947?\u947?\u949?\u955?\u956?\u945?\u964?\u953?\u954?\u974?\u957? \u960?\u961?\u959?\u963?\u972?\u957?\u964?\u969?\u957? \u963?\u964?\u951?\u957? \u949?\u963?\u969?\u964?\u949?\u961?\u953?\u954?\u942? \u957?\u945?\u965?\u963?\u953?\u960?\u955?\u959?\u912?\u945?"/>
    <w:docVar w:name="LW_TYPE.DOC.CP" w:val="\u913?\u928?\u927?\u934?\u913?\u931?\u919? \u932?\u927?\u933? \u931?\u933?\u924?\u914?\u927?\u933?\u923?\u921?\u927?\u933?"/>
    <w:docVar w:name="Stamp" w:val="\\dossiers.dgt.cec.eu.int\dossiers\MOVE\MOVE-2019-00790\MOVE-2019-00790-00-00-EN-EDT-00.201905061039109049831.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57722">
      <w:bodyDiv w:val="1"/>
      <w:marLeft w:val="0"/>
      <w:marRight w:val="0"/>
      <w:marTop w:val="0"/>
      <w:marBottom w:val="0"/>
      <w:divBdr>
        <w:top w:val="none" w:sz="0" w:space="0" w:color="auto"/>
        <w:left w:val="none" w:sz="0" w:space="0" w:color="auto"/>
        <w:bottom w:val="none" w:sz="0" w:space="0" w:color="auto"/>
        <w:right w:val="none" w:sz="0" w:space="0" w:color="auto"/>
      </w:divBdr>
    </w:div>
    <w:div w:id="1732845376">
      <w:bodyDiv w:val="1"/>
      <w:marLeft w:val="0"/>
      <w:marRight w:val="0"/>
      <w:marTop w:val="0"/>
      <w:marBottom w:val="0"/>
      <w:divBdr>
        <w:top w:val="none" w:sz="0" w:space="0" w:color="auto"/>
        <w:left w:val="none" w:sz="0" w:space="0" w:color="auto"/>
        <w:bottom w:val="none" w:sz="0" w:space="0" w:color="auto"/>
        <w:right w:val="none" w:sz="0" w:space="0" w:color="auto"/>
      </w:divBdr>
      <w:divsChild>
        <w:div w:id="226576225">
          <w:marLeft w:val="0"/>
          <w:marRight w:val="0"/>
          <w:marTop w:val="0"/>
          <w:marBottom w:val="0"/>
          <w:divBdr>
            <w:top w:val="none" w:sz="0" w:space="0" w:color="auto"/>
            <w:left w:val="none" w:sz="0" w:space="0" w:color="auto"/>
            <w:bottom w:val="none" w:sz="0" w:space="0" w:color="auto"/>
            <w:right w:val="none" w:sz="0" w:space="0" w:color="auto"/>
          </w:divBdr>
          <w:divsChild>
            <w:div w:id="990987803">
              <w:marLeft w:val="0"/>
              <w:marRight w:val="0"/>
              <w:marTop w:val="0"/>
              <w:marBottom w:val="0"/>
              <w:divBdr>
                <w:top w:val="none" w:sz="0" w:space="0" w:color="auto"/>
                <w:left w:val="none" w:sz="0" w:space="0" w:color="auto"/>
                <w:bottom w:val="none" w:sz="0" w:space="0" w:color="auto"/>
                <w:right w:val="none" w:sz="0" w:space="0" w:color="auto"/>
              </w:divBdr>
              <w:divsChild>
                <w:div w:id="1744329786">
                  <w:marLeft w:val="0"/>
                  <w:marRight w:val="0"/>
                  <w:marTop w:val="0"/>
                  <w:marBottom w:val="0"/>
                  <w:divBdr>
                    <w:top w:val="none" w:sz="0" w:space="0" w:color="auto"/>
                    <w:left w:val="none" w:sz="0" w:space="0" w:color="auto"/>
                    <w:bottom w:val="none" w:sz="0" w:space="0" w:color="auto"/>
                    <w:right w:val="none" w:sz="0" w:space="0" w:color="auto"/>
                  </w:divBdr>
                  <w:divsChild>
                    <w:div w:id="2053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cr-zkr.org/11020200-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03BB-CDE5-45B4-ABEF-30F3205D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2280</Words>
  <Characters>12978</Characters>
  <Application>Microsoft Office Word</Application>
  <DocSecurity>0</DocSecurity>
  <Lines>240</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2019-05-13T07:04:00Z</cp:lastPrinted>
  <dcterms:created xsi:type="dcterms:W3CDTF">2019-06-21T15:55:00Z</dcterms:created>
  <dcterms:modified xsi:type="dcterms:W3CDTF">2019-06-27T08:09:00Z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