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DCC800E-6751-4D4B-9CBB-0FDDBE268341"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Vid Världshandelsorganisationens (WTO) elfte ministerkonferensen den 13 december 2017 antog 70 av WTO:s medlemmar en gemensam förklaring om underlättande av investeringar för att främja utveckling</w:t>
      </w:r>
      <w:r>
        <w:rPr>
          <w:rStyle w:val="FootnoteReference"/>
          <w:noProof/>
        </w:rPr>
        <w:footnoteReference w:id="2"/>
      </w:r>
      <w:r>
        <w:rPr>
          <w:noProof/>
        </w:rPr>
        <w:t xml:space="preserve"> i vilken det anges att man bör inleda ”strukturerade diskussioner som syftar till att utveckla ett multilateralt ramverk för underlättande av investeringar”. Genom dessa diskussioner ska man identifiera och utveckla de olika delar som ska ingå i ramen för underlättande av utländska direktinvesteringar. Europeiska unionen (EU) och dess medlemsstater har anslutit sig till detta initiativ och stödjer det fullt ut.</w:t>
      </w:r>
    </w:p>
    <w:p>
      <w:pPr>
        <w:pBdr>
          <w:top w:val="nil"/>
          <w:left w:val="nil"/>
          <w:bottom w:val="nil"/>
          <w:right w:val="nil"/>
          <w:between w:val="nil"/>
          <w:bar w:val="nil"/>
        </w:pBdr>
        <w:spacing w:before="0" w:after="240"/>
        <w:rPr>
          <w:noProof/>
        </w:rPr>
      </w:pPr>
      <w:r>
        <w:rPr>
          <w:noProof/>
        </w:rPr>
        <w:t xml:space="preserve">EU deltog aktivt i de strukturerade diskussioner som ägde rum i WTO under 2018. Diskussionerna var transparenta och öppna för alla WTO-medlemmar och ledde fram till en ”checklista för frågor som tagits upp av medlemmarna”, vilken innehöll de delar som WTO-medlemmarna ansåg borde ingå i ramverket för underlättande av utländska direktinvesteringar och som identifierats av WTO-medlemmarna. Denna checklista godkändes vid det möte för lägesbedömning som hölls den 6 december 2018. </w:t>
      </w:r>
    </w:p>
    <w:p>
      <w:pPr>
        <w:pBdr>
          <w:top w:val="nil"/>
          <w:left w:val="nil"/>
          <w:bottom w:val="nil"/>
          <w:right w:val="nil"/>
          <w:between w:val="nil"/>
          <w:bar w:val="nil"/>
        </w:pBdr>
        <w:spacing w:before="0" w:after="240"/>
        <w:rPr>
          <w:noProof/>
        </w:rPr>
      </w:pPr>
      <w:r>
        <w:rPr>
          <w:noProof/>
        </w:rPr>
        <w:t>En ny fas har inletts från och med 2019. WTO-medlemmarna har enats om en tidsplan för de möten som ska hållas under första halvåret 2019. Dessa möten ska ägnas åt att utveckla de delar som ska tas upp i checklistan. Detta förberedande arbete om utvecklingen av delarna ska även det vara transparent och öppet för alla WTO-medlemmar. Det är meningen att diskussionerna ska täcka alla delar som tas upp i checklistan på grundval av exempel på befintliga bestämmelser i bilaterala och multilaterala avtal som är relevanta när det gäller underlättande av investeringar. Dessa exempel ska samlas i ett ”kompendium med textbaserade exempel”. Ett möte för lägesbedömning kommer att hållas i juli 2019. Hösten 2019 kommer medlemmarna troligen att kunna börja föreslå specifika texter till ett multilateralt ramverk för underlättande av investeringar. Detta betyder att den första förhandlingsomgången sannolikt kan starta i september-oktober 2019.</w:t>
      </w:r>
    </w:p>
    <w:p>
      <w:pPr>
        <w:pBdr>
          <w:top w:val="nil"/>
          <w:left w:val="nil"/>
          <w:bottom w:val="nil"/>
          <w:right w:val="nil"/>
          <w:between w:val="nil"/>
          <w:bar w:val="nil"/>
        </w:pBdr>
        <w:spacing w:before="0" w:after="240"/>
        <w:rPr>
          <w:noProof/>
        </w:rPr>
      </w:pPr>
      <w:r>
        <w:rPr>
          <w:noProof/>
        </w:rPr>
        <w:t xml:space="preserve">Förhandlingarna bör äga rum inom ramen för WTO och vara transparenta och stå öppna för alla WTO-medlemmar som vill ansluta sig. Vid dessa förhandlingar kan de deltagande medlemmarna lägga fram förhandlingsförslag på området underlättande av utländska direktinvesteringar, såväl i början som i en senare fas av förhandlingsprocessen i WTO. </w:t>
      </w:r>
    </w:p>
    <w:p>
      <w:pPr>
        <w:pBdr>
          <w:top w:val="nil"/>
          <w:left w:val="nil"/>
          <w:bottom w:val="nil"/>
          <w:right w:val="nil"/>
          <w:between w:val="nil"/>
          <w:bar w:val="nil"/>
        </w:pBdr>
        <w:spacing w:before="0" w:after="240"/>
        <w:rPr>
          <w:noProof/>
        </w:rPr>
      </w:pPr>
      <w:r>
        <w:rPr>
          <w:noProof/>
        </w:rPr>
        <w:t>Kommissionen bemyndigades av rådet inom ramen för utvecklingsagendan från Doha att inleda förhandlingar i WTO om bland annat handel och investeringar</w:t>
      </w:r>
      <w:r>
        <w:rPr>
          <w:rStyle w:val="FootnoteReference"/>
          <w:noProof/>
        </w:rPr>
        <w:footnoteReference w:id="3"/>
      </w:r>
      <w:r>
        <w:rPr>
          <w:noProof/>
        </w:rPr>
        <w:t>. Med tanke på att utländska direktinvesteringar är ett viktigt instrument i den internationella handeln och att underlättande av investeringar bidrar till att främja gränsöverskridande investeringar genom att skapa ett stabilt och förutsägbart klimat för utländska direktinvesteringar världen över</w:t>
      </w:r>
      <w:r>
        <w:rPr>
          <w:rStyle w:val="FootnoteReference"/>
          <w:noProof/>
        </w:rPr>
        <w:footnoteReference w:id="4"/>
      </w:r>
      <w:r>
        <w:rPr>
          <w:noProof/>
        </w:rPr>
        <w:t xml:space="preserve"> faller de nya WTO-förhandlingarna om underlättande av investeringar inom ramen för det befintliga bemyndigandet i och med att de hör till området handel och investeringar</w:t>
      </w:r>
      <w:r>
        <w:rPr>
          <w:rStyle w:val="FootnoteReference"/>
          <w:noProof/>
        </w:rPr>
        <w:footnoteReference w:id="5"/>
      </w:r>
      <w:r>
        <w:rPr>
          <w:noProof/>
        </w:rPr>
        <w:t>.  Det krävs därför inget nytt rådsbeslut om bemyndigande att inleda förhandlingar enligt artikel 218.3 i fördraget om Europeiska unionens funktionssätt (EUF-fördraget).</w:t>
      </w:r>
    </w:p>
    <w:p>
      <w:pPr>
        <w:pBdr>
          <w:top w:val="nil"/>
          <w:left w:val="nil"/>
          <w:bottom w:val="nil"/>
          <w:right w:val="nil"/>
          <w:between w:val="nil"/>
          <w:bar w:val="nil"/>
        </w:pBdr>
        <w:spacing w:before="0" w:after="240"/>
        <w:rPr>
          <w:noProof/>
        </w:rPr>
      </w:pPr>
      <w:r>
        <w:rPr>
          <w:noProof/>
        </w:rPr>
        <w:t>Även om handel och investeringar inte är en ny fråga på WTO:s dagordning</w:t>
      </w:r>
      <w:r>
        <w:rPr>
          <w:rStyle w:val="FootnoteReference"/>
          <w:noProof/>
        </w:rPr>
        <w:footnoteReference w:id="6"/>
      </w:r>
      <w:r>
        <w:rPr>
          <w:noProof/>
        </w:rPr>
        <w:t xml:space="preserve"> är det ändå möjligt att förhandlingarna om underlättande av investeringar kan komma att omfatta nya inslag och vissa frågor där EU har särskilda prioriteringar. För att ramarna för förhandlingarna ska kunna avgränsas mer precist rekommenderar kommissionen således rådet att anta kompletterande förhandlingsdirektiv som är specifika för WTO-förhandlingarna om underlättande av investeringar. </w:t>
      </w:r>
    </w:p>
    <w:p>
      <w:pPr>
        <w:pBdr>
          <w:top w:val="nil"/>
          <w:left w:val="nil"/>
          <w:bottom w:val="nil"/>
          <w:right w:val="nil"/>
          <w:between w:val="nil"/>
          <w:bar w:val="nil"/>
        </w:pBdr>
        <w:spacing w:before="0" w:after="240"/>
        <w:rPr>
          <w:noProof/>
        </w:rPr>
      </w:pPr>
      <w:r>
        <w:rPr>
          <w:noProof/>
        </w:rPr>
        <w:t>Syftet med de föreslagna förhandlingsdirektiven är att se till att EU kan delta i förhandlingarna om alla delar rörande underlättande av investeringar som kan komma att föreslås av de deltagande WTO-medlemmarna under förhandlingarna, med full respekt för EU:s regelverk och EU:s politiska val i handels- och investeringsförhandlingar.</w:t>
      </w:r>
    </w:p>
    <w:p>
      <w:pPr>
        <w:pBdr>
          <w:top w:val="nil"/>
          <w:left w:val="nil"/>
          <w:bottom w:val="nil"/>
          <w:right w:val="nil"/>
          <w:between w:val="nil"/>
          <w:bar w:val="nil"/>
        </w:pBdr>
        <w:spacing w:before="0" w:after="240"/>
        <w:rPr>
          <w:noProof/>
          <w:szCs w:val="24"/>
        </w:rPr>
      </w:pPr>
      <w:r>
        <w:rPr>
          <w:noProof/>
        </w:rPr>
        <w:t>EU:s syfte med förhandlingarna att underlätta utländska direktinvesteringar för investerare och företag, inklusive mikroföretag och små och medelstora företag, och skapa nya möjligheter att främja en inkluderande tillväxt och hållbar utveckling. Ett multilateralt ramverk för underlättande av investeringar kan underlätta globala investeringar på samma sätt som WTO bidrar till att underlätta den globala handeln genom avtalet om förenklade handelsprocedurer. För att uppnå ett resultat av hög standard med deltagande av så många WTO-medlemmar som möjligt bör reglerna och åtagandena ge medlemmarna tillräcklig flexibilitet.</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De mål som beskrivs ovan är fullt förenliga med fördraget om Europeiska unionen (EU-fördraget) som fastställer att EU bör ”främja integreringen av alla länder i världsekonomin, även genom gradvis avskaffande av restriktioner för internationell handel”</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 xml:space="preserve">Vid Europeiska rådets möte den 28–29 juni 2018 bemyndigades kommissionen att fortsätta moderniseringen av WTO för att uppnå målen 1) att göra WTO mer relevant och anpassningsbart till en föränderlig värld, och 2) att göra WTO mer ändamålsenligt. Att modernisera WTO:s regleringsverksamhet, vilket är ett av huvudmålen för de planerade förhandlingarna om underlättande av investeringar, utgör den centrala pelaren i denna process. </w:t>
      </w:r>
    </w:p>
    <w:p>
      <w:pPr>
        <w:pBdr>
          <w:top w:val="nil"/>
          <w:left w:val="nil"/>
          <w:bottom w:val="nil"/>
          <w:right w:val="nil"/>
          <w:between w:val="nil"/>
          <w:bar w:val="nil"/>
        </w:pBdr>
        <w:spacing w:before="0" w:after="240"/>
        <w:rPr>
          <w:noProof/>
          <w:szCs w:val="24"/>
        </w:rPr>
      </w:pPr>
      <w:r>
        <w:rPr>
          <w:noProof/>
        </w:rPr>
        <w:t>Den 18 september 2018 lade kommissionen fram ett diskussionsunderlag</w:t>
      </w:r>
      <w:r>
        <w:rPr>
          <w:rStyle w:val="FootnoteReference"/>
          <w:noProof/>
        </w:rPr>
        <w:footnoteReference w:id="8"/>
      </w:r>
      <w:r>
        <w:rPr>
          <w:noProof/>
        </w:rPr>
        <w:t xml:space="preserve"> om moderniseringen av WTO. Vad gäller förstärkningen av WTO:s regleringsverksamhet har kommissionen bland annat understrukit att ”till följd av den gemensamma förklaring som överenskoms i Buenos Aires har arbetet på området [...] underlättande av investeringar redan inletts, men det behövs samtidigt ytterligare insatser för att åtgärda luckor i WTO:s regelbok och för att uppdatera denna.”</w:t>
      </w:r>
    </w:p>
    <w:p>
      <w:pPr>
        <w:pBdr>
          <w:top w:val="nil"/>
          <w:left w:val="nil"/>
          <w:bottom w:val="nil"/>
          <w:right w:val="nil"/>
          <w:between w:val="nil"/>
          <w:bar w:val="nil"/>
        </w:pBdr>
        <w:spacing w:before="0" w:after="240"/>
        <w:rPr>
          <w:noProof/>
          <w:szCs w:val="24"/>
        </w:rPr>
      </w:pPr>
      <w:r>
        <w:rPr>
          <w:noProof/>
        </w:rPr>
        <w:t>EU lägger regelbundet fram ambitiösa regler om transparens och inhemsk reglering inom både tjänstesektorn och andra sektorer inom ramen för sina frihandelsförhandlingar. De förhandlingsdirektiv som föreslås för förhandlingarna om underlättande av investeringar bör grunda sig på samma tillvägagångssätt som EU tillämpar i sina frihandelsavtal.</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 xml:space="preserve">De regler som EU kan komma att föreslå i WTO kommer att vara fullt förenliga med, och bygga på, relevant EU-lagstiftning på området den inre marknaden och återspegla EU:s förslag i bilaterala förhandlingar. </w:t>
      </w:r>
    </w:p>
    <w:p>
      <w:pPr>
        <w:pBdr>
          <w:top w:val="nil"/>
          <w:left w:val="nil"/>
          <w:bottom w:val="nil"/>
          <w:right w:val="nil"/>
          <w:between w:val="nil"/>
          <w:bar w:val="nil"/>
        </w:pBdr>
        <w:spacing w:before="0" w:after="240"/>
        <w:rPr>
          <w:noProof/>
        </w:rPr>
      </w:pPr>
      <w:r>
        <w:rPr>
          <w:noProof/>
        </w:rPr>
        <w:t>De föreslagna förhandlingsdirektiven bekräftar att alla regler eller åtaganden som EU enas om bör överensstämma med EU:s rättsliga ram (se punkt 5 i bilagan).</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Artikel 207.4 första stycket jämförd med artikel 218.3 och 218.4 i EUF-fördraget.</w:t>
      </w:r>
    </w:p>
    <w:p>
      <w:pPr>
        <w:pBdr>
          <w:top w:val="nil"/>
          <w:left w:val="nil"/>
          <w:bottom w:val="nil"/>
          <w:right w:val="nil"/>
          <w:between w:val="nil"/>
          <w:bar w:val="nil"/>
        </w:pBdr>
        <w:spacing w:before="0" w:after="240"/>
        <w:rPr>
          <w:rFonts w:eastAsia="Arial Unicode MS"/>
          <w:noProof/>
        </w:rPr>
      </w:pPr>
      <w:r>
        <w:rPr>
          <w:noProof/>
        </w:rPr>
        <w:t>I de fall avtal om den gemensamma handelspolitiken ska förhandlas fram ska kommissionen enligt artikel 207 lägga fram rekommendationer för rådet. Sådana förhandlingar ska föras av kommissionen inom ramen för de direktiv som rådet får utfärda och i samråd med en särskild kommitté som utses av rådet för att biträda kommissionen i denna uppgift.</w:t>
      </w:r>
    </w:p>
    <w:p>
      <w:pPr>
        <w:pBdr>
          <w:top w:val="nil"/>
          <w:left w:val="nil"/>
          <w:bottom w:val="nil"/>
          <w:right w:val="nil"/>
          <w:between w:val="nil"/>
          <w:bar w:val="nil"/>
        </w:pBdr>
        <w:spacing w:before="0" w:after="240"/>
        <w:rPr>
          <w:noProof/>
        </w:rPr>
      </w:pPr>
      <w:r>
        <w:rPr>
          <w:noProof/>
        </w:rPr>
        <w:t>Enligt artikel 218.3 i EUF-fördraget ska kommissionen lägga fram rekommendationer för rådet. Rådet ges befogenhet att anta beslut om bemyndigande att inleda förhandlingar, och i enlighet med artikel 218.4 i EUF-fördraget får rådet ge förhandlaren direktiv och utse en särskild kommitté med vilken samråd ska ske under förhandlingarna.</w:t>
      </w:r>
    </w:p>
    <w:p>
      <w:pPr>
        <w:pBdr>
          <w:top w:val="nil"/>
          <w:left w:val="nil"/>
          <w:bottom w:val="nil"/>
          <w:right w:val="nil"/>
          <w:between w:val="nil"/>
          <w:bar w:val="nil"/>
        </w:pBdr>
        <w:spacing w:before="0" w:after="240"/>
        <w:rPr>
          <w:noProof/>
        </w:rPr>
      </w:pPr>
      <w:r>
        <w:rPr>
          <w:noProof/>
        </w:rPr>
        <w:t>När det gäller WTO-förhandlingarna om underlättande av investeringar har rådet redan gett bemyndigande att inleda förhandlingar och utfärdat direktiv till kommissionen om handel och investeringar i WTO. Antagandet av kompletterande förhandlingsdirektiv är dock nödvändigt för att närmare definiera ramarna för dessa förhandlingar. Kommissionen rekommenderar därför rådet att anta ett beslut på grundval av artikel 207.4 första stycket jämförd med artikel 218.3 och 218.4 i EUF-fördraget.</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Den gemensamma handelspolitiken är ett område där EU har exklusiv befogenhet enligt artikel 3 i EUF-fördraget. Subsidiaritetsprincipen är därför inte tillämplig (artikel 5.3 i EU-fördraget).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Kommissionens rekommendation är förenlig med proportionalitetsprincipen (artikel 5.4 i EU-fördraget).</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Beslut av Europeiska unionens råd om förhandlingsdirektiv för underlättande av investeringar i WTO för att komplettera de direktiv som utfärdats till kommissionen inom ramen för utvecklingsagendan från Doha.</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Något offentligt samråd har inte genomförts, eftersom det sakmässiga innehållet i WTO-förhandlingarna ännu inte är kända.</w:t>
      </w:r>
    </w:p>
    <w:p>
      <w:pPr>
        <w:pBdr>
          <w:top w:val="nil"/>
          <w:left w:val="nil"/>
          <w:bottom w:val="nil"/>
          <w:right w:val="nil"/>
          <w:between w:val="nil"/>
          <w:bar w:val="nil"/>
        </w:pBdr>
        <w:spacing w:before="0" w:after="240"/>
        <w:rPr>
          <w:noProof/>
        </w:rPr>
      </w:pPr>
      <w:r>
        <w:rPr>
          <w:noProof/>
        </w:rPr>
        <w:t>Kommissionen samråder regelbundet med berörda parter, bland annat i expertgruppen för handelsavtal</w:t>
      </w:r>
      <w:r>
        <w:rPr>
          <w:rStyle w:val="FootnoteReference"/>
          <w:noProof/>
        </w:rPr>
        <w:footnoteReference w:id="9"/>
      </w:r>
      <w:r>
        <w:rPr>
          <w:noProof/>
        </w:rPr>
        <w:t xml:space="preserve"> och inom ramen för dialogen med det civila samhället</w:t>
      </w:r>
      <w:r>
        <w:rPr>
          <w:rStyle w:val="FootnoteReference"/>
          <w:noProof/>
        </w:rPr>
        <w:footnoteReference w:id="10"/>
      </w:r>
      <w:r>
        <w:rPr>
          <w:noProof/>
        </w:rPr>
        <w:t>.</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Av följande skäl har ingen konsekvensbedömning utförts: WTO:s förhandlingar om underlättande av investeringar grundar sig på rådets befintliga bemyndigande för kommissionen att föra WTO-förhandlingar (se avsnitt 1). Sakinnehållet i förhandlingarna utgör inte ett nytt politikområde utan är en fortsättning på mer omfattande WTO-förhandlingar, vilka nu snävas in till ett mer specifikt område som inte omfattar investeringsliberalisering och investeringsskydd.</w:t>
      </w:r>
    </w:p>
    <w:p>
      <w:pPr>
        <w:pBdr>
          <w:top w:val="nil"/>
          <w:left w:val="nil"/>
          <w:bottom w:val="nil"/>
          <w:right w:val="nil"/>
          <w:between w:val="nil"/>
          <w:bar w:val="nil"/>
        </w:pBdr>
        <w:spacing w:before="0" w:after="240"/>
        <w:rPr>
          <w:noProof/>
        </w:rPr>
      </w:pPr>
      <w:r>
        <w:rPr>
          <w:noProof/>
        </w:rPr>
        <w:t>På grundval av de delar som bör ingå i det multilaterala ramverket för underlättande av investeringar enligt vad som anges i checklistan finns det inget som tyder på att ratificeringen av ett avtal av detta slag skulle leda till några betydande konsekvenser för EU. Det rör sig snarare om en kodifiering av redan bruk som redan är väl etablerade inom EU. Konsekvenserna av de nya regler och åtaganden som förhandlingarna i WTO kan komma att leda till kommer sannolikt att bli större för vissa tredjeländer, särskilt utvecklingsländer och minst utvecklade länder. Dessa konsekvenser kan dock inte fastställas på förhand. Detta beror för det första på att de deltagande WTO-medlemmarna ännu inte har lagt fram några förhandlingsförslag, och för det andra på att det inte är känt vilka medlemmar som kommer att göra åtaganden när det gäller de nya WTO-reglerna och skyldigheterna, eller i så fall inom vilken tidsram.</w:t>
      </w:r>
    </w:p>
    <w:p>
      <w:pPr>
        <w:pBdr>
          <w:top w:val="nil"/>
          <w:left w:val="nil"/>
          <w:bottom w:val="nil"/>
          <w:right w:val="nil"/>
          <w:between w:val="nil"/>
          <w:bar w:val="nil"/>
        </w:pBdr>
        <w:spacing w:before="0" w:after="240"/>
        <w:rPr>
          <w:noProof/>
        </w:rPr>
      </w:pPr>
      <w:r>
        <w:rPr>
          <w:noProof/>
        </w:rPr>
        <w:t>När man har mer klarhet i vilka verkningarna eventuellt kan bli, dvs. när man vet mer om innehållet i det multilaterala ramverket och WTO-medlemmarnas åtaganden, kommer kommissionen att göra en ny bedömning av huruvida det behövs en mer ingående analys. Detta bör ske senast vid avslutandet av WTO-förhandlingarna.</w:t>
      </w:r>
    </w:p>
    <w:p>
      <w:pPr>
        <w:pBdr>
          <w:top w:val="nil"/>
          <w:left w:val="nil"/>
          <w:bottom w:val="nil"/>
          <w:right w:val="nil"/>
          <w:between w:val="nil"/>
          <w:bar w:val="nil"/>
        </w:pBdr>
        <w:spacing w:before="0" w:after="240"/>
        <w:rPr>
          <w:noProof/>
        </w:rPr>
      </w:pPr>
      <w:r>
        <w:rPr>
          <w:noProof/>
        </w:rPr>
        <w:t>För att kunna påverka resultatet av förhandlingarna kommer EU att delta aktivt och lägga fram förslag redan från och med det inledande skedet av förhandlingarna.</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noProof/>
        </w:rPr>
      </w:pPr>
      <w:r>
        <w:rPr>
          <w:noProof/>
        </w:rPr>
        <w:t>Detta initiativ respekterar till fullo Europeiska unionens stadga om de grundläggande rättigheterna.</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Initiativet har inga budgetkonsekvenser.</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Ej tillämpligt.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Rekommendation till</w:t>
      </w:r>
    </w:p>
    <w:p>
      <w:pPr>
        <w:pStyle w:val="Typedudocument"/>
        <w:rPr>
          <w:noProof/>
        </w:rPr>
      </w:pPr>
      <w:r>
        <w:rPr>
          <w:noProof/>
        </w:rPr>
        <w:t>RÅDETS BESLUT</w:t>
      </w:r>
    </w:p>
    <w:p>
      <w:pPr>
        <w:pStyle w:val="Titreobjet"/>
        <w:rPr>
          <w:noProof/>
        </w:rPr>
      </w:pPr>
      <w:r>
        <w:rPr>
          <w:noProof/>
        </w:rPr>
        <w:t>om komplettering av förhandlingsdirektiven för utvecklingsagendan från Doha vad gäller förhandlingarna om ett multilateralt ramverk för underlättande av investeringar</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särskilt artikel 207.4 första stycket jämförd med artikel 218.3 och 218.4, </w:t>
      </w:r>
    </w:p>
    <w:p>
      <w:pPr>
        <w:rPr>
          <w:noProof/>
        </w:rPr>
      </w:pPr>
      <w:r>
        <w:rPr>
          <w:noProof/>
        </w:rPr>
        <w:t>med beaktande av Europeiska kommissionens rekommendation, och</w:t>
      </w:r>
    </w:p>
    <w:p>
      <w:pPr>
        <w:rPr>
          <w:noProof/>
        </w:rPr>
      </w:pPr>
      <w:r>
        <w:rPr>
          <w:noProof/>
        </w:rPr>
        <w:t>av följande skäl:</w:t>
      </w:r>
    </w:p>
    <w:p>
      <w:pPr>
        <w:pStyle w:val="ManualConsidrant"/>
        <w:rPr>
          <w:noProof/>
        </w:rPr>
      </w:pPr>
      <w:r>
        <w:rPr>
          <w:noProof/>
        </w:rPr>
        <w:t>1)</w:t>
      </w:r>
      <w:r>
        <w:rPr>
          <w:noProof/>
        </w:rPr>
        <w:tab/>
        <w:t>Inom ramen för utvecklingsagendan från Doha bemyndigade rådet inledandet av förhandlingar inom ramen för Världshandelsorganisationen (WTO) och utfärdade förhandlingsdirektiv till kommissionen, bland annat om handel och investeringar.</w:t>
      </w:r>
    </w:p>
    <w:p>
      <w:pPr>
        <w:pStyle w:val="ManualConsidrant"/>
        <w:rPr>
          <w:noProof/>
        </w:rPr>
      </w:pPr>
      <w:r>
        <w:rPr>
          <w:noProof/>
        </w:rPr>
        <w:t>2)</w:t>
      </w:r>
      <w:r>
        <w:rPr>
          <w:noProof/>
        </w:rPr>
        <w:tab/>
        <w:t>Vid Världshandelsorganisationens elfte ministerkonferens den 13 december 2017 antog 70 WTO-medlemmar en gemensam förklaring om underlättande av investeringar för att främja utveckling</w:t>
      </w:r>
      <w:r>
        <w:rPr>
          <w:rStyle w:val="FootnoteReference"/>
          <w:noProof/>
        </w:rPr>
        <w:footnoteReference w:id="11"/>
      </w:r>
      <w:r>
        <w:rPr>
          <w:noProof/>
          <w:vertAlign w:val="superscript"/>
        </w:rPr>
        <w:t xml:space="preserve"> </w:t>
      </w:r>
      <w:r>
        <w:rPr>
          <w:noProof/>
        </w:rPr>
        <w:t xml:space="preserve">i vilken det anges att man bör inleda ”strukturerade diskussioner som syftar till att utveckla ett multilateralt ramverk för underlättande av investeringar”. </w:t>
      </w:r>
    </w:p>
    <w:p>
      <w:pPr>
        <w:pStyle w:val="ManualConsidrant"/>
        <w:rPr>
          <w:noProof/>
        </w:rPr>
      </w:pPr>
      <w:r>
        <w:rPr>
          <w:noProof/>
        </w:rPr>
        <w:t>3)</w:t>
      </w:r>
      <w:r>
        <w:rPr>
          <w:noProof/>
        </w:rPr>
        <w:tab/>
        <w:t>Den nuvarande fasen i diskussionerna, vilken har till syfte att utveckla vilka delar som bör ingå i det multilaterala ramverket för underlättande av investeringar, kommer att avslutas i juli 2019 enligt den senaste tidsplanen</w:t>
      </w:r>
      <w:r>
        <w:rPr>
          <w:rStyle w:val="FootnoteReference"/>
          <w:noProof/>
        </w:rPr>
        <w:footnoteReference w:id="12"/>
      </w:r>
      <w:r>
        <w:rPr>
          <w:noProof/>
        </w:rPr>
        <w:t xml:space="preserve"> och därefter följer sannolikt en första förhandlingsfas under hösten 2019.</w:t>
      </w:r>
    </w:p>
    <w:p>
      <w:pPr>
        <w:pStyle w:val="ManualConsidrant"/>
        <w:rPr>
          <w:noProof/>
        </w:rPr>
      </w:pPr>
      <w:r>
        <w:rPr>
          <w:noProof/>
        </w:rPr>
        <w:t>4)</w:t>
      </w:r>
      <w:r>
        <w:rPr>
          <w:noProof/>
        </w:rPr>
        <w:tab/>
        <w:t>Antagandet av kompletterande förhandlingsdirektiv är nödvändigt för att närmare definiera unionens ståndpunkt i de planerade WTO-förhandlingarna om underlättande av investeringar.</w:t>
      </w:r>
    </w:p>
    <w:p>
      <w:pPr>
        <w:pStyle w:val="ManualConsidrant"/>
        <w:rPr>
          <w:noProof/>
        </w:rPr>
      </w:pPr>
      <w:r>
        <w:rPr>
          <w:noProof/>
        </w:rPr>
        <w:t>5)</w:t>
      </w:r>
      <w:r>
        <w:rPr>
          <w:noProof/>
        </w:rPr>
        <w:tab/>
        <w:t>Enligt artikel 207.3 bör den handelspolitiska kommittén även i fortsättningen betecknas som den kommitté i samråd med vilken förhandlingarna ska föras.</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De förhandlingsdirektiv som utfärdats till kommissionen inom ramen för utvecklingsagendan från Doha kompletteras av de förhandlingsdirektiv för förhandlingar om ett multilateralt ramverk för underlättande av investeringar som återges i bilagan.</w:t>
      </w:r>
      <w:bookmarkStart w:id="1" w:name="_CopyToNewDocument_"/>
      <w:bookmarkEnd w:id="1"/>
    </w:p>
    <w:p>
      <w:pPr>
        <w:pStyle w:val="Titrearticle"/>
        <w:rPr>
          <w:noProof/>
        </w:rPr>
      </w:pPr>
      <w:r>
        <w:rPr>
          <w:noProof/>
        </w:rPr>
        <w:t>Artikel 2</w:t>
      </w:r>
    </w:p>
    <w:p>
      <w:pPr>
        <w:keepNext/>
        <w:keepLines/>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WT/MIN(17)/59 av den 13 december 2017.</w:t>
      </w:r>
    </w:p>
  </w:footnote>
  <w:footnote w:id="3">
    <w:p>
      <w:pPr>
        <w:pStyle w:val="FootnoteText"/>
      </w:pPr>
      <w:r>
        <w:rPr>
          <w:rStyle w:val="FootnoteReference"/>
        </w:rPr>
        <w:footnoteRef/>
      </w:r>
      <w:r>
        <w:tab/>
        <w:t>Bemyndigandet för utvecklingsagendan från Doha utgörs av en uppsättning slutsatser från rådet från den 25 oktober 1999 till den 18 juli 2008.</w:t>
      </w:r>
    </w:p>
  </w:footnote>
  <w:footnote w:id="4">
    <w:p>
      <w:pPr>
        <w:pStyle w:val="FootnoteText"/>
      </w:pPr>
      <w:r>
        <w:rPr>
          <w:rStyle w:val="FootnoteReference"/>
        </w:rPr>
        <w:footnoteRef/>
      </w:r>
      <w:r>
        <w:tab/>
        <w:t>I den senaste tidsplanen för de strukturerade diskussionerna om underlättande av investeringar för att främja utveckling (INF/IFD/W/3) av den 17 april 2019 på grundval av checklistan för frågor som tagits upp av medlemmarna fastställs det att underlättande av investeringar handlar om att skapa ett stabilt, transparent och förutsägbart klimat för utländska direktinvesteringar världen över. Den senaste versionen av checklistan för frågor som tagits upp av medlemmarna daterad den 9 november 2018 sändes till alla medlemmar i form av en bilaga till den informella skrivelsen om lägesbedömning och vägen framåt av den 27 november 2018.</w:t>
      </w:r>
    </w:p>
  </w:footnote>
  <w:footnote w:id="5">
    <w:p>
      <w:pPr>
        <w:pStyle w:val="FootnoteText"/>
      </w:pPr>
      <w:r>
        <w:rPr>
          <w:rStyle w:val="FootnoteReference"/>
        </w:rPr>
        <w:footnoteRef/>
      </w:r>
      <w:r>
        <w:tab/>
        <w:t>Det hänvisas särskilt till rådets slutsatser av den 26 oktober 1999, den 8 december 1999, den 29 oktober 2001, den 21 november 2001, den 21 juli 2003 (där det uttryckligen anges att ministerförklaringarna från Singapore och Doha och tillhörande texter som antagits samt rådets tidigare slutsatser utgör grunden för unionens åtgärder i förhandlingarna om utvecklingsagendan från Doha), den 5 december 2003, den 6 oktober 2004, den 19 juli 2005, den 18 oktober 2005 (där det uttryckligen erinras om att rådets slutsatser från oktober 1999 till juli 2005 fortfarande är giltiga och att de tillsammans utgör kommissionens mandat för förhandlingarna om utvecklingsagendan från Doha), den 21 november 2005, den 12 juni 2006, den 10 mars 2008 och den 18 juli 2008.</w:t>
      </w:r>
    </w:p>
  </w:footnote>
  <w:footnote w:id="6">
    <w:p>
      <w:pPr>
        <w:pStyle w:val="FootnoteText"/>
      </w:pPr>
      <w:r>
        <w:rPr>
          <w:rStyle w:val="FootnoteReference"/>
        </w:rPr>
        <w:footnoteRef/>
      </w:r>
      <w:r>
        <w:tab/>
        <w:t>WTO:s arbetsgrupp om förhållandet mellan handel och investeringar inrättades 1997.</w:t>
      </w:r>
    </w:p>
  </w:footnote>
  <w:footnote w:id="7">
    <w:p>
      <w:pPr>
        <w:pStyle w:val="FootnoteText"/>
      </w:pPr>
      <w:r>
        <w:rPr>
          <w:rStyle w:val="FootnoteReference"/>
        </w:rPr>
        <w:footnoteRef/>
      </w:r>
      <w:r>
        <w:tab/>
        <w:t>Artikel 21.2 e i EU-fördraget.</w:t>
      </w:r>
    </w:p>
  </w:footnote>
  <w:footnote w:id="8">
    <w:p>
      <w:pPr>
        <w:pStyle w:val="FootnoteText"/>
      </w:pPr>
      <w:r>
        <w:rPr>
          <w:rStyle w:val="FootnoteReference"/>
        </w:rPr>
        <w:footnoteRef/>
      </w:r>
      <w:r>
        <w:tab/>
      </w:r>
      <w:hyperlink r:id="rId1">
        <w:r>
          <w:rPr>
            <w:rStyle w:val="Hyperlink"/>
          </w:rPr>
          <w:t>http://trade.ec.europa.eu/doclib/docs/2018/september/tradoc_157331.pdf</w:t>
        </w:r>
      </w:hyperlink>
      <w:r>
        <w:t xml:space="preserve"> </w:t>
      </w:r>
    </w:p>
  </w:footnote>
  <w:footnote w:id="9">
    <w:p>
      <w:pPr>
        <w:pStyle w:val="FootnoteText"/>
      </w:pPr>
      <w:r>
        <w:rPr>
          <w:rStyle w:val="FootnoteReference"/>
        </w:rPr>
        <w:footnoteRef/>
      </w:r>
      <w:r>
        <w:tab/>
      </w:r>
      <w:hyperlink r:id="rId2">
        <w:r>
          <w:rPr>
            <w:rStyle w:val="Hyperlink"/>
          </w:rPr>
          <w:t>http://ec.europa.eu/trade/trade-policy-and-you/expert-groups/</w:t>
        </w:r>
      </w:hyperlink>
      <w:r>
        <w:t xml:space="preserve"> </w:t>
      </w:r>
    </w:p>
  </w:footnote>
  <w:footnote w:id="10">
    <w:p>
      <w:pPr>
        <w:pStyle w:val="FootnoteText"/>
      </w:pPr>
      <w:r>
        <w:rPr>
          <w:rStyle w:val="FootnoteReference"/>
        </w:rPr>
        <w:footnoteRef/>
      </w:r>
      <w:r>
        <w:tab/>
      </w:r>
      <w:hyperlink r:id="rId3">
        <w:r>
          <w:rPr>
            <w:rStyle w:val="Hyperlink"/>
          </w:rPr>
          <w:t>http://trade.ec.europa.eu/civilsoc/meetdetails.cfm?meet=11531</w:t>
        </w:r>
      </w:hyperlink>
      <w:r>
        <w:t xml:space="preserve"> </w:t>
      </w:r>
    </w:p>
  </w:footnote>
  <w:footnote w:id="11">
    <w:p>
      <w:pPr>
        <w:pStyle w:val="FootnoteText"/>
      </w:pPr>
      <w:r>
        <w:rPr>
          <w:rStyle w:val="FootnoteReference"/>
        </w:rPr>
        <w:footnoteRef/>
      </w:r>
      <w:r>
        <w:tab/>
        <w:t>WT/MIN(17)/59.</w:t>
      </w:r>
    </w:p>
  </w:footnote>
  <w:footnote w:id="12">
    <w:p>
      <w:pPr>
        <w:pStyle w:val="FootnoteText"/>
      </w:pPr>
      <w:r>
        <w:rPr>
          <w:rStyle w:val="FootnoteReference"/>
        </w:rPr>
        <w:footnoteRef/>
      </w:r>
      <w:r>
        <w:tab/>
        <w:t>INF/IFD/W/3.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8 11:04: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DCC800E-6751-4D4B-9CBB-0FDDBE268341"/>
    <w:docVar w:name="LW_COVERPAGE_TYPE" w:val="1"/>
    <w:docVar w:name="LW_CROSSREFERENCE" w:val="&lt;UNUSED&gt;"/>
    <w:docVar w:name="LW_DocType" w:val="COM"/>
    <w:docVar w:name="LW_EMISSION" w:val="3.7.2019"/>
    <w:docVar w:name="LW_EMISSION_ISODATE" w:val="2019-07-03"/>
    <w:docVar w:name="LW_EMISSION_LOCATION" w:val="BRX"/>
    <w:docVar w:name="LW_EMISSION_PREFIX" w:val="Bryssel den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mendation till"/>
    <w:docVar w:name="LW_SUPERTITRE" w:val="&lt;UNUSED&gt;"/>
    <w:docVar w:name="LW_TITRE.OBJ.CP" w:val="om komplettering av förhandlingsdirektiven för utvecklingsagendan från Doha vad gäller förhandlingarna om ett multilateralt ramverk för underlättande av investeringar"/>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685">
      <w:bodyDiv w:val="1"/>
      <w:marLeft w:val="0"/>
      <w:marRight w:val="0"/>
      <w:marTop w:val="0"/>
      <w:marBottom w:val="0"/>
      <w:divBdr>
        <w:top w:val="none" w:sz="0" w:space="0" w:color="auto"/>
        <w:left w:val="none" w:sz="0" w:space="0" w:color="auto"/>
        <w:bottom w:val="none" w:sz="0" w:space="0" w:color="auto"/>
        <w:right w:val="none" w:sz="0" w:space="0" w:color="auto"/>
      </w:divBdr>
    </w:div>
    <w:div w:id="335349177">
      <w:bodyDiv w:val="1"/>
      <w:marLeft w:val="0"/>
      <w:marRight w:val="0"/>
      <w:marTop w:val="0"/>
      <w:marBottom w:val="0"/>
      <w:divBdr>
        <w:top w:val="none" w:sz="0" w:space="0" w:color="auto"/>
        <w:left w:val="none" w:sz="0" w:space="0" w:color="auto"/>
        <w:bottom w:val="none" w:sz="0" w:space="0" w:color="auto"/>
        <w:right w:val="none" w:sz="0" w:space="0" w:color="auto"/>
      </w:divBdr>
    </w:div>
    <w:div w:id="868224759">
      <w:bodyDiv w:val="1"/>
      <w:marLeft w:val="0"/>
      <w:marRight w:val="0"/>
      <w:marTop w:val="0"/>
      <w:marBottom w:val="0"/>
      <w:divBdr>
        <w:top w:val="none" w:sz="0" w:space="0" w:color="auto"/>
        <w:left w:val="none" w:sz="0" w:space="0" w:color="auto"/>
        <w:bottom w:val="none" w:sz="0" w:space="0" w:color="auto"/>
        <w:right w:val="none" w:sz="0" w:space="0" w:color="auto"/>
      </w:divBdr>
    </w:div>
    <w:div w:id="1034891006">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1870</Words>
  <Characters>11750</Characters>
  <Application>Microsoft Office Word</Application>
  <DocSecurity>0</DocSecurity>
  <Lines>206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2019-04-25T13:13:00Z</cp:lastPrinted>
  <dcterms:created xsi:type="dcterms:W3CDTF">2019-06-27T13:48:00Z</dcterms:created>
  <dcterms:modified xsi:type="dcterms:W3CDTF">2019-06-28T09:04:00Z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