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alt="317F0401-E2A8-460F-BB3A-BEDE34381AB8" style="width:450.35pt;height:397.3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ZAŁĄCZNIK </w:t>
      </w:r>
    </w:p>
    <w:p>
      <w:pPr>
        <w:pStyle w:val="Heading1"/>
        <w:numPr>
          <w:ilvl w:val="0"/>
          <w:numId w:val="1"/>
        </w:numPr>
        <w:rPr>
          <w:noProof/>
        </w:rPr>
      </w:pPr>
      <w:r>
        <w:rPr>
          <w:noProof/>
        </w:rPr>
        <w:t>CHARAKTER I ZAKRES ZASAD I ZOBOWIĄZAŃ</w:t>
      </w:r>
    </w:p>
    <w:p>
      <w:pPr>
        <w:pStyle w:val="NumPar1"/>
        <w:numPr>
          <w:ilvl w:val="0"/>
          <w:numId w:val="11"/>
        </w:numPr>
        <w:rPr>
          <w:noProof/>
        </w:rPr>
      </w:pPr>
      <w:r>
        <w:rPr>
          <w:noProof/>
        </w:rPr>
        <w:t xml:space="preserve">Na podstawie obowiązującego upoważnienia Rady do prowadzenia negocjacji na forum Światowej Organizacji Handlu (WTO) w ramach dauhańskiej agendy rozwoju celem wielostronnych negocjacji w sprawie ułatwiania inwestycji powinno być ustanowienie wielostronnego zestawu zasad mających na celu ułatwianie bezpośrednich inwestycji zagranicznych (BIZ). Ma to na celu stworzenie bardziej przejrzystego, wydajnego i przewidywalnego klimatu dla ułatwiania inwestycji ponad granicami krajów. Takie ramy powinny skupiać się na BIZ, z wyłączeniem krótkoterminowych przepływów kapitałowych, i powinny służyć zapewnieniu właściwych warunków do tego, by międzynarodowe inwestycje sprzyjały zrównoważonemu rozwojowi, przy jednoczesnym zachowaniu zdolności państw przyjmujących do regulowania działalności inwestorów na własnych terytoriach. </w:t>
      </w:r>
    </w:p>
    <w:p>
      <w:pPr>
        <w:pStyle w:val="NumPar1"/>
        <w:rPr>
          <w:noProof/>
        </w:rPr>
      </w:pPr>
      <w:r>
        <w:rPr>
          <w:noProof/>
        </w:rPr>
        <w:t>Zgodnie ze wspólnym oświadczeniem ministerialnym w sprawie ułatwiania inwestycji na rzecz rozwoju, przyjętym przez 70 członków WTO na jedenastej konferencji ministerialnej WTO w dniu 13 grudnia 2017 r., negocjacje te nie będą dotyczyły kwestii dostępu do rynku, ochrony inwestycji czy rozstrzygania sporów między inwestorem a państwem.</w:t>
      </w:r>
    </w:p>
    <w:p>
      <w:pPr>
        <w:pStyle w:val="NumPar1"/>
        <w:rPr>
          <w:noProof/>
        </w:rPr>
      </w:pPr>
      <w:r>
        <w:rPr>
          <w:noProof/>
        </w:rPr>
        <w:t xml:space="preserve">Negocjacje powinny być prowadzone i zakończone przy należytym uwzględnieniu praw i obowiązków wynikających z członkostwa w WTO, poszanowaniu zasad przejrzystości i inkluzywności oraz w oparciu o obowiązujące porozumienia WTO. </w:t>
      </w:r>
    </w:p>
    <w:p>
      <w:pPr>
        <w:pStyle w:val="NumPar1"/>
        <w:rPr>
          <w:noProof/>
        </w:rPr>
      </w:pPr>
      <w:r>
        <w:rPr>
          <w:noProof/>
        </w:rPr>
        <w:t>Celem negocjacji powinno być opracowanie zasad i zobowiązań o wysokim standardzie przy udziale jak największej liczby członków WTO. W negocjacjach należy uwzględnić wyjątkowe szanse i wyzwania dla członków WTO związane z ułatwianiem inwestycji. W związku z tym te zasady i zobowiązania powinny zapewnić odpowiednią elastyczność.</w:t>
      </w:r>
    </w:p>
    <w:p>
      <w:pPr>
        <w:pStyle w:val="NumPar1"/>
        <w:rPr>
          <w:noProof/>
        </w:rPr>
      </w:pPr>
      <w:r>
        <w:rPr>
          <w:noProof/>
        </w:rPr>
        <w:t xml:space="preserve">Zasady i zobowiązania uzgodnione przez Unię Europejską (UE) powinny uwzględniać obowiązek zapewnienia niedyskryminacji wynikający z obowiązujących porozumień WTO w zakresie, w jakim porozumienia te mają znaczenie i zastosowanie w kontekście ułatwiania inwestycji. </w:t>
      </w:r>
    </w:p>
    <w:p>
      <w:pPr>
        <w:pStyle w:val="Heading1"/>
        <w:numPr>
          <w:ilvl w:val="0"/>
          <w:numId w:val="10"/>
        </w:numPr>
        <w:tabs>
          <w:tab w:val="clear" w:pos="850"/>
          <w:tab w:val="num" w:pos="567"/>
        </w:tabs>
        <w:spacing w:before="240"/>
        <w:ind w:left="851" w:hanging="851"/>
        <w:rPr>
          <w:noProof/>
          <w:szCs w:val="24"/>
        </w:rPr>
      </w:pPr>
      <w:r>
        <w:rPr>
          <w:noProof/>
        </w:rPr>
        <w:t>PROPONOWANA TREŚĆ ZASAD I ZOBOWIĄZAŃ</w:t>
      </w:r>
    </w:p>
    <w:p>
      <w:pPr>
        <w:pStyle w:val="NumPar1"/>
        <w:rPr>
          <w:noProof/>
        </w:rPr>
      </w:pPr>
      <w:r>
        <w:rPr>
          <w:noProof/>
        </w:rPr>
        <w:t xml:space="preserve">Negocjacje powinny doprowadzić do opracowania nowego zestawu zasad w ramach WTO celem ułatwiania BIZ. Zasady te powinny tworzyć przejrzyste, wydajne i przewidywalne środowisko dla międzynarodowych inwestycji, z korzyścią dla przedsiębiorstw unijnych wszystkich rozmiarów, w tym mikroprzedsiębiorstw oraz małych i średnich przedsiębiorstw, jak również wzmocnić zdolność krajów rozwijających się i najsłabiej rozwiniętych do przyciągania BIZ, a tym samym zwiększania ich udziału w globalnych łańcuchach dostaw. </w:t>
      </w:r>
    </w:p>
    <w:p>
      <w:pPr>
        <w:pStyle w:val="NumPar1"/>
        <w:rPr>
          <w:b/>
          <w:bCs/>
          <w:smallCaps/>
          <w:noProof/>
        </w:rPr>
      </w:pPr>
      <w:r>
        <w:rPr>
          <w:noProof/>
        </w:rPr>
        <w:t>Negocjacje będą prowadzone w sposób otwarty i inkluzywny. W związku z tym mogą one obejmować wszelkie aspekty ułatwiania inwestycji zaproponowane przez uczestniczących członków. Biorąc pod uwagę przekrojowy charakter ułatwiania inwestycji, negocjacje mogą obejmować kwestie takie jak:</w:t>
      </w:r>
    </w:p>
    <w:p>
      <w:pPr>
        <w:pStyle w:val="Tiret1"/>
        <w:numPr>
          <w:ilvl w:val="0"/>
          <w:numId w:val="12"/>
        </w:numPr>
        <w:rPr>
          <w:noProof/>
        </w:rPr>
      </w:pPr>
      <w:r>
        <w:rPr>
          <w:noProof/>
        </w:rPr>
        <w:t>elementy mające na celu poprawę przejrzystości i przewidywalności środków w zakresie inwestycji, w tym zasad i warunków mających zastosowanie do dopuszczania i funkcjonowania BIZ (publikacja i dostępność środków i informacji; powiadomienia kierowane do WTO; punkty informacyjne);</w:t>
      </w:r>
    </w:p>
    <w:p>
      <w:pPr>
        <w:pStyle w:val="Tiret1"/>
        <w:rPr>
          <w:noProof/>
        </w:rPr>
      </w:pPr>
      <w:r>
        <w:rPr>
          <w:noProof/>
        </w:rPr>
        <w:t>elementy mające na celu usprawnienie i przyspieszenie procedur i wymogów administracyjnych (procedury administracyjne i wymogi dotyczące dokumentacji; terminy prowadzenia procedur administracyjnych; sposób postępowania z niekompletnymi wnioskami; opłaty i należności; przegląd procedur administracyjnych; wykorzystanie e-administracji; mechanizmy w rodzaju punktów kompleksowej obsługi; mechanizmy w rodzaju punktów centralnych / punktów kontaktowych / rzeczników, w tym relacje z odpowiednimi zainteresowanymi podmiotami i zapobieganie sporom);</w:t>
      </w:r>
    </w:p>
    <w:p>
      <w:pPr>
        <w:pStyle w:val="Tiret1"/>
        <w:rPr>
          <w:noProof/>
        </w:rPr>
      </w:pPr>
      <w:r>
        <w:rPr>
          <w:noProof/>
        </w:rPr>
        <w:t xml:space="preserve">elementy mające na celu pogłębienie współpracy międzynarodowej, wymiany informacji i najlepszych praktyk (współpraca międzynarodowa między członkami; współpraca międzynarodowa na poziomie wielostronnym za pośrednictwem komitetu WTO ds. ułatwiania inwestycji); </w:t>
      </w:r>
    </w:p>
    <w:p>
      <w:pPr>
        <w:pStyle w:val="Tiret1"/>
        <w:rPr>
          <w:noProof/>
        </w:rPr>
      </w:pPr>
      <w:r>
        <w:rPr>
          <w:noProof/>
        </w:rPr>
        <w:t>aspekt rozwojowy (wyzwania, przed którymi stoją kraje rozwijające się; wymiana najlepszych praktyk; przepisy dotyczące specjalnego i zróżnicowanego traktowania; pomoc techniczna i budowanie zdolności) oraz propagowanie społecznej odpowiedzialności biznesu i zrównoważonego rozwoju.</w:t>
      </w:r>
    </w:p>
    <w:p>
      <w:pPr>
        <w:pStyle w:val="NumPar1"/>
        <w:rPr>
          <w:noProof/>
        </w:rPr>
      </w:pPr>
      <w:r>
        <w:rPr>
          <w:noProof/>
        </w:rPr>
        <w:t xml:space="preserve">Unia Europejska może również brać udział w negocjacjach na temat innych aspektów mających znaczenie dla ułatwiania BIZ zaproponowanych przez uczestniczących członków, zgodnie z niniejszymi wytycznymi. </w:t>
      </w:r>
    </w:p>
    <w:p>
      <w:pPr>
        <w:pStyle w:val="NumPar1"/>
        <w:rPr>
          <w:noProof/>
        </w:rPr>
      </w:pPr>
      <w:r>
        <w:rPr>
          <w:noProof/>
        </w:rPr>
        <w:t>Wszelkie zasady lub zobowiązania uzgadniane przez Unię Europejską powinny być zgodne z ramami prawnymi UE.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E2CCC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E269F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30475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ACEC9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FF838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E8E64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B269E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13483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</w:num>
  <w:num w:numId="13">
    <w:abstractNumId w:val="18"/>
  </w:num>
  <w:num w:numId="14">
    <w:abstractNumId w:val="12"/>
  </w:num>
  <w:num w:numId="15">
    <w:abstractNumId w:val="20"/>
  </w:num>
  <w:num w:numId="16">
    <w:abstractNumId w:val="11"/>
  </w:num>
  <w:num w:numId="17">
    <w:abstractNumId w:val="13"/>
  </w:num>
  <w:num w:numId="18">
    <w:abstractNumId w:val="9"/>
  </w:num>
  <w:num w:numId="19">
    <w:abstractNumId w:val="19"/>
  </w:num>
  <w:num w:numId="20">
    <w:abstractNumId w:val="8"/>
  </w:num>
  <w:num w:numId="21">
    <w:abstractNumId w:val="14"/>
  </w:num>
  <w:num w:numId="22">
    <w:abstractNumId w:val="16"/>
  </w:num>
  <w:num w:numId="23">
    <w:abstractNumId w:val="17"/>
  </w:num>
  <w:num w:numId="24">
    <w:abstractNumId w:val="10"/>
  </w:num>
  <w:num w:numId="25">
    <w:abstractNumId w:val="15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removePersonalInformation/>
  <w:removeDateAndTim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6-28 11:08:0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317F0401-E2A8-460F-BB3A-BEDE34381AB8"/>
    <w:docVar w:name="LW_COVERPAGE_TYPE" w:val="1"/>
    <w:docVar w:name="LW_CROSSREFERENCE" w:val="&lt;UNUSED&gt;"/>
    <w:docVar w:name="LW_DocType" w:val="ANNEX"/>
    <w:docVar w:name="LW_EMISSION" w:val="3.7.2019"/>
    <w:docVar w:name="LW_EMISSION_ISODATE" w:val="2019-07-03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uzupe\u322?niaj\u261?cej wytyczne negocjacyjne w&lt;LWCR:NBS&gt;ramach dauha\u324?skiej agendy rozwoju w&lt;LWCR:NBS&gt;odniesieniu do negocjacji na temat wielostronnych ram u\u322?atwiania inwestycji_x000b_"/>
    <w:docVar w:name="LW_OBJETACTEPRINCIPAL.CP" w:val="uzupe\u322?niaj\u261?cej wytyczne negocjacyjne w ramach dauha\u324?skiej agendy rozwoju w odniesieniu do negocjacji na temat wielostronnych ram u\u322?atwiania inwestycji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31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ZA\u321?\u260?CZNIK"/>
    <w:docVar w:name="LW_TYPE.DOC.CP" w:val="ZA\u321?\u260?CZNIK"/>
    <w:docVar w:name="LW_TYPEACTEPRINCIPAL" w:val="zalecenia dotycz\u261?cego decyzji Rady"/>
    <w:docVar w:name="LW_TYPEACTEPRINCIPAL.CP" w:val="zalecenia dotycz\u261?cego decyzj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footnotereference">
    <w:name w:val="footnotereference"/>
    <w:basedOn w:val="DefaultParagraphFont"/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fr-B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0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3"/>
      </w:numPr>
    </w:pPr>
  </w:style>
  <w:style w:type="paragraph" w:customStyle="1" w:styleId="Tiret1">
    <w:name w:val="Tiret 1"/>
    <w:basedOn w:val="Point1"/>
    <w:pPr>
      <w:numPr>
        <w:numId w:val="14"/>
      </w:numPr>
    </w:pPr>
  </w:style>
  <w:style w:type="paragraph" w:customStyle="1" w:styleId="Tiret2">
    <w:name w:val="Tiret 2"/>
    <w:basedOn w:val="Point2"/>
    <w:pPr>
      <w:numPr>
        <w:numId w:val="15"/>
      </w:numPr>
    </w:pPr>
  </w:style>
  <w:style w:type="paragraph" w:customStyle="1" w:styleId="Tiret3">
    <w:name w:val="Tiret 3"/>
    <w:basedOn w:val="Point3"/>
    <w:pPr>
      <w:numPr>
        <w:numId w:val="16"/>
      </w:numPr>
    </w:pPr>
  </w:style>
  <w:style w:type="paragraph" w:customStyle="1" w:styleId="Tiret4">
    <w:name w:val="Tiret 4"/>
    <w:basedOn w:val="Point4"/>
    <w:pPr>
      <w:numPr>
        <w:numId w:val="1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0"/>
      </w:numPr>
    </w:pPr>
  </w:style>
  <w:style w:type="paragraph" w:customStyle="1" w:styleId="Point1number">
    <w:name w:val="Point 1 (number)"/>
    <w:basedOn w:val="Normal"/>
    <w:pPr>
      <w:numPr>
        <w:ilvl w:val="2"/>
        <w:numId w:val="20"/>
      </w:numPr>
    </w:pPr>
  </w:style>
  <w:style w:type="paragraph" w:customStyle="1" w:styleId="Point2number">
    <w:name w:val="Point 2 (number)"/>
    <w:basedOn w:val="Normal"/>
    <w:pPr>
      <w:numPr>
        <w:ilvl w:val="4"/>
        <w:numId w:val="20"/>
      </w:numPr>
    </w:pPr>
  </w:style>
  <w:style w:type="paragraph" w:customStyle="1" w:styleId="Point3number">
    <w:name w:val="Point 3 (number)"/>
    <w:basedOn w:val="Normal"/>
    <w:pPr>
      <w:numPr>
        <w:ilvl w:val="6"/>
        <w:numId w:val="20"/>
      </w:numPr>
    </w:pPr>
  </w:style>
  <w:style w:type="paragraph" w:customStyle="1" w:styleId="Point0letter">
    <w:name w:val="Point 0 (letter)"/>
    <w:basedOn w:val="Normal"/>
    <w:pPr>
      <w:numPr>
        <w:ilvl w:val="1"/>
        <w:numId w:val="20"/>
      </w:numPr>
    </w:pPr>
  </w:style>
  <w:style w:type="paragraph" w:customStyle="1" w:styleId="Point1letter">
    <w:name w:val="Point 1 (letter)"/>
    <w:basedOn w:val="Normal"/>
    <w:pPr>
      <w:numPr>
        <w:ilvl w:val="3"/>
        <w:numId w:val="20"/>
      </w:numPr>
    </w:pPr>
  </w:style>
  <w:style w:type="paragraph" w:customStyle="1" w:styleId="Point2letter">
    <w:name w:val="Point 2 (letter)"/>
    <w:basedOn w:val="Normal"/>
    <w:pPr>
      <w:numPr>
        <w:ilvl w:val="5"/>
        <w:numId w:val="20"/>
      </w:numPr>
    </w:pPr>
  </w:style>
  <w:style w:type="paragraph" w:customStyle="1" w:styleId="Point3letter">
    <w:name w:val="Point 3 (letter)"/>
    <w:basedOn w:val="Normal"/>
    <w:pPr>
      <w:numPr>
        <w:ilvl w:val="7"/>
        <w:numId w:val="20"/>
      </w:numPr>
    </w:pPr>
  </w:style>
  <w:style w:type="paragraph" w:customStyle="1" w:styleId="Point4letter">
    <w:name w:val="Point 4 (letter)"/>
    <w:basedOn w:val="Normal"/>
    <w:pPr>
      <w:numPr>
        <w:ilvl w:val="8"/>
        <w:numId w:val="20"/>
      </w:numPr>
    </w:pPr>
  </w:style>
  <w:style w:type="paragraph" w:customStyle="1" w:styleId="Bullet0">
    <w:name w:val="Bullet 0"/>
    <w:basedOn w:val="Normal"/>
    <w:pPr>
      <w:numPr>
        <w:numId w:val="21"/>
      </w:numPr>
    </w:pPr>
  </w:style>
  <w:style w:type="paragraph" w:customStyle="1" w:styleId="Bullet1">
    <w:name w:val="Bullet 1"/>
    <w:basedOn w:val="Normal"/>
    <w:pPr>
      <w:numPr>
        <w:numId w:val="22"/>
      </w:numPr>
    </w:pPr>
  </w:style>
  <w:style w:type="paragraph" w:customStyle="1" w:styleId="Bullet2">
    <w:name w:val="Bullet 2"/>
    <w:basedOn w:val="Normal"/>
    <w:pPr>
      <w:numPr>
        <w:numId w:val="23"/>
      </w:numPr>
    </w:pPr>
  </w:style>
  <w:style w:type="paragraph" w:customStyle="1" w:styleId="Bullet3">
    <w:name w:val="Bullet 3"/>
    <w:basedOn w:val="Normal"/>
    <w:pPr>
      <w:numPr>
        <w:numId w:val="24"/>
      </w:numPr>
    </w:pPr>
  </w:style>
  <w:style w:type="paragraph" w:customStyle="1" w:styleId="Bullet4">
    <w:name w:val="Bullet 4"/>
    <w:basedOn w:val="Normal"/>
    <w:pPr>
      <w:numPr>
        <w:numId w:val="2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footnotereference">
    <w:name w:val="footnotereference"/>
    <w:basedOn w:val="DefaultParagraphFont"/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fr-B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0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3"/>
      </w:numPr>
    </w:pPr>
  </w:style>
  <w:style w:type="paragraph" w:customStyle="1" w:styleId="Tiret1">
    <w:name w:val="Tiret 1"/>
    <w:basedOn w:val="Point1"/>
    <w:pPr>
      <w:numPr>
        <w:numId w:val="14"/>
      </w:numPr>
    </w:pPr>
  </w:style>
  <w:style w:type="paragraph" w:customStyle="1" w:styleId="Tiret2">
    <w:name w:val="Tiret 2"/>
    <w:basedOn w:val="Point2"/>
    <w:pPr>
      <w:numPr>
        <w:numId w:val="15"/>
      </w:numPr>
    </w:pPr>
  </w:style>
  <w:style w:type="paragraph" w:customStyle="1" w:styleId="Tiret3">
    <w:name w:val="Tiret 3"/>
    <w:basedOn w:val="Point3"/>
    <w:pPr>
      <w:numPr>
        <w:numId w:val="16"/>
      </w:numPr>
    </w:pPr>
  </w:style>
  <w:style w:type="paragraph" w:customStyle="1" w:styleId="Tiret4">
    <w:name w:val="Tiret 4"/>
    <w:basedOn w:val="Point4"/>
    <w:pPr>
      <w:numPr>
        <w:numId w:val="1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0"/>
      </w:numPr>
    </w:pPr>
  </w:style>
  <w:style w:type="paragraph" w:customStyle="1" w:styleId="Point1number">
    <w:name w:val="Point 1 (number)"/>
    <w:basedOn w:val="Normal"/>
    <w:pPr>
      <w:numPr>
        <w:ilvl w:val="2"/>
        <w:numId w:val="20"/>
      </w:numPr>
    </w:pPr>
  </w:style>
  <w:style w:type="paragraph" w:customStyle="1" w:styleId="Point2number">
    <w:name w:val="Point 2 (number)"/>
    <w:basedOn w:val="Normal"/>
    <w:pPr>
      <w:numPr>
        <w:ilvl w:val="4"/>
        <w:numId w:val="20"/>
      </w:numPr>
    </w:pPr>
  </w:style>
  <w:style w:type="paragraph" w:customStyle="1" w:styleId="Point3number">
    <w:name w:val="Point 3 (number)"/>
    <w:basedOn w:val="Normal"/>
    <w:pPr>
      <w:numPr>
        <w:ilvl w:val="6"/>
        <w:numId w:val="20"/>
      </w:numPr>
    </w:pPr>
  </w:style>
  <w:style w:type="paragraph" w:customStyle="1" w:styleId="Point0letter">
    <w:name w:val="Point 0 (letter)"/>
    <w:basedOn w:val="Normal"/>
    <w:pPr>
      <w:numPr>
        <w:ilvl w:val="1"/>
        <w:numId w:val="20"/>
      </w:numPr>
    </w:pPr>
  </w:style>
  <w:style w:type="paragraph" w:customStyle="1" w:styleId="Point1letter">
    <w:name w:val="Point 1 (letter)"/>
    <w:basedOn w:val="Normal"/>
    <w:pPr>
      <w:numPr>
        <w:ilvl w:val="3"/>
        <w:numId w:val="20"/>
      </w:numPr>
    </w:pPr>
  </w:style>
  <w:style w:type="paragraph" w:customStyle="1" w:styleId="Point2letter">
    <w:name w:val="Point 2 (letter)"/>
    <w:basedOn w:val="Normal"/>
    <w:pPr>
      <w:numPr>
        <w:ilvl w:val="5"/>
        <w:numId w:val="20"/>
      </w:numPr>
    </w:pPr>
  </w:style>
  <w:style w:type="paragraph" w:customStyle="1" w:styleId="Point3letter">
    <w:name w:val="Point 3 (letter)"/>
    <w:basedOn w:val="Normal"/>
    <w:pPr>
      <w:numPr>
        <w:ilvl w:val="7"/>
        <w:numId w:val="20"/>
      </w:numPr>
    </w:pPr>
  </w:style>
  <w:style w:type="paragraph" w:customStyle="1" w:styleId="Point4letter">
    <w:name w:val="Point 4 (letter)"/>
    <w:basedOn w:val="Normal"/>
    <w:pPr>
      <w:numPr>
        <w:ilvl w:val="8"/>
        <w:numId w:val="20"/>
      </w:numPr>
    </w:pPr>
  </w:style>
  <w:style w:type="paragraph" w:customStyle="1" w:styleId="Bullet0">
    <w:name w:val="Bullet 0"/>
    <w:basedOn w:val="Normal"/>
    <w:pPr>
      <w:numPr>
        <w:numId w:val="21"/>
      </w:numPr>
    </w:pPr>
  </w:style>
  <w:style w:type="paragraph" w:customStyle="1" w:styleId="Bullet1">
    <w:name w:val="Bullet 1"/>
    <w:basedOn w:val="Normal"/>
    <w:pPr>
      <w:numPr>
        <w:numId w:val="22"/>
      </w:numPr>
    </w:pPr>
  </w:style>
  <w:style w:type="paragraph" w:customStyle="1" w:styleId="Bullet2">
    <w:name w:val="Bullet 2"/>
    <w:basedOn w:val="Normal"/>
    <w:pPr>
      <w:numPr>
        <w:numId w:val="23"/>
      </w:numPr>
    </w:pPr>
  </w:style>
  <w:style w:type="paragraph" w:customStyle="1" w:styleId="Bullet3">
    <w:name w:val="Bullet 3"/>
    <w:basedOn w:val="Normal"/>
    <w:pPr>
      <w:numPr>
        <w:numId w:val="24"/>
      </w:numPr>
    </w:pPr>
  </w:style>
  <w:style w:type="paragraph" w:customStyle="1" w:styleId="Bullet4">
    <w:name w:val="Bullet 4"/>
    <w:basedOn w:val="Normal"/>
    <w:pPr>
      <w:numPr>
        <w:numId w:val="2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467A491-2CDC-464B-88FC-591C1D9D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562</Words>
  <Characters>3980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2019-06-24T07:29:00Z</dcterms:created>
  <dcterms:modified xsi:type="dcterms:W3CDTF">2019-06-28T09:08:00Z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6.0.1, Build 20180503</vt:lpwstr>
  </property>
  <property fmtid="{D5CDD505-2E9C-101B-9397-08002B2CF9AE}" pid="3" name="Category">
    <vt:lpwstr>COM/ANNEX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DQCStatus">
    <vt:lpwstr>Green (DQC version 03)</vt:lpwstr>
  </property>
</Properties>
</file>