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D5B722A0-1EA9-4069-9EB7-7720832A1241" style="width:450.75pt;height:366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DŮVODOVÁ ZPRÁVA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>Předmět návrhu</w:t>
      </w:r>
    </w:p>
    <w:p>
      <w:pPr>
        <w:rPr>
          <w:noProof/>
        </w:rPr>
      </w:pPr>
      <w:r>
        <w:rPr>
          <w:noProof/>
        </w:rPr>
        <w:t>Tento návrh se týká rozhodnutí o postoji, který má být zaujat jménem Unie ve Smíšeném výboru zřízeném Dohodou mezi Evropskou unií a Japonskem o hospodářském partnerství v souvislosti s plánovaným přijetím seznamu osob, které jsou ochotny a schopny zastávat funkci rozhodců.</w:t>
      </w:r>
    </w:p>
    <w:p>
      <w:pPr>
        <w:pStyle w:val="ManualHeading1"/>
        <w:rPr>
          <w:noProof/>
        </w:rPr>
      </w:pPr>
      <w:r>
        <w:t>2.</w:t>
      </w:r>
      <w:r>
        <w:tab/>
      </w:r>
      <w:r>
        <w:rPr>
          <w:noProof/>
        </w:rPr>
        <w:t>Souvislosti návrhu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Dohoda mezi Evropskou unií a Japonskem o hospodářském partnerství </w:t>
      </w:r>
    </w:p>
    <w:p>
      <w:pPr>
        <w:rPr>
          <w:noProof/>
        </w:rPr>
      </w:pPr>
      <w:r>
        <w:rPr>
          <w:noProof/>
        </w:rPr>
        <w:t>Cílem Dohody mezi Evropskou unií a Japonskem o hospodářském partnerství (dále jen „dohoda“) je liberalizovat a usnadnit obchod a investice a podpořit užší hospodářské vztahy mezi stranami.</w:t>
      </w:r>
    </w:p>
    <w:p>
      <w:pPr>
        <w:rPr>
          <w:noProof/>
        </w:rPr>
      </w:pPr>
      <w:r>
        <w:rPr>
          <w:noProof/>
        </w:rPr>
        <w:t>Dohoda byla uzavřena Radou Evropské unie dne 20. prosince 2018 po ratifikaci Evropským parlamentem dne 12. prosince 2018. Dohoda vstoupila v platnost dne 1. února 2019.</w:t>
      </w:r>
    </w:p>
    <w:p>
      <w:pPr>
        <w:pStyle w:val="ManualHeading2"/>
        <w:rPr>
          <w:noProof/>
        </w:rPr>
      </w:pPr>
      <w:r>
        <w:t>2.2.</w:t>
      </w:r>
      <w:r>
        <w:tab/>
      </w:r>
      <w:r>
        <w:rPr>
          <w:noProof/>
        </w:rPr>
        <w:t>Smíšený výbor</w:t>
      </w:r>
    </w:p>
    <w:p>
      <w:pPr>
        <w:rPr>
          <w:noProof/>
        </w:rPr>
      </w:pPr>
      <w:r>
        <w:rPr>
          <w:noProof/>
        </w:rPr>
        <w:t>Ustanovením čl. 22.1 odst. 1 dohody se zřizuje Smíšený výbor složený ze zástupců obou stran. Smíšený výbor přijímá všechna rozhodnutí a doporučení na základě konsenzu a může je přijímat při osobním setkání nebo písemnou formou (čl. 22.2 odst. 3).</w:t>
      </w:r>
    </w:p>
    <w:p>
      <w:pPr>
        <w:rPr>
          <w:noProof/>
        </w:rPr>
      </w:pPr>
      <w:r>
        <w:rPr>
          <w:noProof/>
        </w:rPr>
        <w:t xml:space="preserve">V souladu s čl. 22.1 odst. 4 písm. f) dohody přijal Smíšený výbor na svém prvním zasedání dne 10. dubna 2019 jednací řád rozhodčího tribunálu a kodex chování rozhodců uvedené v článku 21.30 v kapitole o řešení sporů. </w:t>
      </w:r>
    </w:p>
    <w:p>
      <w:pPr>
        <w:pStyle w:val="ManualHeading2"/>
        <w:rPr>
          <w:noProof/>
        </w:rPr>
      </w:pPr>
      <w:r>
        <w:t>2.3.</w:t>
      </w:r>
      <w:r>
        <w:tab/>
      </w:r>
      <w:r>
        <w:rPr>
          <w:noProof/>
        </w:rPr>
        <w:t xml:space="preserve">Zamýšlený akt Smíšeného výboru </w:t>
      </w:r>
    </w:p>
    <w:p>
      <w:pPr>
        <w:rPr>
          <w:noProof/>
        </w:rPr>
      </w:pPr>
      <w:r>
        <w:rPr>
          <w:noProof/>
        </w:rPr>
        <w:t>Podle čl. 21.9 odst. 1 sestaví Smíšený výbor rovněž seznam nejméně devíti osob, které jsou ochotny a schopny zastávat funkci rozhodců (dále jen „zamýšlený akt“).</w:t>
      </w:r>
    </w:p>
    <w:p>
      <w:pPr>
        <w:rPr>
          <w:noProof/>
        </w:rPr>
      </w:pPr>
      <w:r>
        <w:rPr>
          <w:noProof/>
        </w:rPr>
        <w:t>Toto rozhodnutí Smíšeného výboru mělo být v zásadě přijato na prvním zasedání podle čl. 22.1 odst. 2 dohody. Podle čl. 22.2 odst. 3 dohody je lze však přijímat i písemnou formou.</w:t>
      </w:r>
    </w:p>
    <w:p>
      <w:pPr>
        <w:rPr>
          <w:noProof/>
        </w:rPr>
      </w:pPr>
      <w:r>
        <w:rPr>
          <w:noProof/>
        </w:rPr>
        <w:t>Podle čl. 21.9 odst. 1 sestává tento seznam ze tří dílčích seznamů: jednoho dílčího seznamu za každou stranu a jednoho dílčího seznamu osob, které nejsou státními příslušníky žádné strany a budou vykonávat funkci předsedy rozhodčího tribunálu. Každý dílčí seznam obsahuje nejméně tři jména. Každá strana může za účelem sestavení nebo aktualizace dílčího seznamu předsedů navrhnout nejvýše tři osoby.</w:t>
      </w:r>
    </w:p>
    <w:p>
      <w:pPr>
        <w:rPr>
          <w:noProof/>
        </w:rPr>
      </w:pPr>
      <w:r>
        <w:rPr>
          <w:noProof/>
        </w:rPr>
        <w:t>Mezi stranami byl vypracován návrh seznamu patnácti osob, které jsou ochotny a schopny zastávat funkci rozhodců.</w:t>
      </w:r>
    </w:p>
    <w:p>
      <w:pPr>
        <w:pStyle w:val="ManualHeading1"/>
        <w:rPr>
          <w:noProof/>
        </w:rPr>
      </w:pPr>
      <w:r>
        <w:t>3.</w:t>
      </w:r>
      <w:r>
        <w:tab/>
      </w:r>
      <w:r>
        <w:rPr>
          <w:noProof/>
        </w:rPr>
        <w:t>Postoj, který má být zaujat jménem Unie</w:t>
      </w:r>
    </w:p>
    <w:p>
      <w:pPr>
        <w:rPr>
          <w:noProof/>
        </w:rPr>
      </w:pPr>
      <w:r>
        <w:rPr>
          <w:noProof/>
        </w:rPr>
        <w:t>Tímto návrhem rozhodnutí Rady se stanoví postoj, který má být zaujat jménem Unie ve Smíšeném výboru zřízeném Dohodou mezi Evropskou unií a Japonskem o hospodářském partnerství, pokud jde o přijetí seznamu osob, které jsou ochotny a schopny zastávat funkci rozhodců.</w:t>
      </w:r>
    </w:p>
    <w:p>
      <w:pPr>
        <w:rPr>
          <w:noProof/>
        </w:rPr>
      </w:pPr>
      <w:r>
        <w:rPr>
          <w:noProof/>
        </w:rPr>
        <w:t>Mezi stranami byl vypracován návrh seznamu patnácti osob, které jsou ochotny a schopny zastávat funkci rozhodců. Seznam splňuje požadavky čl. 21.9 odst. 1 dohody, přičemž každý dílčí seznam musí obsahovat nejméně tři osoby. Dílčí seznam za EU obsahuje čtyři osoby, dílčí seznam za Japonsko obsahuje pět osob a dílčí seznam společně dohodnutých předsedů obsahuje šest osob.</w:t>
      </w:r>
    </w:p>
    <w:p>
      <w:pPr>
        <w:rPr>
          <w:noProof/>
        </w:rPr>
      </w:pPr>
      <w:r>
        <w:rPr>
          <w:noProof/>
        </w:rPr>
        <w:t>Přijetí těchto dokumentů je zásadní pro uskutečňování ustanovení dohody, jež jsou uvedena v kapitole 21 (Řešení sporů), a tedy pro zajištění hladkého provádění dohody.</w:t>
      </w:r>
    </w:p>
    <w:p>
      <w:pPr>
        <w:pStyle w:val="ManualHeading1"/>
        <w:rPr>
          <w:noProof/>
        </w:rPr>
      </w:pPr>
      <w:r>
        <w:t>4.</w:t>
      </w:r>
      <w:r>
        <w:tab/>
      </w:r>
      <w:r>
        <w:rPr>
          <w:noProof/>
        </w:rPr>
        <w:t>Právní základ</w:t>
      </w:r>
    </w:p>
    <w:p>
      <w:pPr>
        <w:pStyle w:val="ManualHeading2"/>
        <w:rPr>
          <w:noProof/>
        </w:rPr>
      </w:pPr>
      <w:r>
        <w:t>4.1.</w:t>
      </w:r>
      <w:r>
        <w:tab/>
      </w:r>
      <w:r>
        <w:rPr>
          <w:noProof/>
        </w:rPr>
        <w:t>Procesněprávní základ</w:t>
      </w:r>
    </w:p>
    <w:p>
      <w:pPr>
        <w:pStyle w:val="ManualHeading3"/>
        <w:rPr>
          <w:noProof/>
        </w:rPr>
      </w:pPr>
      <w:r>
        <w:t>4.1.1.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Ustanovení čl. 218 odst. 9 Smlouvy o fungování Evropské unie (SFEU) zavádí rozhodnutí, kterými se stanoví „</w:t>
      </w:r>
      <w:r>
        <w:rPr>
          <w:i/>
          <w:noProof/>
        </w:rPr>
        <w:t>postoje, které má jménem Unie zaujmout orgán zřízený dohodou, má-li tento orgán přijímat akty s právními účinky, s výjimkou aktů, které doplňují nebo pozměňují institucionální rámec dohody</w:t>
      </w:r>
      <w:r>
        <w:rPr>
          <w:noProof/>
        </w:rPr>
        <w:t>“.</w:t>
      </w:r>
    </w:p>
    <w:p>
      <w:pPr>
        <w:rPr>
          <w:noProof/>
        </w:rPr>
      </w:pPr>
      <w:r>
        <w:rPr>
          <w:noProof/>
        </w:rPr>
        <w:t>Pojem „</w:t>
      </w:r>
      <w:r>
        <w:rPr>
          <w:i/>
          <w:noProof/>
        </w:rPr>
        <w:t>akty s právními účinky</w:t>
      </w:r>
      <w:r>
        <w:rPr>
          <w:noProof/>
        </w:rPr>
        <w:t>“ zahrnuje akty, které mají právní účinky na základě pravidel mezinárodního práva, kterým se řídí dotyčný orgán. Zahrnuje rovněž nástroje, které podle mezinárodního práva nemají závazný účinek, ale mohou „</w:t>
      </w:r>
      <w:r>
        <w:rPr>
          <w:i/>
          <w:noProof/>
        </w:rPr>
        <w:t>rozhodujícím způsobem ovlivnit obsah právní úpravy přijaté zákonodárcem Unie</w:t>
      </w:r>
      <w:r>
        <w:rPr>
          <w:noProof/>
        </w:rPr>
        <w:t>“</w:t>
      </w:r>
      <w:r>
        <w:rPr>
          <w:rStyle w:val="FootnoteReference"/>
          <w:noProof/>
        </w:rPr>
        <w:footnoteReference w:id="1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t>4.1.2.</w:t>
      </w:r>
      <w:r>
        <w:tab/>
      </w:r>
      <w:r>
        <w:rPr>
          <w:noProof/>
        </w:rPr>
        <w:t>Uplatnění v tomto konkrétním případě</w:t>
      </w:r>
    </w:p>
    <w:p>
      <w:pPr>
        <w:rPr>
          <w:noProof/>
        </w:rPr>
      </w:pPr>
      <w:r>
        <w:rPr>
          <w:noProof/>
        </w:rPr>
        <w:t>Smíšený výbor je orgán zřízený dohodou, konkrétně Dohodou mezi Evropskou unií a Japonskem o hospodářském partnerství.</w:t>
      </w:r>
    </w:p>
    <w:p>
      <w:pPr>
        <w:rPr>
          <w:noProof/>
        </w:rPr>
      </w:pPr>
      <w:r>
        <w:rPr>
          <w:noProof/>
        </w:rPr>
        <w:t>Akt, který má Smíšený výbor přijmout, představuje akt s právními účinky. Zamýšlený akt bude závazný podle mezinárodního práva v souladu s článkem 102 dohody.</w:t>
      </w:r>
    </w:p>
    <w:p>
      <w:pPr>
        <w:rPr>
          <w:noProof/>
        </w:rPr>
      </w:pPr>
      <w:r>
        <w:rPr>
          <w:noProof/>
        </w:rPr>
        <w:t>Zamýšlený akt nedoplňuje ani nepozměňuje institucionální rámec dohody.</w:t>
      </w:r>
    </w:p>
    <w:p>
      <w:pPr>
        <w:rPr>
          <w:noProof/>
        </w:rPr>
      </w:pPr>
      <w:r>
        <w:rPr>
          <w:noProof/>
        </w:rPr>
        <w:t>Procesněprávním základem navrhovaného rozhodnutí je tudíž čl. 218 odst. 9 SFEU.</w:t>
      </w:r>
    </w:p>
    <w:p>
      <w:pPr>
        <w:pStyle w:val="ManualHeading2"/>
        <w:rPr>
          <w:noProof/>
        </w:rPr>
      </w:pPr>
      <w:r>
        <w:t>4.2.</w:t>
      </w:r>
      <w:r>
        <w:tab/>
      </w:r>
      <w:r>
        <w:rPr>
          <w:noProof/>
        </w:rPr>
        <w:t>Hmotněprávní základ</w:t>
      </w:r>
    </w:p>
    <w:p>
      <w:pPr>
        <w:pStyle w:val="ManualHeading3"/>
        <w:rPr>
          <w:noProof/>
        </w:rPr>
      </w:pPr>
      <w:r>
        <w:t>4.2.1.</w:t>
      </w:r>
      <w:r>
        <w:tab/>
      </w:r>
      <w:r>
        <w:rPr>
          <w:noProof/>
        </w:rPr>
        <w:t>Zásady</w:t>
      </w:r>
    </w:p>
    <w:p>
      <w:pPr>
        <w:rPr>
          <w:noProof/>
        </w:rPr>
      </w:pPr>
      <w:r>
        <w:rPr>
          <w:noProof/>
        </w:rPr>
        <w:t>Hmotněprávní základ rozhodnutí podle čl. 218 odst. 9 SFEU závisí v první řadě na cíli a obsahu zamýšleného aktu, k němuž se zaujímá postoj jménem Unie. Má-li zamýšlený akt dvojí účel nebo má-li dvě složky a lze-li jeden z těchto účelů nebo jednu z těchto složek označit jako hlavní, zatímco druhý účel či druhá složka je pouze vedlejší, musí být rozhodnutí přijaté na základě čl. 218 odst. 9 SFEU založeno na jediném hmotněprávním základě, a sice na tom, který si žádá hlavní nebo převažující účel či složka.</w:t>
      </w:r>
    </w:p>
    <w:p>
      <w:pPr>
        <w:pStyle w:val="ManualHeading3"/>
        <w:rPr>
          <w:noProof/>
        </w:rPr>
      </w:pPr>
      <w:r>
        <w:t>4.2.2.</w:t>
      </w:r>
      <w:r>
        <w:tab/>
      </w:r>
      <w:r>
        <w:rPr>
          <w:noProof/>
        </w:rPr>
        <w:t>Uplatnění v tomto konkrétním případě</w:t>
      </w:r>
    </w:p>
    <w:p>
      <w:pPr>
        <w:rPr>
          <w:noProof/>
        </w:rPr>
      </w:pPr>
      <w:r>
        <w:rPr>
          <w:noProof/>
        </w:rPr>
        <w:t>Hlavní cíl a obsah zamýšleného aktu se týkají společné obchodní politiky.</w:t>
      </w:r>
    </w:p>
    <w:p>
      <w:pPr>
        <w:rPr>
          <w:noProof/>
        </w:rPr>
      </w:pPr>
      <w:r>
        <w:rPr>
          <w:noProof/>
        </w:rPr>
        <w:t>Hmotněprávním základem navrhovaného rozhodnutí je tudíž článek 207 SFEU.</w:t>
      </w:r>
    </w:p>
    <w:p>
      <w:pPr>
        <w:pStyle w:val="ManualHeading2"/>
        <w:rPr>
          <w:noProof/>
        </w:rPr>
      </w:pPr>
      <w:r>
        <w:t>4.3.</w:t>
      </w:r>
      <w:r>
        <w:tab/>
      </w:r>
      <w:r>
        <w:rPr>
          <w:noProof/>
        </w:rPr>
        <w:t>Závěr</w:t>
      </w:r>
    </w:p>
    <w:p>
      <w:pPr>
        <w:rPr>
          <w:noProof/>
        </w:rPr>
      </w:pPr>
      <w:r>
        <w:rPr>
          <w:noProof/>
        </w:rPr>
        <w:t>Právním základem navrhovaného rozhodnutí by měl být článek 207 SFEU ve spojení s čl. 218 odst. 9 SFEU.</w:t>
      </w: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2019/0147 (NLE)</w:t>
      </w: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ROZHODNUTÍ RADY</w:t>
      </w:r>
    </w:p>
    <w:p>
      <w:pPr>
        <w:pStyle w:val="Titreobjet"/>
        <w:rPr>
          <w:noProof/>
        </w:rPr>
      </w:pPr>
      <w:r>
        <w:rPr>
          <w:noProof/>
        </w:rPr>
        <w:t>o postoji, který má být zaujat jménem Evropské unie ve Smíšeném výboru zřízeném podle Dohody mezi Evropskou unií a Japonskem o hospodářském partnerství, pokud jde o přijetí seznamu rozhodců</w:t>
      </w:r>
    </w:p>
    <w:p>
      <w:pPr>
        <w:pStyle w:val="Institutionquiagit"/>
        <w:rPr>
          <w:noProof/>
        </w:rPr>
      </w:pPr>
      <w:r>
        <w:rPr>
          <w:noProof/>
        </w:rPr>
        <w:t>RADA EVROPSKÉ UNIE,</w:t>
      </w:r>
    </w:p>
    <w:p>
      <w:pPr>
        <w:rPr>
          <w:noProof/>
        </w:rPr>
      </w:pPr>
      <w:r>
        <w:rPr>
          <w:noProof/>
        </w:rPr>
        <w:t>s ohledem na Smlouvu o fungování Evropské unie, a zejména na čl. 207 odst. 3 a čl. 207 odst. 4 první pododstavec ve spojení s čl. 218 odst. 9 této smlouvy,</w:t>
      </w:r>
    </w:p>
    <w:p>
      <w:pPr>
        <w:rPr>
          <w:noProof/>
        </w:rPr>
      </w:pPr>
      <w:r>
        <w:rPr>
          <w:noProof/>
        </w:rPr>
        <w:t>s ohledem na návrh Evropské komise,</w:t>
      </w:r>
    </w:p>
    <w:p>
      <w:pPr>
        <w:rPr>
          <w:noProof/>
        </w:rPr>
      </w:pPr>
      <w:r>
        <w:rPr>
          <w:noProof/>
        </w:rPr>
        <w:t>vzhledem k těmto důvodům: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Rozhodnutím Rady (EU) 2018/1907 ze dne 20. prosince 2018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uzavřela Unie Dohodu mezi Evropskou unií a Japonskem o hospodářském partnerství (dále jen „dohoda“), která vstoupila v platnost dne 1. února 2019. Podle čl. 22.1 odst. 4 dohody zajistí Smíšený výbor řádné a účinné fungování této dohody.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V čl. 21.9 odst. 1 dohody se stanoví, že Smíšený výbor na svém prvním zasedání sestaví seznam nejméně devíti osob, které jsou ochotny a schopny zastávat funkci rozhodců. Podle čl. 22.2 odst. 3 dohody mohou být rozhodnutí Smíšeného výboru přijímána rovněž písemnou formou.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Je vhodné stanovit postoj, který má být zaujat jménem Unie ve Smíšeném výboru, neboť plánované rozhodnutí bude pro Unii závazné,</w:t>
      </w:r>
    </w:p>
    <w:p>
      <w:pPr>
        <w:pStyle w:val="Formuledadoption"/>
        <w:rPr>
          <w:noProof/>
        </w:rPr>
      </w:pPr>
      <w:r>
        <w:rPr>
          <w:noProof/>
        </w:rPr>
        <w:t>PŘIJALA TOTO ROZHODNUTÍ:</w:t>
      </w:r>
    </w:p>
    <w:p>
      <w:pPr>
        <w:pStyle w:val="Titrearticle"/>
        <w:rPr>
          <w:noProof/>
        </w:rPr>
      </w:pPr>
      <w:r>
        <w:rPr>
          <w:noProof/>
        </w:rPr>
        <w:t>Článek 1</w:t>
      </w:r>
    </w:p>
    <w:p>
      <w:pPr>
        <w:rPr>
          <w:noProof/>
        </w:rPr>
      </w:pPr>
      <w:r>
        <w:rPr>
          <w:noProof/>
        </w:rPr>
        <w:t>Postoj, který má být jménem Unie zaujat ve Smíšeném výboru zřízeném podle Dohody mezi Evropskou unií a Japonskem o hospodářském partnerství, pokud jde o přijetí seznamu rozhodců, vychází z návrhu rozhodnutí Smíšeného výboru připojeného k tomuto rozhodnutí.</w:t>
      </w:r>
    </w:p>
    <w:p>
      <w:pPr>
        <w:pStyle w:val="Titrearticle"/>
        <w:rPr>
          <w:noProof/>
        </w:rPr>
      </w:pPr>
      <w:r>
        <w:rPr>
          <w:noProof/>
        </w:rPr>
        <w:t>Článek 2</w:t>
      </w:r>
    </w:p>
    <w:p>
      <w:pPr>
        <w:rPr>
          <w:noProof/>
        </w:rPr>
      </w:pPr>
      <w:r>
        <w:rPr>
          <w:noProof/>
        </w:rPr>
        <w:t>Toto rozhodnutí je určeno Komisi.</w:t>
      </w:r>
    </w:p>
    <w:p>
      <w:pPr>
        <w:pStyle w:val="Fait"/>
        <w:rPr>
          <w:noProof/>
        </w:rPr>
      </w:pPr>
      <w:r>
        <w:t>V Bruselu dne</w:t>
      </w:r>
    </w:p>
    <w:p>
      <w:pPr>
        <w:pStyle w:val="Institutionquisigne"/>
        <w:rPr>
          <w:noProof/>
        </w:rPr>
      </w:pP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ab/>
        <w:t>předseda/předsedkyně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Rozsudek Soudního dvora ze dne 7. října 2014, Německo v. Rada, C-399/12, ECLI:EU:C:2014:2258, body 61 až 64. 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Úř. věst. L 330, 27.12.2018, s.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D243D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C6A6F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23C9C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F00AF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F4631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7A860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89A02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52E73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2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6-26 11:07:4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D5B722A0-1EA9-4069-9EB7-7720832A1241"/>
    <w:docVar w:name="LW_COVERPAGE_TYPE" w:val="1"/>
    <w:docVar w:name="LW_CROSSREFERENCE" w:val="&lt;UNUSED&gt;"/>
    <w:docVar w:name="LW_DocType" w:val="COM"/>
    <w:docVar w:name="LW_EMISSION" w:val="3.7.2019"/>
    <w:docVar w:name="LW_EMISSION_ISODATE" w:val="2019-07-03"/>
    <w:docVar w:name="LW_EMISSION_LOCATION" w:val="BRX"/>
    <w:docVar w:name="LW_EMISSION_PREFIX" w:val="V Bruselu dne "/>
    <w:docVar w:name="LW_EMISSION_SUFFIX" w:val=" "/>
    <w:docVar w:name="LW_ID_DOCMODEL" w:val="SJ-043"/>
    <w:docVar w:name="LW_ID_DOCSIGNATURE" w:val="SJ-019"/>
    <w:docVar w:name="LW_ID_DOCSTRUCTURE" w:val="COM/PL/ORG"/>
    <w:docVar w:name="LW_ID_DOCTYPE" w:val="SJ-043"/>
    <w:docVar w:name="LW_ID_EXP.MOTIFS.NEW" w:val="EM_PL2_"/>
    <w:docVar w:name="LW_ID_STATUT" w:val="SJ-019"/>
    <w:docVar w:name="LW_INTERETEEE.CP" w:val="&lt;UNUSED&gt;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47"/>
    <w:docVar w:name="LW_REF.II.NEW.CP_YEAR" w:val="2019"/>
    <w:docVar w:name="LW_REF.INST.NEW" w:val="COM"/>
    <w:docVar w:name="LW_REF.INST.NEW_ADOPTED" w:val="final"/>
    <w:docVar w:name="LW_REF.INST.NEW_TEXT" w:val="(2019) 31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Návrh"/>
    <w:docVar w:name="LW_SUPERTITRE" w:val="&lt;UNUSED&gt;"/>
    <w:docVar w:name="LW_TITRE.OBJ.CP" w:val="o postoji, který má být zaujat jménem Evropské unie ve Smí\u353?eném výboru z\u345?ízeném podle Dohody mezi Evropskou unií a Japonskem o hospodá\u345?ském partnerství, pokud jde o p\u345?ijetí seznamu rozhodc\u367?"/>
    <w:docVar w:name="LW_TYPE.DOC.CP" w:val="ROZHODNUTÍ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7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7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7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7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1"/>
      </w:numPr>
    </w:pPr>
  </w:style>
  <w:style w:type="paragraph" w:customStyle="1" w:styleId="Tiret1">
    <w:name w:val="Tiret 1"/>
    <w:basedOn w:val="Point1"/>
    <w:pPr>
      <w:numPr>
        <w:numId w:val="12"/>
      </w:numPr>
    </w:pPr>
  </w:style>
  <w:style w:type="paragraph" w:customStyle="1" w:styleId="Tiret2">
    <w:name w:val="Tiret 2"/>
    <w:basedOn w:val="Point2"/>
    <w:pPr>
      <w:numPr>
        <w:numId w:val="13"/>
      </w:numPr>
    </w:pPr>
  </w:style>
  <w:style w:type="paragraph" w:customStyle="1" w:styleId="Tiret3">
    <w:name w:val="Tiret 3"/>
    <w:basedOn w:val="Point3"/>
    <w:pPr>
      <w:numPr>
        <w:numId w:val="14"/>
      </w:numPr>
    </w:pPr>
  </w:style>
  <w:style w:type="paragraph" w:customStyle="1" w:styleId="Tiret4">
    <w:name w:val="Tiret 4"/>
    <w:basedOn w:val="Point4"/>
    <w:pPr>
      <w:numPr>
        <w:numId w:val="15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6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6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6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6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8"/>
      </w:numPr>
    </w:pPr>
  </w:style>
  <w:style w:type="paragraph" w:customStyle="1" w:styleId="Point1number">
    <w:name w:val="Point 1 (number)"/>
    <w:basedOn w:val="Normal"/>
    <w:pPr>
      <w:numPr>
        <w:ilvl w:val="2"/>
        <w:numId w:val="18"/>
      </w:numPr>
    </w:pPr>
  </w:style>
  <w:style w:type="paragraph" w:customStyle="1" w:styleId="Point2number">
    <w:name w:val="Point 2 (number)"/>
    <w:basedOn w:val="Normal"/>
    <w:pPr>
      <w:numPr>
        <w:ilvl w:val="4"/>
        <w:numId w:val="18"/>
      </w:numPr>
    </w:pPr>
  </w:style>
  <w:style w:type="paragraph" w:customStyle="1" w:styleId="Point3number">
    <w:name w:val="Point 3 (number)"/>
    <w:basedOn w:val="Normal"/>
    <w:pPr>
      <w:numPr>
        <w:ilvl w:val="6"/>
        <w:numId w:val="18"/>
      </w:numPr>
    </w:pPr>
  </w:style>
  <w:style w:type="paragraph" w:customStyle="1" w:styleId="Point0letter">
    <w:name w:val="Point 0 (letter)"/>
    <w:basedOn w:val="Normal"/>
    <w:pPr>
      <w:numPr>
        <w:ilvl w:val="1"/>
        <w:numId w:val="18"/>
      </w:numPr>
    </w:pPr>
  </w:style>
  <w:style w:type="paragraph" w:customStyle="1" w:styleId="Point1letter">
    <w:name w:val="Point 1 (letter)"/>
    <w:basedOn w:val="Normal"/>
    <w:pPr>
      <w:numPr>
        <w:ilvl w:val="3"/>
        <w:numId w:val="18"/>
      </w:numPr>
    </w:pPr>
  </w:style>
  <w:style w:type="paragraph" w:customStyle="1" w:styleId="Point2letter">
    <w:name w:val="Point 2 (letter)"/>
    <w:basedOn w:val="Normal"/>
    <w:pPr>
      <w:numPr>
        <w:ilvl w:val="5"/>
        <w:numId w:val="18"/>
      </w:numPr>
    </w:pPr>
  </w:style>
  <w:style w:type="paragraph" w:customStyle="1" w:styleId="Point3letter">
    <w:name w:val="Point 3 (letter)"/>
    <w:basedOn w:val="Normal"/>
    <w:pPr>
      <w:numPr>
        <w:ilvl w:val="7"/>
        <w:numId w:val="18"/>
      </w:numPr>
    </w:pPr>
  </w:style>
  <w:style w:type="paragraph" w:customStyle="1" w:styleId="Point4letter">
    <w:name w:val="Point 4 (letter)"/>
    <w:basedOn w:val="Normal"/>
    <w:pPr>
      <w:numPr>
        <w:ilvl w:val="8"/>
        <w:numId w:val="18"/>
      </w:numPr>
    </w:pPr>
  </w:style>
  <w:style w:type="paragraph" w:customStyle="1" w:styleId="Bullet0">
    <w:name w:val="Bullet 0"/>
    <w:basedOn w:val="Normal"/>
    <w:pPr>
      <w:numPr>
        <w:numId w:val="19"/>
      </w:numPr>
    </w:pPr>
  </w:style>
  <w:style w:type="paragraph" w:customStyle="1" w:styleId="Bullet1">
    <w:name w:val="Bullet 1"/>
    <w:basedOn w:val="Normal"/>
    <w:pPr>
      <w:numPr>
        <w:numId w:val="20"/>
      </w:numPr>
    </w:pPr>
  </w:style>
  <w:style w:type="paragraph" w:customStyle="1" w:styleId="Bullet2">
    <w:name w:val="Bullet 2"/>
    <w:basedOn w:val="Normal"/>
    <w:pPr>
      <w:numPr>
        <w:numId w:val="21"/>
      </w:numPr>
    </w:pPr>
  </w:style>
  <w:style w:type="paragraph" w:customStyle="1" w:styleId="Bullet3">
    <w:name w:val="Bullet 3"/>
    <w:basedOn w:val="Normal"/>
    <w:pPr>
      <w:numPr>
        <w:numId w:val="22"/>
      </w:numPr>
    </w:pPr>
  </w:style>
  <w:style w:type="paragraph" w:customStyle="1" w:styleId="Bullet4">
    <w:name w:val="Bullet 4"/>
    <w:basedOn w:val="Normal"/>
    <w:pPr>
      <w:numPr>
        <w:numId w:val="23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4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F893DBB-4778-414A-B916-D85B6FAA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5</TotalTime>
  <Pages>4</Pages>
  <Words>999</Words>
  <Characters>5537</Characters>
  <Application>Microsoft Office Word</Application>
  <DocSecurity>0</DocSecurity>
  <Lines>110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WES PDFC Administrator</cp:lastModifiedBy>
  <cp:revision>18</cp:revision>
  <dcterms:created xsi:type="dcterms:W3CDTF">2019-06-04T08:55:00Z</dcterms:created>
  <dcterms:modified xsi:type="dcterms:W3CDTF">2019-06-26T09:07:00Z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6.0.100.0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SJ-043</vt:lpwstr>
  </property>
  <property fmtid="{D5CDD505-2E9C-101B-9397-08002B2CF9AE}" pid="10" name="DQCStatus">
    <vt:lpwstr>Green (DQC version 03)</vt:lpwstr>
  </property>
</Properties>
</file>