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8F6D92-6BD9-43B3-B608-5F9BDF1C5D0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noProof/>
        </w:rPr>
      </w:pPr>
      <w:r>
        <w:rPr>
          <w:noProof/>
        </w:rPr>
        <w:t>La presente propuesta se refiere a la posición que se ha de adoptar en nombre de la Unión en el Comité Mixto creado por el Acuerdo entre la Unión Europea y Japón relativo a una Asociación Económica, en relación con la adopción prevista de la Lista de personas dispuestas a ejercer de árbitro.</w:t>
      </w:r>
    </w:p>
    <w:p>
      <w:pPr>
        <w:pStyle w:val="ManualHeading1"/>
        <w:rPr>
          <w:noProof/>
        </w:rPr>
      </w:pPr>
      <w:r>
        <w:t>2.</w:t>
      </w:r>
      <w:r>
        <w:tab/>
      </w:r>
      <w:r>
        <w:rPr>
          <w:noProof/>
        </w:rPr>
        <w:t>Contexto de la propuesta</w:t>
      </w:r>
    </w:p>
    <w:p>
      <w:pPr>
        <w:pStyle w:val="ManualHeading2"/>
        <w:rPr>
          <w:noProof/>
        </w:rPr>
      </w:pPr>
      <w:r>
        <w:t>2.1.</w:t>
      </w:r>
      <w:r>
        <w:tab/>
      </w:r>
      <w:r>
        <w:rPr>
          <w:noProof/>
        </w:rPr>
        <w:t xml:space="preserve">El Acuerdo entre la Unión Europea y Japón relativo a una Asociación Económica </w:t>
      </w:r>
    </w:p>
    <w:p>
      <w:pPr>
        <w:rPr>
          <w:noProof/>
        </w:rPr>
      </w:pPr>
      <w:r>
        <w:rPr>
          <w:noProof/>
        </w:rPr>
        <w:t>El Acuerdo entre la Unión Europea y Japón relativo a una Asociación Económica (en lo sucesivo, «el Acuerdo») tiene por objeto liberalizar y facilitar el comercio y la inversión, así como fomentar unas relaciones económicas más estrechas entre las Partes.</w:t>
      </w:r>
    </w:p>
    <w:p>
      <w:pPr>
        <w:rPr>
          <w:noProof/>
        </w:rPr>
      </w:pPr>
      <w:r>
        <w:rPr>
          <w:noProof/>
        </w:rPr>
        <w:t>El Acuerdo fue celebrado por el Consejo de la Unión Europea el 20 de diciembre de 2018, después de que el Parlamento Europeo lo ratificara el 12 de diciembre de 2018. El Acuerdo entró en vigor el 1 de febrero de 2019.</w:t>
      </w:r>
    </w:p>
    <w:p>
      <w:pPr>
        <w:pStyle w:val="ManualHeading2"/>
        <w:rPr>
          <w:noProof/>
        </w:rPr>
      </w:pPr>
      <w:r>
        <w:t>2.2.</w:t>
      </w:r>
      <w:r>
        <w:tab/>
      </w:r>
      <w:r>
        <w:rPr>
          <w:noProof/>
        </w:rPr>
        <w:t>El Comité Mixto</w:t>
      </w:r>
    </w:p>
    <w:p>
      <w:pPr>
        <w:rPr>
          <w:noProof/>
        </w:rPr>
      </w:pPr>
      <w:r>
        <w:rPr>
          <w:noProof/>
        </w:rPr>
        <w:t>El artículo 22.1, apartado 1, del Acuerdo crea el Comité Mixto, compuesto por representantes de ambas Partes. Todas las decisiones y recomendaciones del Comité Mixto se tomarán por consenso y podrán ser adoptadas bien en una reunión presencial o bien por escrito (artículo 22.2, apartado 3).</w:t>
      </w:r>
    </w:p>
    <w:p>
      <w:pPr>
        <w:rPr>
          <w:noProof/>
        </w:rPr>
      </w:pPr>
      <w:r>
        <w:rPr>
          <w:noProof/>
        </w:rPr>
        <w:t xml:space="preserve">De conformidad con el artículo 22.1, apartado 4, letra f), del Acuerdo, el Comité Mixto adoptó en su primera reunión, celebrada el 10 de abril de 2019, el reglamente interno del grupo especial y el código de conducta para los árbitros a los que se hace referencia en el capítulo sobre Solución de diferencias, artículo 21.30. </w:t>
      </w:r>
    </w:p>
    <w:p>
      <w:pPr>
        <w:pStyle w:val="ManualHeading2"/>
        <w:rPr>
          <w:noProof/>
        </w:rPr>
      </w:pPr>
      <w:r>
        <w:t>2.3.</w:t>
      </w:r>
      <w:r>
        <w:tab/>
      </w:r>
      <w:r>
        <w:rPr>
          <w:noProof/>
        </w:rPr>
        <w:t xml:space="preserve">El acto previsto del Comité Mixto </w:t>
      </w:r>
    </w:p>
    <w:p>
      <w:pPr>
        <w:rPr>
          <w:noProof/>
        </w:rPr>
      </w:pPr>
      <w:r>
        <w:rPr>
          <w:noProof/>
        </w:rPr>
        <w:t>Con arreglo al artículo 21.9, apartado 1, el Comité Mixto establecerá asimismo una lista de al menos nueve personas con disposición y capacidad para ejercer de árbitro («el acto previsto»).</w:t>
      </w:r>
    </w:p>
    <w:p>
      <w:pPr>
        <w:rPr>
          <w:noProof/>
        </w:rPr>
      </w:pPr>
      <w:r>
        <w:rPr>
          <w:noProof/>
        </w:rPr>
        <w:t>En principio, el Comité Mixto debería haber tomado dicha decisión durante su primera reunión, de conformidad con el artículo 22.1, apartado 2, del Acuerdo. Sin embargo, de conformidad con el artículo 22.2, apartado 3, del Acuerdo, también puede hacerse por escrito.</w:t>
      </w:r>
    </w:p>
    <w:p>
      <w:pPr>
        <w:rPr>
          <w:noProof/>
        </w:rPr>
      </w:pPr>
      <w:r>
        <w:rPr>
          <w:noProof/>
        </w:rPr>
        <w:t>Conforme al artículo 21.9, apartado 1, la lista constará de tres sublistas: una por cada Parte y una sublista de personas que no sean nacionales de ninguna de las dos Partes y que actuarán como presidente del grupo especial. Cada sublista estará compuesta al menos por tres personas. Para el establecimiento o la actualización de la sublista de presidentes, cada Parte podrá proponer hasta tres personas.</w:t>
      </w:r>
    </w:p>
    <w:p>
      <w:pPr>
        <w:rPr>
          <w:noProof/>
        </w:rPr>
      </w:pPr>
      <w:r>
        <w:rPr>
          <w:noProof/>
        </w:rPr>
        <w:t>Las Partes han preparado un proyecto de lista con quince personas dispuestas a ejercer de árbitro y con capacidad para hacerlo.</w:t>
      </w:r>
    </w:p>
    <w:p>
      <w:pPr>
        <w:pStyle w:val="ManualHeading1"/>
        <w:rPr>
          <w:noProof/>
        </w:rPr>
      </w:pPr>
      <w:r>
        <w:t>3.</w:t>
      </w:r>
      <w:r>
        <w:tab/>
      </w:r>
      <w:r>
        <w:rPr>
          <w:noProof/>
        </w:rPr>
        <w:t>Posición que se ha de adoptar en nombre de la Unión</w:t>
      </w:r>
    </w:p>
    <w:p>
      <w:pPr>
        <w:rPr>
          <w:noProof/>
        </w:rPr>
      </w:pPr>
      <w:r>
        <w:rPr>
          <w:noProof/>
        </w:rPr>
        <w:t>La presente propuesta de Decisión del Consejo establece la posición que se ha de adoptar en nombre de la Unión en el Comité Mixto creado por el Acuerdo entre la Unión Europea y Japón relativo a una Asociación Económica, respecto a la adopción de la Lista de personas dispuestas a ejercer de árbitro.</w:t>
      </w:r>
    </w:p>
    <w:p>
      <w:pPr>
        <w:rPr>
          <w:noProof/>
        </w:rPr>
      </w:pPr>
      <w:r>
        <w:rPr>
          <w:noProof/>
        </w:rPr>
        <w:t>Las Partes han preparado un proyecto de lista con quince personas dispuestas a ejercer de árbitro y con capacidad para hacerlo. La lista cumple los requisitos del artículo 21.9, apartado 1, del Acuerdo, con arreglo al cual cada sublista estará compuesta al menos por tres personas. En la sublista de la UE constan cuatro personas, en la correspondiente a Japón, cinco y la sublista de presidentes elaborada de común acuerdo consta de seis personas.</w:t>
      </w:r>
    </w:p>
    <w:p>
      <w:pPr>
        <w:rPr>
          <w:noProof/>
        </w:rPr>
      </w:pPr>
      <w:r>
        <w:rPr>
          <w:noProof/>
        </w:rPr>
        <w:t>La adopción de estos documentos es esencial para que las disposiciones del capítulo 21 («Solución de diferencias») del Acuerdo sean operativas, garantizando así una aplicación fluida del Acuerdo.</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«actos que surtan efectos jurídicos» incluye los actos que surten efectos jurídicos en virtud de las normas de Derecho internacional que regulan el organismo de que se trate.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1"/>
      </w:r>
      <w:r>
        <w:rPr>
          <w:noProof/>
        </w:rPr>
        <w:t>.</w:t>
      </w:r>
    </w:p>
    <w:p>
      <w:pPr>
        <w:pStyle w:val="ManualHeading3"/>
        <w:rPr>
          <w:noProof/>
        </w:rPr>
      </w:pPr>
      <w:r>
        <w:t>4.1.2.</w:t>
      </w:r>
      <w:r>
        <w:tab/>
      </w:r>
      <w:r>
        <w:rPr>
          <w:noProof/>
        </w:rPr>
        <w:t>Aplicación al presente caso</w:t>
      </w:r>
    </w:p>
    <w:p>
      <w:pPr>
        <w:rPr>
          <w:noProof/>
        </w:rPr>
      </w:pPr>
      <w:r>
        <w:rPr>
          <w:noProof/>
        </w:rPr>
        <w:t>El Comité Mixto es un organismo creado por un acuerdo, a saber, el Acuerdo entre la Unión Europea y Japón relativo a una Asociación Económica.</w:t>
      </w:r>
    </w:p>
    <w:p>
      <w:pPr>
        <w:rPr>
          <w:noProof/>
        </w:rPr>
      </w:pPr>
      <w:r>
        <w:rPr>
          <w:noProof/>
        </w:rPr>
        <w:t>El acto que debe adoptar el Comité Mixto es un acto con efectos jurídicos. El acto previsto será vinculante con arreglo al Derecho internacional, de conformidad con lo dispuesto en el artículo 102 del Acuerdo.</w:t>
      </w:r>
    </w:p>
    <w:p>
      <w:pPr>
        <w:rPr>
          <w:noProof/>
        </w:rPr>
      </w:pPr>
      <w:r>
        <w:rPr>
          <w:noProof/>
        </w:rPr>
        <w:t>El acto previsto no completa ni modifica el marco institucional del Acuerdo.</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toma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basarse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principal y el contenido del acto previsto están relacionados con la política comercial común.</w:t>
      </w:r>
    </w:p>
    <w:p>
      <w:pPr>
        <w:rPr>
          <w:noProof/>
        </w:rPr>
      </w:pPr>
      <w:r>
        <w:rPr>
          <w:noProof/>
        </w:rPr>
        <w:t>Por lo tanto, la base jurídica sustantiva de la decisión propuesta es el artículo 207 del TFUE.</w:t>
      </w:r>
    </w:p>
    <w:p>
      <w:pPr>
        <w:pStyle w:val="ManualHeading2"/>
        <w:rPr>
          <w:noProof/>
        </w:rPr>
      </w:pPr>
      <w:r>
        <w:t>4.3.</w:t>
      </w:r>
      <w:r>
        <w:tab/>
      </w:r>
      <w:r>
        <w:rPr>
          <w:noProof/>
        </w:rPr>
        <w:t>Conclusión</w:t>
      </w:r>
    </w:p>
    <w:p>
      <w:pPr>
        <w:rPr>
          <w:noProof/>
        </w:rPr>
      </w:pPr>
      <w:r>
        <w:rPr>
          <w:noProof/>
        </w:rPr>
        <w:t>La base jurídica de la Decisión propuesta debe ser el artículo 207 del TFUE, leído en relación con su artículo 218, apartado 9.</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sobre la posición que se ha de adoptar en nombre de la Unión en el Comité Mixto creado por el Acuerdo entre la Unión Europea y Japón relativo a una Asociación Económica, en relación con la adopción de la Lista de Árbitros</w:t>
      </w:r>
    </w:p>
    <w:p>
      <w:pPr>
        <w:pStyle w:val="Institutionquiagit"/>
        <w:rPr>
          <w:noProof/>
        </w:rPr>
      </w:pPr>
      <w:r>
        <w:rPr>
          <w:noProof/>
        </w:rPr>
        <w:t>EL CONSEJO DE LA UNIÓN EUROPEA,</w:t>
      </w:r>
    </w:p>
    <w:p>
      <w:pPr>
        <w:rPr>
          <w:noProof/>
        </w:rPr>
      </w:pPr>
      <w:r>
        <w:rPr>
          <w:noProof/>
        </w:rPr>
        <w:t>Visto el Tratado de Funcionamiento de la Unión Europea y, en particular, su artículo 207, apartado 3 y apartado 4, párrafo primero,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entre la Unión Europea y Japón relativo a una asociación económica (en lo sucesivo, «Acuerdo») fue celebrado por la Unión mediante la Decisión (UE) 2018/1907 del Consejo, de 20 de diciembre de 2018</w:t>
      </w:r>
      <w:r>
        <w:rPr>
          <w:rStyle w:val="FootnoteReference"/>
          <w:noProof/>
        </w:rPr>
        <w:footnoteReference w:id="2"/>
      </w:r>
      <w:r>
        <w:rPr>
          <w:noProof/>
        </w:rPr>
        <w:t>, y entró en vigor el 1 de febrero de 2019. De conformidad con el al artículo 22.1, apartado 4, del Acuerdo, el Comité Mixto garantizará el funcionamiento adecuado y eficaz del Acuerdo.</w:t>
      </w:r>
    </w:p>
    <w:p>
      <w:pPr>
        <w:pStyle w:val="ManualConsidrant"/>
        <w:rPr>
          <w:noProof/>
        </w:rPr>
      </w:pPr>
      <w:r>
        <w:t>(2)</w:t>
      </w:r>
      <w:r>
        <w:tab/>
      </w:r>
      <w:r>
        <w:rPr>
          <w:noProof/>
        </w:rPr>
        <w:t>El artículo 21.9, apartado 1, del Acuerdo, prevé que el Comité Mixto, en su primera reunión, establecerá una lista de al menos nueve personas con disposición y capacidad para ejercer de árbitro. Con arreglo al artículo 22.2, apartado 3, del Acuerdo, el Comité Mixto también podrá tomar decisiones por escrito.</w:t>
      </w:r>
    </w:p>
    <w:p>
      <w:pPr>
        <w:pStyle w:val="ManualConsidrant"/>
        <w:rPr>
          <w:noProof/>
        </w:rPr>
      </w:pPr>
      <w:r>
        <w:t>(3)</w:t>
      </w:r>
      <w:r>
        <w:tab/>
      </w:r>
      <w:r>
        <w:rPr>
          <w:noProof/>
        </w:rPr>
        <w:t>Procede determinar la posición que debe adoptarse en nombre de la Unión en el Comité Mixto, habida cuenta de que la decisión será vinculante para la Unión.</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se ha de adoptar, en nombre de la Unión, en el seno del Comité Mixto creado en virtud del Acuerdo entre la Unión Europea y Japón relativo a una Asociación Económica con respecto a la adopción de la lista de árbitros se basará en el proyecto de Decisión del Comité Mixto, adjunto a la presente Decisión.</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Sentencia del Tribunal de Justicia de 7 de octubre de 2014, Alemania/Consejo, C-399/12, ECLI:EU, C:2014:2258, apartados 61 a 64. </w:t>
      </w:r>
    </w:p>
  </w:footnote>
  <w:footnote w:id="2">
    <w:p>
      <w:pPr>
        <w:pStyle w:val="FootnoteText"/>
      </w:pPr>
      <w:r>
        <w:rPr>
          <w:rStyle w:val="FootnoteReference"/>
        </w:rPr>
        <w:footnoteRef/>
      </w:r>
      <w:r>
        <w:tab/>
        <w:t>DO L 330 de 27.12.2018,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D243D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6A6F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3C9C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00A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4631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A860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9A025C"/>
    <w:lvl w:ilvl="0">
      <w:start w:val="1"/>
      <w:numFmt w:val="decimal"/>
      <w:pStyle w:val="ListNumber"/>
      <w:lvlText w:val="%1."/>
      <w:lvlJc w:val="left"/>
      <w:pPr>
        <w:tabs>
          <w:tab w:val="num" w:pos="360"/>
        </w:tabs>
        <w:ind w:left="360" w:hanging="360"/>
      </w:pPr>
    </w:lvl>
  </w:abstractNum>
  <w:abstractNum w:abstractNumId="7">
    <w:nsid w:val="FFFFFF89"/>
    <w:multiLevelType w:val="singleLevel"/>
    <w:tmpl w:val="A52E73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6 11:02: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8F6D92-6BD9-43B3-B608-5F9BDF1C5D03"/>
    <w:docVar w:name="LW_COVERPAGE_TYPE" w:val="1"/>
    <w:docVar w:name="LW_CROSSREFERENCE" w:val="&lt;UNUSED&gt;"/>
    <w:docVar w:name="LW_DocType" w:val="COM"/>
    <w:docVar w:name="LW_EMISSION" w:val="3.7.2019"/>
    <w:docVar w:name="LW_EMISSION_ISODATE" w:val="2019-07-03"/>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47"/>
    <w:docVar w:name="LW_REF.II.NEW.CP_YEAR" w:val="2019"/>
    <w:docVar w:name="LW_REF.INST.NEW" w:val="COM"/>
    <w:docVar w:name="LW_REF.INST.NEW_ADOPTED" w:val="final"/>
    <w:docVar w:name="LW_REF.INST.NEW_TEXT" w:val="(2019) 3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 posición que se ha de adoptar en nombre de la Unión en el Comité Mixto creado por el Acuerdo entre la Unión Europea y Japón relativo a una Asociación Económica, en relación con la adopción de la Lista de Árbitro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320778-63B4-4CDE-B6C5-B26B5A3D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1339</Words>
  <Characters>6700</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2019-06-06T10:15:00Z</dcterms:created>
  <dcterms:modified xsi:type="dcterms:W3CDTF">2019-06-26T09:02:00Z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