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10F5CAD-CFBB-4BC9-9288-F7B7E90F8BC5" style="width:450.75pt;height:321.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noProof/>
          <w:sz w:val="24"/>
          <w:szCs w:val="24"/>
        </w:rPr>
      </w:pPr>
      <w:bookmarkStart w:id="1" w:name="_GoBack"/>
      <w:bookmarkEnd w:id="1"/>
      <w:r>
        <w:rPr>
          <w:rFonts w:ascii="Times New Roman" w:hAnsi="Times New Roman"/>
          <w:noProof/>
          <w:sz w:val="24"/>
        </w:rPr>
        <w:lastRenderedPageBreak/>
        <w:t>Den 5. juni 2019 vurderede Kommissionen i den rapport, den havde udarbejdet i henhold til artikel 126, stk. 3, i traktaten om Den Europæiske Unions funktionsmåde</w:t>
      </w:r>
      <w:r>
        <w:rPr>
          <w:rStyle w:val="FootnoteReference"/>
          <w:rFonts w:ascii="Times New Roman" w:hAnsi="Times New Roman"/>
          <w:noProof/>
          <w:sz w:val="24"/>
        </w:rPr>
        <w:footnoteReference w:id="1"/>
      </w:r>
      <w:r>
        <w:rPr>
          <w:rFonts w:ascii="Times New Roman" w:hAnsi="Times New Roman"/>
          <w:noProof/>
          <w:sz w:val="24"/>
        </w:rPr>
        <w:t xml:space="preserve">, at Italien ikke opfyldte det traktatfæstede gældskriterium i 2018, og nåede til den konklusion, at en gældsbaseret procedure i forbindelse med uforholdsmæssigt store underskud var påkrævet for Italien. </w:t>
      </w:r>
    </w:p>
    <w:p>
      <w:pPr>
        <w:jc w:val="both"/>
        <w:rPr>
          <w:rFonts w:ascii="Times New Roman" w:hAnsi="Times New Roman" w:cs="Times New Roman"/>
          <w:noProof/>
          <w:sz w:val="24"/>
          <w:szCs w:val="24"/>
        </w:rPr>
      </w:pPr>
      <w:r>
        <w:rPr>
          <w:rFonts w:ascii="Times New Roman" w:hAnsi="Times New Roman"/>
          <w:noProof/>
          <w:sz w:val="24"/>
        </w:rPr>
        <w:t>Konklusionen byggede på følgende:</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 xml:space="preserve">Endelige data for 2018 viste, at Italiens offentlige gældskvote steg fra 131,4 % i 2017 til 132,2 % i 2018 </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Italiens strukturelle saldo blev forringet med 0,1 % af BNP i 2018 og forventedes at blive yderligere forringet med 0,2 % af BNP i 2019 ud fra Kommissionens forårsprognose 2019. Italien havde således en afvigelse fra den brede overholdelse, der er påkrævet ifølge den forebyggende del af stabilitets- og vækstpagten, på 0,4 % af BNP i 2018 og 0,3 % af BNP i 2019</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Kommissionen forårsprognose 2019 tydede på et samlet underskud, der lå over referenceværdien på 3 % af BNP i 2020, såfremt den momsforhøjelse, regeringen har lovgivet om som en sikkerhedsklausul, ikke tages i brug eller ikke kompenseres af alternative finansieringsforanstaltninger.</w:t>
      </w:r>
    </w:p>
    <w:p>
      <w:pPr>
        <w:jc w:val="both"/>
        <w:rPr>
          <w:rFonts w:ascii="Times New Roman" w:hAnsi="Times New Roman" w:cs="Times New Roman"/>
          <w:noProof/>
          <w:sz w:val="24"/>
          <w:szCs w:val="24"/>
        </w:rPr>
      </w:pPr>
      <w:r>
        <w:rPr>
          <w:rFonts w:ascii="Times New Roman" w:hAnsi="Times New Roman"/>
          <w:noProof/>
          <w:sz w:val="24"/>
        </w:rPr>
        <w:t>Det Økonomiske og Finansielle Udvalg bakkede i sin udtalelse af 11. juni 2019 i henhold til artikel 126, stk. 4, i traktaten op om konklusionen i den rapport, Kommissionen har udarbejdet. Det Økonomiske og Finansielle Udvalg opfordrede også Italien "til at træffe de foranstaltninger, der var nødvendige for at sikre overholdelse af bestemmelserne i stabilitets- og vækstpagten" i overensstemmelse med proceduren i forbindelse med uforholdsmæssigt store underskud, og tilføjede, at "fremover kan yderligere elementer fra Italien tages i betragtning" af Kommissionen og udvalget.</w:t>
      </w:r>
    </w:p>
    <w:p>
      <w:pPr>
        <w:jc w:val="both"/>
        <w:rPr>
          <w:rFonts w:ascii="Times New Roman" w:hAnsi="Times New Roman" w:cs="Times New Roman"/>
          <w:noProof/>
          <w:sz w:val="24"/>
          <w:szCs w:val="24"/>
        </w:rPr>
      </w:pPr>
      <w:r>
        <w:rPr>
          <w:rFonts w:ascii="Times New Roman" w:hAnsi="Times New Roman"/>
          <w:noProof/>
          <w:sz w:val="24"/>
        </w:rPr>
        <w:t xml:space="preserve">Den 1. juli vedtog den italienske regering via sit halvårlige budget for 2019 en finanspolitisk korrektion for 2019 på i alt </w:t>
      </w:r>
      <w:r>
        <w:rPr>
          <w:rFonts w:ascii="Times New Roman" w:hAnsi="Times New Roman"/>
          <w:b/>
          <w:noProof/>
          <w:sz w:val="24"/>
        </w:rPr>
        <w:t>7,6 mia. EUR</w:t>
      </w:r>
      <w:r>
        <w:rPr>
          <w:rFonts w:ascii="Times New Roman" w:hAnsi="Times New Roman"/>
          <w:noProof/>
          <w:sz w:val="24"/>
        </w:rPr>
        <w:t xml:space="preserve"> eller </w:t>
      </w:r>
      <w:r>
        <w:rPr>
          <w:rFonts w:ascii="Times New Roman" w:hAnsi="Times New Roman"/>
          <w:b/>
          <w:noProof/>
          <w:sz w:val="24"/>
        </w:rPr>
        <w:t>0,42 % af BNP</w:t>
      </w:r>
      <w:r>
        <w:rPr>
          <w:rFonts w:ascii="Times New Roman" w:hAnsi="Times New Roman"/>
          <w:noProof/>
          <w:sz w:val="24"/>
        </w:rPr>
        <w:t xml:space="preserve"> nominelt set og 8,2 mia. EUR eller 0,45 % af BNP strukturelt set</w:t>
      </w:r>
      <w:r>
        <w:rPr>
          <w:rStyle w:val="FootnoteReference"/>
          <w:rFonts w:ascii="Times New Roman" w:hAnsi="Times New Roman"/>
          <w:noProof/>
          <w:sz w:val="24"/>
        </w:rPr>
        <w:footnoteReference w:id="2"/>
      </w:r>
      <w:r>
        <w:rPr>
          <w:rFonts w:ascii="Times New Roman" w:hAnsi="Times New Roman"/>
          <w:noProof/>
          <w:sz w:val="24"/>
        </w:rPr>
        <w:t>. Disse foranstaltninger, som forbedrer Italiens overholdelse af den forebyggende del i 2019, består primært af indtægter, der er højere end forventet</w:t>
      </w:r>
      <w:r>
        <w:rPr>
          <w:rStyle w:val="FootnoteReference"/>
          <w:rFonts w:ascii="Times New Roman" w:hAnsi="Times New Roman"/>
          <w:noProof/>
          <w:sz w:val="24"/>
        </w:rPr>
        <w:footnoteReference w:id="3"/>
      </w:r>
      <w:r>
        <w:rPr>
          <w:rFonts w:ascii="Times New Roman" w:hAnsi="Times New Roman"/>
          <w:noProof/>
          <w:sz w:val="24"/>
        </w:rPr>
        <w:t>, og af offentlige udgifter, der er lavere end forventet, som følge af budgetgennemførelsen i 2019, idet sidstnævnte garanteres yderligere via en bestemmelse om indefrysning af udgifter, der for nylig blev lovgivet om (til en værdi af 1,5 mia. EUR eller 0,08 % af BNP), og som skal tages i brug senest den 15. september 2019, såfremt det nye finanspolitiske mål ikke nås. </w:t>
      </w:r>
    </w:p>
    <w:p>
      <w:pPr>
        <w:jc w:val="both"/>
        <w:rPr>
          <w:rFonts w:ascii="Times New Roman" w:hAnsi="Times New Roman" w:cs="Times New Roman"/>
          <w:noProof/>
          <w:sz w:val="24"/>
          <w:szCs w:val="24"/>
        </w:rPr>
      </w:pPr>
      <w:r>
        <w:rPr>
          <w:rFonts w:ascii="Times New Roman" w:hAnsi="Times New Roman"/>
          <w:noProof/>
          <w:sz w:val="24"/>
        </w:rPr>
        <w:t xml:space="preserve">Generelt sikrer budgetjusteringen og den nye bestemmelse om indefrysning af udgifter, at de indtil nu opståede højere indtægter og lavere udgifter benyttes til at nedbringe underskuddet og gælden og ikke til andre foranstaltninger i resten af 2019. Dette understøttes desuden af en revision af lovgivningen om gennemførelsen af borgerløn og ordningen for tidlig pensionering, som fjerner muligheden for at overføre uudnyttede ressourcer, der er øremærket til disse to foranstaltninger, mellem de to ordninger og til andre budgetår. </w:t>
      </w:r>
    </w:p>
    <w:p>
      <w:pPr>
        <w:jc w:val="both"/>
        <w:rPr>
          <w:rFonts w:ascii="Times New Roman" w:hAnsi="Times New Roman" w:cs="Times New Roman"/>
          <w:noProof/>
          <w:sz w:val="24"/>
          <w:szCs w:val="24"/>
        </w:rPr>
      </w:pPr>
      <w:r>
        <w:rPr>
          <w:rFonts w:ascii="Times New Roman" w:hAnsi="Times New Roman"/>
          <w:noProof/>
          <w:sz w:val="24"/>
        </w:rPr>
        <w:t xml:space="preserve">Med disse foranstaltninger forventes Italiens samlede underskud nu at blive på </w:t>
      </w:r>
      <w:r>
        <w:rPr>
          <w:rFonts w:ascii="Times New Roman" w:hAnsi="Times New Roman"/>
          <w:b/>
          <w:noProof/>
          <w:sz w:val="24"/>
        </w:rPr>
        <w:t>2,04 % af BNP i 2019</w:t>
      </w:r>
      <w:r>
        <w:rPr>
          <w:rFonts w:ascii="Times New Roman" w:hAnsi="Times New Roman"/>
          <w:noProof/>
          <w:sz w:val="24"/>
        </w:rPr>
        <w:t xml:space="preserve"> (sammenlignet med 2,5 % i Kommissionens forårsprognose 2019), hvorved målet for underskuddet, som blev vedtaget af det italienske parlament i december 2018 gennem budgettet for 2019, opfyldes, på trods af den betydelige forværring af de makroøkonomiske udsigter, der er konstateret siden da. </w:t>
      </w:r>
    </w:p>
    <w:p>
      <w:pPr>
        <w:jc w:val="both"/>
        <w:rPr>
          <w:rFonts w:ascii="Times New Roman" w:hAnsi="Times New Roman" w:cs="Times New Roman"/>
          <w:noProof/>
          <w:sz w:val="24"/>
          <w:szCs w:val="24"/>
        </w:rPr>
      </w:pPr>
      <w:r>
        <w:rPr>
          <w:rFonts w:ascii="Times New Roman" w:hAnsi="Times New Roman"/>
          <w:noProof/>
          <w:sz w:val="24"/>
        </w:rPr>
        <w:t xml:space="preserve">Dette svarer til en strukturel forbedring på ca. </w:t>
      </w:r>
      <w:r>
        <w:rPr>
          <w:rFonts w:ascii="Times New Roman" w:hAnsi="Times New Roman"/>
          <w:b/>
          <w:noProof/>
          <w:sz w:val="24"/>
        </w:rPr>
        <w:t>0,2 % af BNP (sammenlignet med en forværring på 0,2 % i Kommissionens forårsprognose for 2019)</w:t>
      </w:r>
      <w:r>
        <w:rPr>
          <w:rFonts w:ascii="Times New Roman" w:hAnsi="Times New Roman"/>
          <w:noProof/>
          <w:sz w:val="24"/>
        </w:rPr>
        <w:t xml:space="preserve">. Italien forventes derfor </w:t>
      </w:r>
      <w:r>
        <w:rPr>
          <w:rFonts w:ascii="Times New Roman" w:hAnsi="Times New Roman"/>
          <w:b/>
          <w:noProof/>
          <w:sz w:val="24"/>
        </w:rPr>
        <w:t>bredt at overholde</w:t>
      </w:r>
      <w:r>
        <w:rPr>
          <w:rFonts w:ascii="Times New Roman" w:hAnsi="Times New Roman"/>
          <w:noProof/>
          <w:sz w:val="24"/>
        </w:rPr>
        <w:t xml:space="preserve"> den forebyggende del af stabilitets- og vækstpagten i 2019, hvorved den afvigelse på 0,3 % af BNP, som forventes ud fra Kommissionens forårsprognose, afhjælpes. Endvidere har regeringen gjort en ekstra finanspolitisk indsats for 2019, som er af en sådan karakter, at den også delvis kompenserer for forværringen af den strukturelle saldo i 2018. </w:t>
      </w:r>
    </w:p>
    <w:p>
      <w:pPr>
        <w:jc w:val="both"/>
        <w:rPr>
          <w:rFonts w:ascii="Times New Roman" w:hAnsi="Times New Roman" w:cs="Times New Roman"/>
          <w:noProof/>
          <w:sz w:val="24"/>
          <w:szCs w:val="24"/>
        </w:rPr>
      </w:pPr>
      <w:r>
        <w:rPr>
          <w:rFonts w:ascii="Times New Roman" w:hAnsi="Times New Roman"/>
          <w:noProof/>
          <w:sz w:val="24"/>
        </w:rPr>
        <w:t>Hvad angår 2020 har den italienske regering i et brev af 2. juli 2019 til Kommissionen forpligtet sig til at opnå en strukturel forbedring i overensstemmelse med kravene i stabilitets- og vækstpagten ved at sikre, at den momsforhøjelse, der er lovgivet om som en sikkerhedsklausul for samme år, fuldt ud kompenseres af udlignende finanspolitiske foranstaltninger, bl.a. en udgiftsanalyse og en revision af skatteudgifter.</w:t>
      </w:r>
    </w:p>
    <w:p>
      <w:pPr>
        <w:jc w:val="both"/>
        <w:rPr>
          <w:rFonts w:ascii="Times New Roman" w:hAnsi="Times New Roman" w:cs="Times New Roman"/>
          <w:noProof/>
          <w:sz w:val="24"/>
          <w:szCs w:val="24"/>
        </w:rPr>
      </w:pPr>
      <w:r>
        <w:rPr>
          <w:rFonts w:ascii="Times New Roman" w:hAnsi="Times New Roman"/>
          <w:noProof/>
          <w:sz w:val="24"/>
        </w:rPr>
        <w:t>Den italienske regering har endvidere i samme brev forpligtet sig til at lade en finanspolitisk konsolidering gå hånd i hånd med strukturreformer med henblik på at forbedre den italienske økonomis vækstpotentiale i overensstemmelse med de landespecifikke henstillinger, som Kommissionen afgav i forbindelse med det europæiske semester den 5. juni. Regeringen anfører, at sådanne reformer navnlig bør sigte på at forbedre effektiviteten i den offentlige sektor og i retssystemet samt at forbedre den menneskelige kapital og produktiviteten.</w:t>
      </w:r>
    </w:p>
    <w:p>
      <w:pPr>
        <w:jc w:val="both"/>
        <w:rPr>
          <w:rFonts w:ascii="Times New Roman" w:hAnsi="Times New Roman" w:cs="Times New Roman"/>
          <w:b/>
          <w:noProof/>
          <w:sz w:val="24"/>
          <w:szCs w:val="24"/>
        </w:rPr>
      </w:pPr>
      <w:r>
        <w:rPr>
          <w:rFonts w:ascii="Times New Roman" w:hAnsi="Times New Roman"/>
          <w:b/>
          <w:noProof/>
          <w:sz w:val="24"/>
        </w:rPr>
        <w:t>Det er Kommissionens opfattelse, at alt dette generelt set er nok til ikke at foreslå Rådet at indlede proceduren i forbindelse med uforholdsmæssigt store underskud grundet Italiens manglende overholdelse af gældskriteriet i 2018 på nuværende tidspunkt. Kommissionen vil holde øje med, at ovenstående reelt gennemføres: Den vil nøje overvåge, at budgettet for 2019 gennemføres, og vurdere, om udkastet til budgetplan for 2020 er i overensstemmelse med stabilitets- og vækstpagten. Endvidere er det meget vigtigt, at der gøres fremskridt med strukturreformerne i de landespecifikke henstillinger, således at der kan skabes større vækst, som kan bidrage til, at gældskvoten nedbringes. Kommissionen vil vurdere, hvordan disse reformer gennemføres som led i det europæiske semester.</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1065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Rapport fra Kommissionen COM(2019) 532 final "Italy, Report prepared in accordance with Article 126(3) of the Treaty on the Functioning of the European Union", Bruxelles, den 5.6.2018 (ikke oversat til dansk).</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Forskellen skyldes engangsindtægter fra skatteamnestien ("rottamazione") på ca. 0,6 mia. EUR, der er lavere end forventet, og som forringer det finanspolitiske mål nominelt, men ikke strukturelt. Den bevilling på 0,18 % af BNP, som Italien tidligere har fået tildelt til "usædvanlige begivenheder" i forbindelse med sammenstyrtningen af Morandi-broen og hydrogeologiske risici, indgår endnu ikke i disse beregninger, da den skal bekræftes på grundlag af endelige tal for 2019.</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Yderligere indtægter beløber sig til ca. 6,2 mia. EUR, heraf højere skatteindtægter på 2,9 mia. EUR, højere socialsikringsbidrag på 0,6 mia. EUR og andre indtægter, herunder højere udbytte fra Italiens centralbank og det offentlige deponerings- og låneinstitut (Cassa Depositi e Prestiti), på 2,7 mia. EUR. Navnlig de højere skatteindtægter på 2,9 mia. EUR skyldes: i) en bedre udvikling i den personlige indkomstskat end forventet svarende til 0,4 mia. EUR, ii) en stigning i momsindtægter svarende til 0,35 mia. EUR, iii) en stigning i indtægter fra lotteri og spil svarende til 0,2 mia. EUR, iv) betaling af tidligere skattegæld fra et stort italiensk firma (Kering Group — Gucci) svarende til 1 mia. EUR og v) andre indtægter (f.eks. fra CO2-auktioner) svarende til ca. 0,95 mia.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C3A02"/>
    <w:multiLevelType w:val="hybridMultilevel"/>
    <w:tmpl w:val="4BE8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10F5CAD-CFBB-4BC9-9288-F7B7E90F8BC5"/>
    <w:docVar w:name="LW_COVERPAGE_TYPE" w:val="1"/>
    <w:docVar w:name="LW_CROSSREFERENCE" w:val="{SWD(2019) 430 final}"/>
    <w:docVar w:name="LW_DocType" w:val="NORMAL"/>
    <w:docVar w:name="LW_EMISSION" w:val="3.7.2019"/>
    <w:docVar w:name="LW_EMISSION_ISODATE" w:val="2019-07-03"/>
    <w:docVar w:name="LW_EMISSION_LOCATION" w:val="BRX"/>
    <w:docVar w:name="LW_EMISSION_PREFIX" w:val="Bruxelles, den "/>
    <w:docVar w:name="LW_EMISSION_SUFFIX" w:val=" "/>
    <w:docVar w:name="LW_ID_DOCTYPE_NONLW" w:val="CP-010"/>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3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gt;om den finanspolitiske overvågningscyklus, foråret 2019 - Italien&lt;/FMT&gt;_x000b_"/>
    <w:docVar w:name="LW_TYPE.DOC.CP" w:val="MEDDELELSE FRA KOMMISSIONEN TIL RÅDE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70FA99E-7AC9-4182-BD28-609A507C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861</Words>
  <Characters>4827</Characters>
  <Application>Microsoft Office Word</Application>
  <DocSecurity>0</DocSecurity>
  <Lines>73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21</cp:revision>
  <dcterms:created xsi:type="dcterms:W3CDTF">2019-07-03T14:25:00Z</dcterms:created>
  <dcterms:modified xsi:type="dcterms:W3CDTF">2019-07-05T08:32:00Z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