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07ADC3FE-A9BF-445A-9DC9-FFB0B86ABA15" style="width:450.75pt;height:361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</w:rPr>
        <w:lastRenderedPageBreak/>
        <w:t>DOKUMENTI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</w:rPr>
        <w:t>PREDLOG splošnega proračuna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Evropske unije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za proračunsko leto 2020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pStyle w:val="ListParagraph"/>
        <w:numPr>
          <w:ilvl w:val="0"/>
          <w:numId w:val="1"/>
        </w:num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Splošni uvod</w:t>
      </w:r>
    </w:p>
    <w:p>
      <w:pPr>
        <w:pStyle w:val="ListParagraph"/>
        <w:numPr>
          <w:ilvl w:val="0"/>
          <w:numId w:val="1"/>
        </w:num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Splošni izkaz prihodkov</w:t>
      </w:r>
    </w:p>
    <w:p>
      <w:pPr>
        <w:pStyle w:val="ListParagraph"/>
        <w:numPr>
          <w:ilvl w:val="0"/>
          <w:numId w:val="1"/>
        </w:num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Izkaz prihodkov in odhodkov po oddelkih: 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Oddelek 1</w:t>
      </w:r>
      <w:r>
        <w:rPr>
          <w:rFonts w:ascii="Times New Roman" w:eastAsia="Times New Roman" w:hAnsi="Times New Roman"/>
          <w:noProof/>
          <w:sz w:val="28"/>
          <w:szCs w:val="28"/>
        </w:rPr>
        <w:t>:   Evropski parlament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 2:   Evropski svet in Svet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 3:   Evropska komisija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 4:   Sodišče Evropske unije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 5:   Računsko sodišče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 6:   Evropski ekonomsko-socialni odbor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 7:   Odbor regij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 8:   Evropski varuh človekovih pravic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Oddelek 9:   Evropski nadzornik za varstvo podatkov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851" w:right="1512" w:firstLine="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Oddelek 10: Evropska služba za zunanje delovanje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5">
        <w:r>
          <w:rPr>
            <w:rStyle w:val="Hyperlink"/>
            <w:rFonts w:ascii="Times New Roman" w:hAnsi="Times New Roman"/>
            <w:noProof/>
            <w:sz w:val="24"/>
          </w:rPr>
          <w:t>https://eur-lex.europa.eu/budget/www/index-sl.htm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</w:tc>
      </w:tr>
    </w:tbl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BD2"/>
    <w:multiLevelType w:val="hybridMultilevel"/>
    <w:tmpl w:val="E47CE554"/>
    <w:lvl w:ilvl="0" w:tplc="5606BD70">
      <w:numFmt w:val="bullet"/>
      <w:lvlText w:val="—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66CF"/>
    <w:multiLevelType w:val="hybridMultilevel"/>
    <w:tmpl w:val="0A5A59C0"/>
    <w:lvl w:ilvl="0" w:tplc="A8928F48">
      <w:start w:val="1"/>
      <w:numFmt w:val="bullet"/>
      <w:lvlText w:val="̶"/>
      <w:lvlJc w:val="left"/>
      <w:pPr>
        <w:ind w:left="720" w:hanging="360"/>
      </w:pPr>
      <w:rPr>
        <w:rFonts w:ascii="Calibri" w:hAnsi="Calibri" w:cs="Times New Roman" w:hint="default"/>
      </w:rPr>
    </w:lvl>
    <w:lvl w:ilvl="1" w:tplc="AFCA7D6C">
      <w:numFmt w:val="bullet"/>
      <w:lvlText w:val="—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D5327"/>
    <w:multiLevelType w:val="hybridMultilevel"/>
    <w:tmpl w:val="83BE8D90"/>
    <w:lvl w:ilvl="0" w:tplc="B470CC0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07ADC3FE-A9BF-445A-9DC9-FFB0B86ABA15"/>
    <w:docVar w:name="LW_COVERPAGE_TYPE" w:val="1"/>
    <w:docVar w:name="LW_CROSSREFERENCE" w:val="&lt;UNUSED&gt;"/>
    <w:docVar w:name="LW_DocType" w:val="NORMAL"/>
    <w:docVar w:name="LW_EMISSION" w:val="5.7.2019"/>
    <w:docVar w:name="LW_EMISSION_ISODATE" w:val="2019-07-05"/>
    <w:docVar w:name="LW_EMISSION_LOCATION" w:val="BRX"/>
    <w:docVar w:name="LW_EMISSION_PREFIX" w:val="Bruselj, "/>
    <w:docVar w:name="LW_EMISSION_SUFFIX" w:val=" "/>
    <w:docVar w:name="LW_ID_DOCTYPE_NONLW" w:val="CP-035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Splo\u353?ni uvod_x000d__x000d__x000d__x000d__x000b_- Splo\u353?ni izkaz prihodkov_x000d__x000d__x000d__x000d__x000b_- Izkaz prihodkov in odhodkov po oddelkih"/>
    <w:docVar w:name="LW_TYPE.DOC.CP" w:val="PREDLOG splo\u353?nega prora\u269?una_x000b_Evropske unije_x000b_za prora\u269?unsko leto 2020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sl-SI" w:eastAsia="sl-S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sl-SI" w:eastAsia="sl-S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budget/www/index-sl.ht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580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2014-05-21T15:05:00Z</cp:lastPrinted>
  <dcterms:created xsi:type="dcterms:W3CDTF">2019-06-27T10:35:00Z</dcterms:created>
  <dcterms:modified xsi:type="dcterms:W3CDTF">2019-07-05T07:28:00Z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