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E32A9E5-6B6E-4153-94E9-9FF99F2E19EC" style="width:450.75pt;height:366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Przedmiot wniosku</w:t>
      </w:r>
    </w:p>
    <w:p>
      <w:pPr>
        <w:rPr>
          <w:rFonts w:eastAsia="Arial Unicode MS"/>
          <w:noProof/>
        </w:rPr>
      </w:pPr>
      <w:r>
        <w:rPr>
          <w:noProof/>
        </w:rPr>
        <w:t>Niniejszy wniosek dotyczy decyzji ustanawiającej stanowisko, jakie należy zająć w imieniu Unii w ramach Konwencji o ochronie wędrownych gatunków dzikich zwierząt</w:t>
      </w:r>
      <w:r>
        <w:t xml:space="preserve"> </w:t>
      </w:r>
      <w:r>
        <w:rPr>
          <w:noProof/>
        </w:rPr>
        <w:t>w</w:t>
      </w:r>
      <w:r>
        <w:t> </w:t>
      </w:r>
      <w:r>
        <w:rPr>
          <w:noProof/>
        </w:rPr>
        <w:t>związku z przedłożeniem propozycji dotyczących decyzji podczas 13. sesji Konferencji Stron w celu wprowadzenia poprawek w załącznikach do konwencji.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Kontekst wniosku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Konwencja o ochronie wędrownych gatunków dzikich zwierząt</w:t>
      </w:r>
    </w:p>
    <w:p>
      <w:pPr>
        <w:rPr>
          <w:rFonts w:eastAsia="Arial Unicode MS"/>
          <w:noProof/>
        </w:rPr>
      </w:pPr>
      <w:r>
        <w:rPr>
          <w:noProof/>
        </w:rPr>
        <w:t>Konwencja o ochronie wędrownych gatunków dzikich zwierząt („konwencja”) ma na celu ochronę lądowych, morskich i ptasich gatunków wędrownych na całym obszarze ich występowania. Jest ona traktatem międzyrządowym zawartym pod egidą Programu Narodów Zjednoczonych ds. Ochrony Środowiska, dotyczącym ochrony dzikiej fauny i siedlisk w skali globalnej. Gatunki wędrowne objęte ochroną wymieniono w załączniku I (gatunki zagrożone) oraz załączniku II (gatunki objęte porozumieniami) do konwencji. Konwencja weszła w życie dnia 1 listopada 1983 r.</w:t>
      </w:r>
    </w:p>
    <w:p>
      <w:pPr>
        <w:rPr>
          <w:rFonts w:eastAsia="Arial Unicode MS"/>
          <w:noProof/>
        </w:rPr>
      </w:pPr>
      <w:r>
        <w:rPr>
          <w:noProof/>
        </w:rPr>
        <w:t>Unia Europejska jest stroną tej konwencji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Konferencja Stron</w:t>
      </w:r>
    </w:p>
    <w:p>
      <w:pPr>
        <w:rPr>
          <w:noProof/>
        </w:rPr>
      </w:pPr>
      <w:r>
        <w:rPr>
          <w:noProof/>
        </w:rPr>
        <w:t xml:space="preserve">Konferencja Stron jest organem decyzyjnym konwencji uprawnionym do przeprowadzania oceny stanu ochrony gatunków wędrownych i w konsekwencji do wprowadzania poprawek w załącznikach I i II do konwencji. Zgodnie z art. XI konwencji propozycje poprawek mogą być zgłaszane przez każdą ze stron i przyjmowane są większością dwóch trzecich głosów obecnych i głosujących stron. </w:t>
      </w:r>
    </w:p>
    <w:p>
      <w:pPr>
        <w:rPr>
          <w:noProof/>
        </w:rPr>
      </w:pPr>
      <w:r>
        <w:rPr>
          <w:noProof/>
        </w:rPr>
        <w:t>Trzynasta sesja Konferencji Stron odbędzie się w Gandhinagar (Indie) w dniach od 15 do 22 lutego 2020 r. Termin składania propozycji poprawek, który ustalił Sekretariat konwencji, zgodnie z art. XI ust. 3 upływa dnia 19 września 2019 r. Rada powinna zatem podjąć decyzję w celu ustalenia stanowiska, jakie należy zająć w imieniu Unii na trzynastej sesji Konferencji Stron w odniesieniu do złożenia propozycji poprawek.</w:t>
      </w:r>
    </w:p>
    <w:p>
      <w:pPr>
        <w:rPr>
          <w:rFonts w:eastAsia="Arial Unicode MS"/>
          <w:noProof/>
        </w:rPr>
      </w:pPr>
      <w:r>
        <w:rPr>
          <w:noProof/>
        </w:rPr>
        <w:t>Przed trzynastą sesją Konferencji Stron Sekretariat konwencji może przedstawić zgłoszone przez inne strony propozycje poprawek do załączników I i II do konwencji, które również mogą wymagać podjęcia decyzji dotyczącej ustalenia stanowiska, jakie należy zająć w imieniu Unii w odniesieniu do takich propozycji poprawek.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 xml:space="preserve">Planowany akt Konferencji Stron </w:t>
      </w:r>
    </w:p>
    <w:p>
      <w:pPr>
        <w:rPr>
          <w:rFonts w:eastAsia="Arial Unicode MS"/>
          <w:noProof/>
        </w:rPr>
      </w:pPr>
      <w:r>
        <w:rPr>
          <w:noProof/>
        </w:rPr>
        <w:t>W związku z trzynastą sesją Konferencji Stron proponuje się, by Unia zgłosiła propozycje poprawek do załącznika I do konwencji w celu zwiększenia ochrony jednego gatunku ptaków (</w:t>
      </w:r>
      <w:r>
        <w:rPr>
          <w:i/>
          <w:noProof/>
          <w:sz w:val="22"/>
        </w:rPr>
        <w:t>Tetrax tetrax</w:t>
      </w:r>
      <w:r>
        <w:rPr>
          <w:noProof/>
        </w:rPr>
        <w:t>) oraz do załącznika II do konwencji w celu zwiększenia ochrony tego samego gatunku ptaków (</w:t>
      </w:r>
      <w:r>
        <w:rPr>
          <w:i/>
          <w:noProof/>
          <w:sz w:val="22"/>
        </w:rPr>
        <w:t>Tetrax tetrax</w:t>
      </w:r>
      <w:r>
        <w:rPr>
          <w:noProof/>
        </w:rPr>
        <w:t>) oraz dwóch gatunków rekina (</w:t>
      </w:r>
      <w:r>
        <w:rPr>
          <w:i/>
          <w:noProof/>
          <w:sz w:val="22"/>
        </w:rPr>
        <w:t xml:space="preserve">Galeorhinus </w:t>
      </w:r>
      <w:r>
        <w:rPr>
          <w:i/>
          <w:noProof/>
        </w:rPr>
        <w:t>galeus</w:t>
      </w:r>
      <w:r>
        <w:rPr>
          <w:noProof/>
        </w:rPr>
        <w:t xml:space="preserve"> i </w:t>
      </w:r>
      <w:r>
        <w:rPr>
          <w:i/>
          <w:noProof/>
          <w:sz w:val="22"/>
        </w:rPr>
        <w:t>Sphyrna zygaena</w:t>
      </w:r>
      <w:r>
        <w:rPr>
          <w:noProof/>
          <w:sz w:val="22"/>
        </w:rPr>
        <w:t>)</w:t>
      </w:r>
      <w:r>
        <w:rPr>
          <w:rStyle w:val="Bodytext2Italic"/>
          <w:rFonts w:eastAsiaTheme="majorEastAsia"/>
          <w:noProof/>
        </w:rPr>
        <w:t xml:space="preserve"> </w:t>
      </w:r>
      <w:r>
        <w:rPr>
          <w:noProof/>
        </w:rPr>
        <w:t>na całym obszarze ich występowania, w tym poza Unią.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Planowany akt, jeśli zostanie przyjęty, stanie się wiążący dla stron zgodnie z art. XI konwencji, który stanowi, że poprawka wprowadzona do załączników wchodzi w życie </w:t>
      </w:r>
      <w:r>
        <w:rPr>
          <w:noProof/>
        </w:rPr>
        <w:lastRenderedPageBreak/>
        <w:t>wobec wszystkich stron po upływie dziewięćdziesięciu dni od sesji Konferencji Stron, na której została przyjęta, z wyjątkiem tych stron, które zgłaszały zastrzeżenia</w:t>
      </w:r>
      <w:r>
        <w:t>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Stanowisko, jakie należy zająć w imieniu Unii</w:t>
      </w:r>
    </w:p>
    <w:p>
      <w:pPr>
        <w:rPr>
          <w:noProof/>
        </w:rPr>
      </w:pPr>
      <w:r>
        <w:rPr>
          <w:noProof/>
        </w:rPr>
        <w:t>Propozycje Unii dotyczące poprawek do załączników opierają się na następujących przesłankach: 1) włączenie tych gatunków jest naukowo uzasadnione; 2) wspomniane włączenie jest spójne z prawodawstwem UE; oraz 3) Unia jest zobowiązana do współpracy międzynarodowej na rzecz ochrony różnorodności biologicznej.</w:t>
      </w:r>
    </w:p>
    <w:p>
      <w:pPr>
        <w:rPr>
          <w:noProof/>
          <w:sz w:val="22"/>
        </w:rPr>
      </w:pPr>
      <w:r>
        <w:rPr>
          <w:noProof/>
        </w:rPr>
        <w:t>Wniosek jest spójny z założeniami siódmego unijnego programu działań w zakresie środowiska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i europejskiej strategii ochrony różnorodności biologicznej do 2020 r.</w:t>
      </w:r>
      <w:r>
        <w:rPr>
          <w:rStyle w:val="FootnoteReference"/>
          <w:noProof/>
        </w:rPr>
        <w:footnoteReference w:id="3"/>
      </w:r>
      <w:r>
        <w:rPr>
          <w:noProof/>
        </w:rPr>
        <w:t>, w szczególności z celem nr 6: Pomoc na rzecz zapobiegania utracie światowej różnorodności biologicznej. Wniosek ten nie wymagałby żadnych zmian w prawie Unii, ponieważ dotyczy on gatunków objętych już odpowiednią ochroną na mocy prawa Unii, w szczególności dyrektywy ptasiej</w:t>
      </w:r>
      <w:r>
        <w:rPr>
          <w:rStyle w:val="FootnoteReference"/>
          <w:noProof/>
        </w:rPr>
        <w:footnoteReference w:id="4"/>
      </w:r>
      <w:r>
        <w:rPr>
          <w:noProof/>
          <w:vertAlign w:val="superscript"/>
        </w:rPr>
        <w:t xml:space="preserve"> </w:t>
      </w:r>
      <w:r>
        <w:rPr>
          <w:noProof/>
        </w:rPr>
        <w:t>i</w:t>
      </w:r>
      <w:r>
        <w:rPr>
          <w:noProof/>
          <w:vertAlign w:val="superscript"/>
        </w:rPr>
        <w:t> </w:t>
      </w:r>
      <w:r>
        <w:rPr>
          <w:noProof/>
        </w:rPr>
        <w:t>wspólnej unijnej polityki rybołówstwa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  <w:r>
        <w:rPr>
          <w:noProof/>
          <w:sz w:val="22"/>
          <w:vertAlign w:val="superscript"/>
        </w:rPr>
        <w:t xml:space="preserve"> </w:t>
      </w:r>
    </w:p>
    <w:p>
      <w:pPr>
        <w:rPr>
          <w:noProof/>
        </w:rPr>
      </w:pPr>
      <w:r>
        <w:rPr>
          <w:noProof/>
        </w:rPr>
        <w:t>Wniosek nie skutkuje żadnymi nowymi wymogami w zakresie monitorowania lub sprawozdawczości. Plany wdrożenia i monitorowanie wchodziłyby w zakres regularnej działalności w zakresie planowania i sprawozdawczości na podstawie konwencji. Ponadto wniosek nie ma wpływu na budżet.</w:t>
      </w:r>
    </w:p>
    <w:p>
      <w:pPr>
        <w:rPr>
          <w:noProof/>
          <w:szCs w:val="24"/>
        </w:rPr>
      </w:pPr>
      <w:r>
        <w:rPr>
          <w:noProof/>
        </w:rPr>
        <w:t>Odbyła się nieformalna wymiana wstępnych poglądów z państwami członkowskimi, w drodze pisemnych konsultacji z państwami członkowskimi należącymi do grupy koordynacyjnej ds. różnorodności biologicznej i przyrody (CGBN) oraz z grupą ekspertów ds. dyrektyw ptasiej i siedliskowej (NADEG).</w:t>
      </w:r>
    </w:p>
    <w:p>
      <w:pPr>
        <w:rPr>
          <w:noProof/>
          <w:sz w:val="22"/>
        </w:rPr>
      </w:pPr>
      <w:r>
        <w:rPr>
          <w:noProof/>
        </w:rPr>
        <w:t>W związku z powyższym stanowisko, jakie należy zająć w imieniu Unii, powinno mieć na celu upoważnienie Komisji do przedłożenia wyżej wspomnianych propozycji Sekretariatowi konwencji.</w:t>
      </w:r>
      <w:r>
        <w:rPr>
          <w:noProof/>
          <w:sz w:val="22"/>
        </w:rPr>
        <w:t xml:space="preserve"> 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Podstawa prawna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Proceduralna podstawa prawna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Zasady</w:t>
      </w:r>
    </w:p>
    <w:p>
      <w:pPr>
        <w:rPr>
          <w:noProof/>
        </w:rPr>
      </w:pPr>
      <w:r>
        <w:rPr>
          <w:noProof/>
        </w:rPr>
        <w:t>Art. 218 ust. 9 Traktatu o Funkcjonowaniu Unii Europejskiej (TFUE) określa tryb przyjmowania decyzji ustalających „stanowiska, które mają być zajęte w imieniu Unii w ramach organu utworzonego przez umowę, gdy organ ten ma przyjąć akty mające skutki prawne, z wyjątkiem aktów uzupełniających lub zmieniających ramy instytucjonalne umowy”.</w:t>
      </w:r>
    </w:p>
    <w:p>
      <w:pPr>
        <w:rPr>
          <w:noProof/>
        </w:rPr>
      </w:pPr>
      <w:r>
        <w:rPr>
          <w:noProof/>
        </w:rPr>
        <w:t xml:space="preserve">Pojęcie „akty mające skutki prawne” obejmuje akty, które mają skutki prawne na mocy przepisów prawa międzynarodowego dotyczących danego organu. Obejmuje ono ponadto </w:t>
      </w:r>
      <w:r>
        <w:rPr>
          <w:noProof/>
        </w:rPr>
        <w:lastRenderedPageBreak/>
        <w:t>instrumenty, które nie są wiążące na mocy prawa międzynarodowego, ale mogą „w sposób decydujący wywrzeć wpływ na treść przepisów przyjętych przez prawodawcę Unii”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Zastosowanie w niniejszej sprawie</w:t>
      </w:r>
    </w:p>
    <w:p>
      <w:pPr>
        <w:rPr>
          <w:noProof/>
        </w:rPr>
      </w:pPr>
      <w:r>
        <w:rPr>
          <w:noProof/>
        </w:rPr>
        <w:t>Konferencja Stron jest organem utworzonym na mocy porozumienia, a mianowicie Konwencji o ochronie wędrownych gatunków dzikich zwierząt.</w:t>
      </w:r>
    </w:p>
    <w:p>
      <w:r>
        <w:rPr>
          <w:noProof/>
        </w:rPr>
        <w:t>Akt, który ma zostać przyjęty przez Konferencję Stron, stanowi akt mający skutki prawne. Planowany akt będzie wiążący na mocy prawa międzynarodowego zgodnie z art. XI</w:t>
      </w:r>
      <w:r>
        <w:t xml:space="preserve"> </w:t>
      </w:r>
      <w:r>
        <w:rPr>
          <w:noProof/>
        </w:rPr>
        <w:t>Konwencji o ochronie wędrownych gatunków dzikich zwierząt</w:t>
      </w:r>
      <w:r>
        <w:t xml:space="preserve">. </w:t>
      </w:r>
    </w:p>
    <w:p>
      <w:pPr>
        <w:rPr>
          <w:noProof/>
        </w:rPr>
      </w:pPr>
      <w:r>
        <w:rPr>
          <w:noProof/>
        </w:rPr>
        <w:t>Planowany akt nie uzupełnia ani nie zmienia ram instytucjonalnych konwencji.</w:t>
      </w:r>
    </w:p>
    <w:p>
      <w:pPr>
        <w:rPr>
          <w:noProof/>
        </w:rPr>
      </w:pPr>
      <w:r>
        <w:rPr>
          <w:noProof/>
        </w:rPr>
        <w:t>W związku z tym proceduralną podstawą prawną proponowanej decyzji jest art. 218 ust. 9 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Materialna podstawa prawna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Zasady</w:t>
      </w:r>
    </w:p>
    <w:p>
      <w:pPr>
        <w:rPr>
          <w:noProof/>
        </w:rPr>
      </w:pPr>
      <w:r>
        <w:rPr>
          <w:noProof/>
        </w:rPr>
        <w:t>Materialna podstawa prawna decyzji na podstawie art. 218 ust. 9 TFUE zależy przede wszystkim od celu i treści planowanego aktu, w którego kwestii ma zostać zajęte stanowisko w imieniu Unii. Jeżeli planowany akt ma dwojaki cel lub dwa elementy składowe, a jeden z tych celów lub elementów da się określić jako główny, zaś drugi ma jedynie pomocniczy charakter, decyzja przyjęta na mocy art. 218 ust. 9 TFUE musi mieć jedną materialną podstawę prawną, tj. podstawę, której wymaga główny lub dominujący cel lub element składowy.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Zastosowanie w niniejszej sprawie</w:t>
      </w:r>
    </w:p>
    <w:p>
      <w:pPr>
        <w:rPr>
          <w:noProof/>
        </w:rPr>
      </w:pPr>
      <w:r>
        <w:rPr>
          <w:noProof/>
        </w:rPr>
        <w:t>Główny cel i treść planowanego aktu prawnego odnoszą się do środowiska.</w:t>
      </w:r>
    </w:p>
    <w:p>
      <w:pPr>
        <w:rPr>
          <w:noProof/>
        </w:rPr>
      </w:pPr>
      <w:r>
        <w:rPr>
          <w:noProof/>
        </w:rPr>
        <w:t>Materialną podstawą prawną wnioskowanej decyzji jest zatem art. 192 ust. 1.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Wniosek</w:t>
      </w:r>
    </w:p>
    <w:p>
      <w:pPr>
        <w:rPr>
          <w:noProof/>
        </w:rPr>
      </w:pPr>
      <w:r>
        <w:rPr>
          <w:noProof/>
        </w:rPr>
        <w:t>Podstawą prawną proponowanej decyzji powinien być art. 192 ust. 1 TFUE w związku z jego art. 218 ust. 9.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2019/0148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>określająca stanowisko, jakie należy zająć w imieniu Unii Europejskiej w odniesieniu do zgłoszenia propozycji poprawek do załączników do Konwencji o ochronie wędrownych gatunków dzikich zwierząt w związku z 13. sesją Konferencji Stron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192 ust. 1</w:t>
      </w:r>
      <w:r>
        <w:t xml:space="preserve"> </w:t>
      </w:r>
      <w:r>
        <w:rPr>
          <w:noProof/>
        </w:rPr>
        <w:t>w</w:t>
      </w:r>
      <w:r>
        <w:t> </w:t>
      </w:r>
      <w:r>
        <w:rPr>
          <w:noProof/>
        </w:rPr>
        <w:t>związku z jego art. 218 ust. 9,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Konwencja o ochronie wędrownych gatunków dzikich zwierząt („konwencja”) została zawarta przez Unię decyzją Rady 82/461/EWG</w:t>
      </w:r>
      <w:r>
        <w:rPr>
          <w:rStyle w:val="FootnoteReference"/>
          <w:noProof/>
        </w:rPr>
        <w:footnoteReference w:id="7"/>
      </w:r>
      <w:r>
        <w:rPr>
          <w:noProof/>
          <w:vertAlign w:val="superscript"/>
        </w:rPr>
        <w:t xml:space="preserve"> </w:t>
      </w:r>
      <w:r>
        <w:rPr>
          <w:noProof/>
        </w:rPr>
        <w:t>i</w:t>
      </w:r>
      <w:r>
        <w:rPr>
          <w:noProof/>
          <w:vertAlign w:val="superscript"/>
        </w:rPr>
        <w:t> </w:t>
      </w:r>
      <w:r>
        <w:rPr>
          <w:noProof/>
        </w:rPr>
        <w:t xml:space="preserve">weszła w życie w dniu 1 listopada 1983 r.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Zgodnie z art. XI</w:t>
      </w:r>
      <w:r>
        <w:t xml:space="preserve"> </w:t>
      </w:r>
      <w:r>
        <w:rPr>
          <w:noProof/>
        </w:rPr>
        <w:t>konwencji Konferencja Stron może przyjąć poprawki do załączników I i II do konwencji</w:t>
      </w:r>
      <w: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Konferencja Stron może przyjąć takie poprawki podczas trzynastej sesji w dniach 15–22 lutego 2020 r. Sekretariat konwencji poinformował strony konwencji, że wszelkie propozycje poprawek należy zgłaszać do dnia 19 września 2019 r. zgodnie z XI ust. 3</w:t>
      </w:r>
      <w:r>
        <w:rPr>
          <w:i/>
          <w:noProof/>
        </w:rPr>
        <w:t xml:space="preserve"> </w:t>
      </w:r>
      <w:r>
        <w:rPr>
          <w:noProof/>
        </w:rPr>
        <w:t>konwencji. Unia jako strona konwencji może przedłożyć takie propozycje.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Należy określić stanowisko, jakie należy zająć w imieniu Unii w odniesieniu do zgłaszania propozycji poprawek do załączników do konwencji, gdyż takie zmiany będą wiążące dla Unii.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Włączenie gatunku </w:t>
      </w:r>
      <w:r>
        <w:rPr>
          <w:i/>
          <w:noProof/>
        </w:rPr>
        <w:t>Tetrax tetrax</w:t>
      </w:r>
      <w:r>
        <w:rPr>
          <w:noProof/>
        </w:rPr>
        <w:t xml:space="preserve"> do załącznika I do konwencji oraz gatunków</w:t>
      </w:r>
      <w:r>
        <w:rPr>
          <w:i/>
          <w:noProof/>
        </w:rPr>
        <w:t xml:space="preserve"> Tetrax tetrax</w:t>
      </w:r>
      <w:r>
        <w:rPr>
          <w:noProof/>
        </w:rPr>
        <w:t xml:space="preserve">, </w:t>
      </w:r>
      <w:r>
        <w:rPr>
          <w:i/>
          <w:noProof/>
        </w:rPr>
        <w:t>Galeorhinus galeus</w:t>
      </w:r>
      <w:r>
        <w:rPr>
          <w:noProof/>
        </w:rPr>
        <w:t xml:space="preserve"> i </w:t>
      </w:r>
      <w:r>
        <w:rPr>
          <w:i/>
          <w:noProof/>
        </w:rPr>
        <w:t>Sphyrna zygaena</w:t>
      </w:r>
      <w:r>
        <w:rPr>
          <w:noProof/>
        </w:rPr>
        <w:t xml:space="preserve"> do załącznika II jest naukowo uzasadnione, zgodne z prawodawstwem Unii oraz jej zobowiązaniem do współpracy międzynarodowej na rzecz ochrony różnorodności biologicznej. Należy zatem upoważnić Komisję do zaproponowania poprawek w tym zakresie.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Komisja powinna zgłosić wspomniane propozycje Sekretariatowi konwencji,</w:t>
      </w:r>
    </w:p>
    <w:p>
      <w:pPr>
        <w:pStyle w:val="Formuledadoption"/>
        <w:rPr>
          <w:noProof/>
        </w:rPr>
      </w:pPr>
      <w:r>
        <w:rPr>
          <w:noProof/>
        </w:rPr>
        <w:t>PRZYJMUJE NINIEJSZĄ DECYZJĘ: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ind w:left="720" w:hanging="720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W związku z trzynastą sesją Konferencji Stron Konwencji o ochronie wędrownych gatunków dzikich zwierząt („konwencja”) niniejszym upoważnia się Komisję do zgłoszenia, w imieniu Unii, propozycji następujących poprawek:</w:t>
      </w:r>
    </w:p>
    <w:p>
      <w:pPr>
        <w:ind w:left="1440" w:hanging="720"/>
        <w:rPr>
          <w:noProof/>
          <w:szCs w:val="24"/>
        </w:rPr>
      </w:pPr>
      <w:r>
        <w:rPr>
          <w:noProof/>
        </w:rPr>
        <w:lastRenderedPageBreak/>
        <w:t>a)</w:t>
      </w:r>
      <w:r>
        <w:rPr>
          <w:noProof/>
        </w:rPr>
        <w:tab/>
        <w:t xml:space="preserve">poprawka w załączniku I do konwencji w celu włączenia gatunku </w:t>
      </w:r>
      <w:r>
        <w:rPr>
          <w:i/>
          <w:noProof/>
        </w:rPr>
        <w:t>Tetrax tetrax</w:t>
      </w:r>
      <w:r>
        <w:rPr>
          <w:noProof/>
        </w:rPr>
        <w:t>;</w:t>
      </w:r>
    </w:p>
    <w:p>
      <w:pPr>
        <w:ind w:left="1440" w:hanging="720"/>
        <w:rPr>
          <w:noProof/>
          <w:sz w:val="22"/>
        </w:rPr>
      </w:pPr>
      <w:r>
        <w:rPr>
          <w:noProof/>
        </w:rPr>
        <w:t>b)</w:t>
      </w:r>
      <w:r>
        <w:rPr>
          <w:noProof/>
        </w:rPr>
        <w:tab/>
        <w:t xml:space="preserve">poprawki w załączniku II do konwencji w celu włączenia gatunków </w:t>
      </w:r>
      <w:r>
        <w:rPr>
          <w:i/>
          <w:noProof/>
        </w:rPr>
        <w:t>Tetrax tetrax</w:t>
      </w:r>
      <w:r>
        <w:rPr>
          <w:noProof/>
        </w:rPr>
        <w:t xml:space="preserve">, </w:t>
      </w:r>
      <w:r>
        <w:rPr>
          <w:i/>
          <w:noProof/>
        </w:rPr>
        <w:t>Galeorhinus galeus</w:t>
      </w:r>
      <w:r>
        <w:rPr>
          <w:noProof/>
        </w:rPr>
        <w:t xml:space="preserve"> i </w:t>
      </w:r>
      <w:r>
        <w:rPr>
          <w:i/>
          <w:noProof/>
        </w:rPr>
        <w:t>Sphyrna zygaena</w:t>
      </w:r>
      <w:r>
        <w:rPr>
          <w:noProof/>
          <w:sz w:val="22"/>
        </w:rPr>
        <w:t>.</w:t>
      </w:r>
    </w:p>
    <w:p>
      <w:pPr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Komisja przekazuje propozycje, o których mowa w ust. 1, Sekretariatowi konwencji.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>Niniejsza decyzja skierowana jest do Komisji.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Decyzja Rady 82/461/EWG z dnia 24 czerwca 1982 r. w sprawie zawarcia Konwencji o ochronie wędrownych gatunków dzikich zwierząt, Dz.U. L 210 z 19.7.1982, s. 10.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Decyzja Parlamentu Europejskiego i Rady nr 1386/2013/UE z dnia 20 listopada 2013 r. w sprawie ogólnego unijnego programu działań w zakresie środowiska do 2020 r. „Dobra jakość życia z uwzględnieniem ograniczeń naszej planety”, Dz.U. L 354 z 28.12.2013, s. 171.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COM(2011) 244 final „Nasze ubezpieczenie na życie i nasz kapitał naturalny – unijna strategia ochrony różnorodności biologicznej na okres do 2020 r.”.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Dyrektywa Rady 79/409/EWG z dnia 2 kwietnia 1979 r. w sprawie ochrony dzikiego ptactwa, Dz.U. L 103 z 25.4.1979, s. 1.</w:t>
      </w:r>
    </w:p>
  </w:footnote>
  <w:footnote w:id="5">
    <w:p>
      <w:pPr>
        <w:spacing w:before="0" w:after="0"/>
        <w:ind w:left="720" w:hanging="720"/>
        <w:jc w:val="left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Rozporządzenie Parlamentu Europejskiego i Rady (UE) nr 1380/2013 z dnia 11 grudnia 2013 r. w sprawie wspólnej polityki rybołówstwa, Dz.U. L 354 z 28.12.2013, s. 22.</w:t>
      </w:r>
    </w:p>
    <w:p>
      <w:pPr>
        <w:pStyle w:val="FootnoteText"/>
      </w:pP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Wyrok Trybunału Sprawiedliwości z dnia 7 października 2014 r. w sprawie C-399/12 Niemcy przeciwko Radzie, ECLI:EU:C:2014:2258, pkt 61–64.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Decyzja Rady 82/461/EWG z dnia 24 czerwca 1982 r. w sprawie zawarcia Konwencji o ochronie wędrownych gatunków dzikich zwierząt (Dz.U. L 210 z 19.7.1982, s. 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D84D5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B63D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9F49B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26AF1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9B2A6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D163C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8760E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AB2AE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1 08:44:2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9E32A9E5-6B6E-4153-94E9-9FF99F2E19EC"/>
    <w:docVar w:name="LW_COVERPAGE_TYPE" w:val="1"/>
    <w:docVar w:name="LW_CROSSREFERENCE" w:val="&lt;UNUSED&gt;"/>
    <w:docVar w:name="LW_DocType" w:val="COM"/>
    <w:docVar w:name="LW_EMISSION" w:val="5.7.2019"/>
    <w:docVar w:name="LW_EMISSION_ISODATE" w:val="2019-07-05"/>
    <w:docVar w:name="LW_EMISSION_LOCATION" w:val="BRX"/>
    <w:docVar w:name="LW_EMISSION_PREFIX" w:val="Bruksela, dnia "/>
    <w:docVar w:name="LW_EMISSION_SUFFIX" w:val=" r.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48"/>
    <w:docVar w:name="LW_REF.II.NEW.CP_YEAR" w:val="2019"/>
    <w:docVar w:name="LW_REF.INST.NEW" w:val="COM"/>
    <w:docVar w:name="LW_REF.INST.NEW_ADOPTED" w:val="final"/>
    <w:docVar w:name="LW_REF.INST.NEW_TEXT" w:val="(2019) 32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okre\u347?laj\u261?ca stanowisko, jakie nale\u380?y zaj\u261?\u263? w imieniu Unii Europejskiej w odniesieniu do zg\u322?oszenia propozycji poprawek do za\u322?\u261?czników do Konwencji o ochronie w\u281?drownych gatunków dzikich zwierz\u261?t w zwi\u261?zku z 13. sesj\u261? Konferencji Stron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">
    <w:name w:val="Body text (2) + Italic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">
    <w:name w:val="Body text (2) + Italic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1284</Words>
  <Characters>7848</Characters>
  <Application>Microsoft Office Word</Application>
  <DocSecurity>0</DocSecurity>
  <Lines>148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2019-06-25T12:40:00Z</dcterms:created>
  <dcterms:modified xsi:type="dcterms:W3CDTF">2019-07-01T06:44:00Z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