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B1B6CE5-ABFE-48BE-977C-D210B068C002" style="width:450.15pt;height:334.3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eastAsia="Calibri" w:hAnsi="Times New Roman" w:cs="Times New Roman"/>
          <w:b/>
          <w:noProof/>
          <w:sz w:val="24"/>
          <w:szCs w:val="24"/>
        </w:rPr>
      </w:pPr>
      <w:bookmarkStart w:id="1" w:name="_GoBack"/>
      <w:bookmarkEnd w:id="1"/>
      <w:r>
        <w:rPr>
          <w:rFonts w:ascii="Times New Roman" w:hAnsi="Times New Roman"/>
          <w:b/>
          <w:noProof/>
          <w:sz w:val="24"/>
        </w:rPr>
        <w:lastRenderedPageBreak/>
        <w:t>RAPPORT FRÅN KOMMISSIONEN TILL RÅDET</w:t>
      </w:r>
    </w:p>
    <w:p>
      <w:pPr>
        <w:jc w:val="center"/>
        <w:rPr>
          <w:rFonts w:ascii="Times New Roman" w:eastAsia="Calibri" w:hAnsi="Times New Roman" w:cs="Times New Roman"/>
          <w:b/>
          <w:noProof/>
          <w:sz w:val="24"/>
          <w:szCs w:val="24"/>
        </w:rPr>
      </w:pPr>
      <w:r>
        <w:rPr>
          <w:rFonts w:ascii="Times New Roman" w:hAnsi="Times New Roman"/>
          <w:b/>
          <w:noProof/>
          <w:sz w:val="24"/>
        </w:rPr>
        <w:t>Femtonde rapporten om genomförandet av rådets förordning (EG) nr 866/2004 av den 29 april 2004 och om den situation som är resultatet av dess tillämpning under perioden 1 januari–31 december 2018</w:t>
      </w:r>
    </w:p>
    <w:p>
      <w:pPr>
        <w:jc w:val="both"/>
        <w:rPr>
          <w:rFonts w:ascii="Times New Roman" w:eastAsia="Calibri" w:hAnsi="Times New Roman" w:cs="Times New Roman"/>
          <w:noProof/>
          <w:sz w:val="24"/>
          <w:szCs w:val="24"/>
        </w:rPr>
      </w:pPr>
      <w:r>
        <w:rPr>
          <w:rFonts w:ascii="Times New Roman" w:hAnsi="Times New Roman"/>
          <w:noProof/>
          <w:sz w:val="24"/>
        </w:rPr>
        <w:t>Rådets förordning (EG) nr 866/2004 om en ordning enligt artikel 2 i protokoll nr 10 till anslutningsakten</w:t>
      </w:r>
      <w:r>
        <w:rPr>
          <w:rFonts w:ascii="Times New Roman" w:hAnsi="Times New Roman"/>
          <w:noProof/>
          <w:sz w:val="24"/>
          <w:vertAlign w:val="superscript"/>
        </w:rPr>
        <w:footnoteReference w:id="2"/>
      </w:r>
      <w:r>
        <w:rPr>
          <w:rFonts w:ascii="Times New Roman" w:hAnsi="Times New Roman"/>
          <w:noProof/>
          <w:sz w:val="24"/>
        </w:rPr>
        <w:t xml:space="preserve"> (nedan kallad </w:t>
      </w:r>
      <w:r>
        <w:rPr>
          <w:rFonts w:ascii="Times New Roman" w:hAnsi="Times New Roman"/>
          <w:i/>
          <w:noProof/>
          <w:sz w:val="24"/>
        </w:rPr>
        <w:t>förordningen om gröna linjen</w:t>
      </w:r>
      <w:r>
        <w:rPr>
          <w:rFonts w:ascii="Times New Roman" w:hAnsi="Times New Roman"/>
          <w:noProof/>
          <w:sz w:val="24"/>
        </w:rPr>
        <w:t xml:space="preserve">) trädde i kraft den 1 maj 2004. I förordningen fastställs villkoren för tillämpningen av bestämmelserna i EU:s lagstiftning när det gäller rörlighet för personer, varor och tjänster över linjen mellan de områden av Republiken Cypern där Republiken Cyperns regering inte utövar den faktiska kontrollen och de områden där den utövar den faktiska kontrollen. I syfte att säkerställa att bestämmelserna är verkningsfulla utvidgades deras tillämpning till att omfatta gränsen mellan dessa områden och Förenade konungariket Storbritannien och Nordirlands östra suveräna basområde (nedan kallat </w:t>
      </w:r>
      <w:r>
        <w:rPr>
          <w:rFonts w:ascii="Times New Roman" w:hAnsi="Times New Roman"/>
          <w:i/>
          <w:noProof/>
          <w:sz w:val="24"/>
        </w:rPr>
        <w:t>det östra suveräna basområdet</w:t>
      </w:r>
      <w:r>
        <w:rPr>
          <w:rFonts w:ascii="Times New Roman" w:hAnsi="Times New Roman"/>
          <w:noProof/>
          <w:sz w:val="24"/>
        </w:rPr>
        <w:t>)</w:t>
      </w:r>
      <w:r>
        <w:rPr>
          <w:rFonts w:ascii="Times New Roman" w:hAnsi="Times New Roman"/>
          <w:noProof/>
          <w:sz w:val="24"/>
          <w:vertAlign w:val="superscript"/>
        </w:rPr>
        <w:footnoteReference w:id="3"/>
      </w:r>
      <w:r>
        <w:rPr>
          <w:rFonts w:ascii="Times New Roman" w:hAnsi="Times New Roman"/>
          <w:noProof/>
          <w:sz w:val="24"/>
        </w:rPr>
        <w:t>.</w:t>
      </w:r>
    </w:p>
    <w:p>
      <w:pPr>
        <w:jc w:val="both"/>
        <w:rPr>
          <w:rFonts w:ascii="Times New Roman" w:eastAsia="Calibri" w:hAnsi="Times New Roman" w:cs="Times New Roman"/>
          <w:noProof/>
          <w:sz w:val="24"/>
          <w:szCs w:val="24"/>
        </w:rPr>
      </w:pPr>
      <w:r>
        <w:rPr>
          <w:rFonts w:ascii="Times New Roman" w:hAnsi="Times New Roman"/>
          <w:noProof/>
          <w:sz w:val="24"/>
        </w:rPr>
        <w:t>Rapporten omfattar perioden 1 januari–31 december 2018.</w:t>
      </w:r>
    </w:p>
    <w:p>
      <w:pPr>
        <w:jc w:val="both"/>
        <w:rPr>
          <w:rFonts w:ascii="Times New Roman" w:eastAsia="Calibri" w:hAnsi="Times New Roman" w:cs="Times New Roman"/>
          <w:noProof/>
          <w:sz w:val="24"/>
          <w:szCs w:val="24"/>
        </w:rPr>
      </w:pPr>
      <w:r>
        <w:rPr>
          <w:rFonts w:ascii="Times New Roman" w:hAnsi="Times New Roman"/>
          <w:noProof/>
          <w:sz w:val="24"/>
        </w:rPr>
        <w:t xml:space="preserve">Kommissionen har under rapporteringsperioden fört en konstruktiv dialog med de berörda myndigheterna i Republiken Cypern och med det suveräna basområdets myndigheter om genomförandet av förordningen, samt med den turkcypriotiska handelskammaren. </w:t>
      </w:r>
    </w:p>
    <w:p>
      <w:pPr>
        <w:keepNext/>
        <w:tabs>
          <w:tab w:val="num" w:pos="850"/>
        </w:tabs>
        <w:spacing w:before="360" w:after="120" w:line="240" w:lineRule="auto"/>
        <w:ind w:left="850" w:hanging="850"/>
        <w:jc w:val="both"/>
        <w:outlineLvl w:val="0"/>
        <w:rPr>
          <w:rFonts w:ascii="Times New Roman" w:eastAsia="Times New Roman" w:hAnsi="Times New Roman" w:cs="Times New Roman"/>
          <w:b/>
          <w:bCs/>
          <w:smallCaps/>
          <w:noProof/>
          <w:sz w:val="24"/>
          <w:szCs w:val="24"/>
        </w:rPr>
      </w:pPr>
      <w:r>
        <w:rPr>
          <w:rFonts w:ascii="Times New Roman" w:hAnsi="Times New Roman"/>
          <w:b/>
          <w:smallCaps/>
          <w:noProof/>
          <w:sz w:val="24"/>
        </w:rPr>
        <w:t>1.</w:t>
      </w:r>
      <w:r>
        <w:rPr>
          <w:noProof/>
        </w:rPr>
        <w:tab/>
      </w:r>
      <w:r>
        <w:rPr>
          <w:rFonts w:ascii="Times New Roman" w:hAnsi="Times New Roman"/>
          <w:b/>
          <w:smallCaps/>
          <w:noProof/>
          <w:sz w:val="24"/>
        </w:rPr>
        <w:t>PASSAGE FÖR PERSONER</w:t>
      </w:r>
    </w:p>
    <w:p>
      <w:pPr>
        <w:keepNext/>
        <w:numPr>
          <w:ilvl w:val="1"/>
          <w:numId w:val="0"/>
        </w:numPr>
        <w:tabs>
          <w:tab w:val="num" w:pos="850"/>
        </w:tabs>
        <w:spacing w:before="120" w:after="120" w:line="240" w:lineRule="auto"/>
        <w:ind w:left="850" w:hanging="850"/>
        <w:jc w:val="both"/>
        <w:outlineLvl w:val="1"/>
        <w:rPr>
          <w:rFonts w:ascii="Times New Roman" w:eastAsia="Times New Roman" w:hAnsi="Times New Roman" w:cs="Times New Roman"/>
          <w:b/>
          <w:bCs/>
          <w:noProof/>
          <w:sz w:val="24"/>
          <w:szCs w:val="24"/>
        </w:rPr>
      </w:pPr>
      <w:r>
        <w:rPr>
          <w:rFonts w:ascii="Times New Roman" w:hAnsi="Times New Roman"/>
          <w:b/>
          <w:noProof/>
          <w:sz w:val="24"/>
        </w:rPr>
        <w:t>1.1.</w:t>
      </w:r>
      <w:r>
        <w:rPr>
          <w:noProof/>
        </w:rPr>
        <w:tab/>
      </w:r>
      <w:r>
        <w:rPr>
          <w:rFonts w:ascii="Times New Roman" w:hAnsi="Times New Roman"/>
          <w:b/>
          <w:noProof/>
          <w:sz w:val="24"/>
        </w:rPr>
        <w:t>Passage vid de godkända gränsövergångarna</w:t>
      </w:r>
    </w:p>
    <w:p>
      <w:pPr>
        <w:jc w:val="both"/>
        <w:rPr>
          <w:rFonts w:ascii="Times New Roman" w:eastAsia="Calibri" w:hAnsi="Times New Roman" w:cs="Times New Roman"/>
          <w:noProof/>
          <w:sz w:val="24"/>
          <w:szCs w:val="24"/>
        </w:rPr>
      </w:pPr>
      <w:r>
        <w:rPr>
          <w:rFonts w:ascii="Times New Roman" w:hAnsi="Times New Roman"/>
          <w:noProof/>
          <w:sz w:val="24"/>
        </w:rPr>
        <w:t xml:space="preserve">Förordningen utgör en stabil rättslig ram för den fria passagen för cyprioter, andra EU-medborgare och tredjelandsmedborgare som passerar gröna linjen (nedan även kallad </w:t>
      </w:r>
      <w:r>
        <w:rPr>
          <w:rFonts w:ascii="Times New Roman" w:hAnsi="Times New Roman"/>
          <w:i/>
          <w:noProof/>
          <w:sz w:val="24"/>
        </w:rPr>
        <w:t>linjen</w:t>
      </w:r>
      <w:r>
        <w:rPr>
          <w:rFonts w:ascii="Times New Roman" w:hAnsi="Times New Roman"/>
          <w:noProof/>
          <w:sz w:val="24"/>
        </w:rPr>
        <w:t xml:space="preserve">) vid godkända gränsövergångar. Antalet grekcyprioter som passerade ökade och antalet turkcyprioter som passerade minskade under 2018 jämfört med tidigare år. </w:t>
      </w:r>
    </w:p>
    <w:p>
      <w:pPr>
        <w:jc w:val="both"/>
        <w:rPr>
          <w:rFonts w:ascii="Times New Roman" w:hAnsi="Times New Roman"/>
          <w:noProof/>
          <w:sz w:val="24"/>
        </w:rPr>
      </w:pPr>
      <w:r>
        <w:rPr>
          <w:rFonts w:ascii="Times New Roman" w:hAnsi="Times New Roman"/>
          <w:noProof/>
          <w:sz w:val="24"/>
        </w:rPr>
        <w:t xml:space="preserve">Enligt uppgifter från Republiken Cyperns polismyndighet (nedan kallad </w:t>
      </w:r>
      <w:r>
        <w:rPr>
          <w:rFonts w:ascii="Times New Roman" w:hAnsi="Times New Roman"/>
          <w:i/>
          <w:noProof/>
          <w:sz w:val="24"/>
        </w:rPr>
        <w:t>Cypol</w:t>
      </w:r>
      <w:r>
        <w:rPr>
          <w:rFonts w:ascii="Times New Roman" w:hAnsi="Times New Roman"/>
          <w:noProof/>
          <w:sz w:val="24"/>
        </w:rPr>
        <w:t>) passerade 1 014 340 (föregående år 646 569) grekcyprioter och 486 040 grekcypriotiska fordon (föregående år 267 467) från de regeringskontrollerade områdena till den norra delen av Cypern, medan 1 076 667 (föregående år 1 140 682) turkcyprioter och 417 629 turkcypriotiska fordon (föregående år 435 882) passerade från den norra delen av Cypern till de regeringskontrollerade områdena under rapporteringsperioden</w:t>
      </w:r>
      <w:r>
        <w:rPr>
          <w:rFonts w:ascii="Times New Roman" w:hAnsi="Times New Roman"/>
          <w:noProof/>
          <w:sz w:val="24"/>
          <w:vertAlign w:val="superscript"/>
        </w:rPr>
        <w:footnoteReference w:id="4"/>
      </w:r>
      <w:r>
        <w:rPr>
          <w:rFonts w:ascii="Times New Roman" w:hAnsi="Times New Roman"/>
          <w:noProof/>
          <w:sz w:val="24"/>
        </w:rPr>
        <w:t>. Både den kraftiga ökningen av antalet grekcypriotiska passager och den knappa minskningen av antalet turkcypriotiska passager berodde huvudsakligen på att den turkiska liran under 2018 sjönk i värde i förhållande till euron.</w:t>
      </w:r>
    </w:p>
    <w:p>
      <w:pPr>
        <w:jc w:val="both"/>
        <w:rPr>
          <w:rFonts w:ascii="Times New Roman" w:eastAsia="Calibri" w:hAnsi="Times New Roman" w:cs="Times New Roman"/>
          <w:noProof/>
          <w:sz w:val="24"/>
          <w:szCs w:val="24"/>
        </w:rPr>
      </w:pPr>
      <w:r>
        <w:rPr>
          <w:rFonts w:ascii="Times New Roman" w:hAnsi="Times New Roman"/>
          <w:noProof/>
          <w:sz w:val="24"/>
        </w:rPr>
        <w:t xml:space="preserve">Antalet icke-cypriotiska EU-medborgare och tredjelandsmedborgare som passerade linjen fortsatte att öka. Under rapporteringsperioden passerade 1 129 293 icke-cypriotiska EU-medborgare och tredjelandsmedborgare linjen (föregående år 822 318). </w:t>
      </w:r>
    </w:p>
    <w:p>
      <w:pPr>
        <w:jc w:val="both"/>
        <w:rPr>
          <w:rFonts w:ascii="Times New Roman" w:hAnsi="Times New Roman"/>
          <w:noProof/>
          <w:sz w:val="24"/>
        </w:rPr>
      </w:pPr>
      <w:r>
        <w:rPr>
          <w:rFonts w:ascii="Times New Roman" w:hAnsi="Times New Roman"/>
          <w:noProof/>
          <w:sz w:val="24"/>
        </w:rPr>
        <w:t>Siffrorna ovan från Cypol innefattar dock inte uppgifter om personer och fordon som passerade linjen från den norra delen av Cypern vid Pergamos och Strovilia, som lyder under det brittiska östra suveräna basområdet. Enligt rapporterna från det östra suveräna basområdet passerade 236 156 (föregående år 140 913) grekcyprioter och 133 270 grekcypriotiska fordon (föregående år 59 852) linjen till den norra delen av Cypern, medan 471 690 (föregående år 457 314) turkcyprioter och 292 099 turkcypriotiska fordon (föregående år 272 090) passerade linjen i den andra riktningen</w:t>
      </w:r>
      <w:r>
        <w:rPr>
          <w:rStyle w:val="FootnoteReference"/>
          <w:rFonts w:ascii="Times New Roman" w:hAnsi="Times New Roman"/>
          <w:noProof/>
          <w:sz w:val="24"/>
        </w:rPr>
        <w:footnoteReference w:id="5"/>
      </w:r>
      <w:r>
        <w:rPr>
          <w:rFonts w:ascii="Times New Roman" w:hAnsi="Times New Roman"/>
          <w:noProof/>
          <w:sz w:val="24"/>
        </w:rPr>
        <w:t xml:space="preserve">. </w:t>
      </w:r>
    </w:p>
    <w:p>
      <w:pPr>
        <w:jc w:val="both"/>
        <w:rPr>
          <w:rFonts w:ascii="Times New Roman" w:eastAsia="Calibri" w:hAnsi="Times New Roman" w:cs="Times New Roman"/>
          <w:noProof/>
          <w:sz w:val="24"/>
          <w:szCs w:val="24"/>
        </w:rPr>
      </w:pPr>
      <w:r>
        <w:rPr>
          <w:rFonts w:ascii="Times New Roman" w:hAnsi="Times New Roman"/>
          <w:noProof/>
          <w:sz w:val="24"/>
        </w:rPr>
        <w:t>Två nya gränsövergångar i Deryneia och Lefka–Apliki öppnades den 12 november 2018</w:t>
      </w:r>
      <w:r>
        <w:rPr>
          <w:rFonts w:ascii="Times New Roman" w:hAnsi="Times New Roman"/>
          <w:noProof/>
          <w:sz w:val="24"/>
          <w:vertAlign w:val="superscript"/>
        </w:rPr>
        <w:footnoteReference w:id="6"/>
      </w:r>
      <w:r>
        <w:rPr>
          <w:rFonts w:ascii="Times New Roman" w:hAnsi="Times New Roman"/>
          <w:noProof/>
          <w:sz w:val="24"/>
        </w:rPr>
        <w:t>.</w:t>
      </w:r>
    </w:p>
    <w:p>
      <w:pPr>
        <w:jc w:val="both"/>
        <w:rPr>
          <w:rFonts w:ascii="Times New Roman" w:eastAsia="Calibri" w:hAnsi="Times New Roman" w:cs="Times New Roman"/>
          <w:noProof/>
          <w:sz w:val="24"/>
          <w:szCs w:val="24"/>
        </w:rPr>
      </w:pPr>
      <w:r>
        <w:rPr>
          <w:rFonts w:ascii="Times New Roman" w:hAnsi="Times New Roman"/>
          <w:noProof/>
          <w:sz w:val="24"/>
        </w:rPr>
        <w:t>Under 2018 utökade Cypol den personal som arbetar vid gränsövergångarna från 69 till 95, sedan 26 tjänstemän utstationerats till gränsövergångarna i Deryneia och Lefka–Apliki.</w:t>
      </w:r>
    </w:p>
    <w:p>
      <w:pPr>
        <w:jc w:val="both"/>
        <w:rPr>
          <w:rFonts w:ascii="Times New Roman" w:eastAsia="Calibri" w:hAnsi="Times New Roman" w:cs="Times New Roman"/>
          <w:noProof/>
          <w:sz w:val="24"/>
          <w:szCs w:val="24"/>
        </w:rPr>
      </w:pPr>
      <w:r>
        <w:rPr>
          <w:rFonts w:ascii="Times New Roman" w:hAnsi="Times New Roman"/>
          <w:noProof/>
          <w:sz w:val="24"/>
        </w:rPr>
        <w:t xml:space="preserve">Siffrorna från de turkcypriotiska myndigheterna för 2018 visar att antalet grekcyprioter som passerade linjen ökade till 1 633 076 (föregående år 1 066 284) medan antalet grekcypriotiska fordon ökade till 731 215 (föregående år 392 300) som passerade linjen från de regeringskontrollerade områdena till den norra delen av Cypern. De visar även en knapp minskning av antalet turkcyprioter till 1 759 837 (föregående år 1 796 353) men en ökning av antalet turkcypriotiska fordon till 794 474 (föregående år 782 656) som passerade linjen i andra riktningen. Enligt den statistik som lämnats passerade 1 814 194 icke-cypriotiska EU-medborgare och tredjelandsmedborgare linjen från de regeringskontrollerade områdena till den norra delen av Cypern (föregående år 1 546 475). </w:t>
      </w:r>
    </w:p>
    <w:p>
      <w:pPr>
        <w:jc w:val="both"/>
        <w:rPr>
          <w:rFonts w:ascii="Times New Roman" w:eastAsia="Calibri" w:hAnsi="Times New Roman" w:cs="Times New Roman"/>
          <w:noProof/>
          <w:sz w:val="24"/>
          <w:szCs w:val="24"/>
        </w:rPr>
      </w:pPr>
      <w:r>
        <w:rPr>
          <w:rFonts w:ascii="Times New Roman" w:hAnsi="Times New Roman"/>
          <w:noProof/>
          <w:sz w:val="24"/>
        </w:rPr>
        <w:t>Inga incidenter avseende gränsövergångar rapporterades under 2018. Emellertid godkänner myndigheterna i Republiken Cypern fortfarande inte att turkcypriotiska bussar med EU-medborgare passerar linjen till de regeringskontrollerade områdena.</w:t>
      </w:r>
    </w:p>
    <w:p>
      <w:pPr>
        <w:jc w:val="both"/>
        <w:rPr>
          <w:rFonts w:ascii="Times New Roman" w:eastAsia="Calibri" w:hAnsi="Times New Roman" w:cs="Times New Roman"/>
          <w:noProof/>
          <w:sz w:val="24"/>
          <w:szCs w:val="24"/>
        </w:rPr>
      </w:pPr>
      <w:r>
        <w:rPr>
          <w:rFonts w:ascii="Times New Roman" w:hAnsi="Times New Roman"/>
          <w:noProof/>
          <w:sz w:val="24"/>
        </w:rPr>
        <w:t>FN:s fredsbevarande styrka på Cypern (UNFICYP) fortsatte att underlätta religionsutövning för båda befolkningsgrupperna</w:t>
      </w:r>
      <w:r>
        <w:rPr>
          <w:rFonts w:ascii="Times New Roman" w:hAnsi="Times New Roman"/>
          <w:noProof/>
          <w:sz w:val="24"/>
          <w:vertAlign w:val="superscript"/>
        </w:rPr>
        <w:footnoteReference w:id="7"/>
      </w:r>
      <w:r>
        <w:rPr>
          <w:rFonts w:ascii="Times New Roman" w:hAnsi="Times New Roman"/>
          <w:noProof/>
          <w:sz w:val="24"/>
        </w:rPr>
        <w:t xml:space="preserve">. UNFICYP noterade att fler ansökningar om att hålla gudstjänst beviljats än under samma period 2017, något som UNFICYP anmodats att underlätta i den norra delen av Cypern. </w:t>
      </w:r>
    </w:p>
    <w:p>
      <w:pPr>
        <w:keepNext/>
        <w:numPr>
          <w:ilvl w:val="1"/>
          <w:numId w:val="0"/>
        </w:numPr>
        <w:tabs>
          <w:tab w:val="num" w:pos="850"/>
        </w:tabs>
        <w:spacing w:before="120" w:after="120" w:line="240" w:lineRule="auto"/>
        <w:ind w:left="850" w:hanging="850"/>
        <w:jc w:val="both"/>
        <w:outlineLvl w:val="1"/>
        <w:rPr>
          <w:rFonts w:ascii="Times New Roman" w:eastAsia="Times New Roman" w:hAnsi="Times New Roman" w:cs="Times New Roman"/>
          <w:b/>
          <w:bCs/>
          <w:noProof/>
          <w:sz w:val="24"/>
          <w:szCs w:val="24"/>
        </w:rPr>
      </w:pPr>
      <w:r>
        <w:rPr>
          <w:rFonts w:ascii="Times New Roman" w:hAnsi="Times New Roman"/>
          <w:b/>
          <w:noProof/>
          <w:sz w:val="24"/>
        </w:rPr>
        <w:t>1.2.</w:t>
      </w:r>
      <w:r>
        <w:rPr>
          <w:noProof/>
        </w:rPr>
        <w:tab/>
      </w:r>
      <w:r>
        <w:rPr>
          <w:rFonts w:ascii="Times New Roman" w:hAnsi="Times New Roman"/>
          <w:b/>
          <w:noProof/>
          <w:sz w:val="24"/>
        </w:rPr>
        <w:t>Irreguljär migration över gröna linjen och asyl</w:t>
      </w:r>
    </w:p>
    <w:p>
      <w:pPr>
        <w:jc w:val="both"/>
        <w:rPr>
          <w:rFonts w:ascii="Times New Roman" w:eastAsia="Calibri" w:hAnsi="Times New Roman" w:cs="Times New Roman"/>
          <w:noProof/>
          <w:sz w:val="24"/>
          <w:szCs w:val="24"/>
        </w:rPr>
      </w:pPr>
      <w:r>
        <w:rPr>
          <w:rFonts w:ascii="Times New Roman" w:hAnsi="Times New Roman"/>
          <w:noProof/>
          <w:sz w:val="24"/>
        </w:rPr>
        <w:t>Uppgifter från Cypol för 2018 visar att antalet irreguljära migranter som passerat linjen från den norra delen av Cypern till de regeringskontrollerade områdena ökat kraftigt. År 2018 passerade 4 451 irreguljära migranter linjen på detta sätt, medan motsvarande siffror för 2017, 2016 och 2015 var 1 686, 1 499 respektive 1 290. De irreguljära migranterna kom huvudsakligen från Syrien (1 573), Kamerun (472), Pakistan (444), Bangladesh (391) och Irak (328). Myndigheterna i Republiken Cypern är alltmer bekymrade över den kraftigt ökade migrationen.</w:t>
      </w:r>
    </w:p>
    <w:p>
      <w:pPr>
        <w:jc w:val="both"/>
        <w:rPr>
          <w:rFonts w:ascii="Times New Roman" w:eastAsia="Calibri" w:hAnsi="Times New Roman" w:cs="Times New Roman"/>
          <w:noProof/>
          <w:sz w:val="24"/>
          <w:szCs w:val="24"/>
        </w:rPr>
      </w:pPr>
      <w:r>
        <w:rPr>
          <w:rFonts w:ascii="Times New Roman" w:hAnsi="Times New Roman"/>
          <w:noProof/>
          <w:sz w:val="24"/>
        </w:rPr>
        <w:t>Av de 4 451 irreguljära migranterna ansökte 95 % (4 233) om internationellt skydd i Republiken Cypern. Flest sökande kom från Syrien (1 571). Myndigheterna i Republiken Cypern rapporterade att antalet beviljade asylansökningar ökade kraftigt jämfört med 2017.</w:t>
      </w:r>
    </w:p>
    <w:p>
      <w:pPr>
        <w:jc w:val="both"/>
        <w:rPr>
          <w:rFonts w:ascii="Times New Roman" w:eastAsia="Calibri" w:hAnsi="Times New Roman" w:cs="Times New Roman"/>
          <w:noProof/>
          <w:sz w:val="24"/>
          <w:szCs w:val="24"/>
        </w:rPr>
      </w:pPr>
      <w:r>
        <w:rPr>
          <w:rFonts w:ascii="Times New Roman" w:hAnsi="Times New Roman"/>
          <w:noProof/>
          <w:sz w:val="24"/>
        </w:rPr>
        <w:t xml:space="preserve">Cypol har kunnat identifiera personer genom att tillämpa samma kriterier som föregående år, dvs. främst utifrån uppgifter i migranternas resehandlingar och uttalanden. Enligt denna bedömning hade nästan alla de irreguljära migranter som greps i de regeringskontrollerade områdena efter att ha passerat linjen olagligt tidigare anlänt till den norra delen av Cypern från Turkiet. </w:t>
      </w:r>
    </w:p>
    <w:p>
      <w:pPr>
        <w:jc w:val="both"/>
        <w:rPr>
          <w:rFonts w:ascii="Times New Roman" w:eastAsia="Calibri" w:hAnsi="Times New Roman" w:cs="Times New Roman"/>
          <w:noProof/>
          <w:sz w:val="24"/>
          <w:szCs w:val="24"/>
        </w:rPr>
      </w:pPr>
      <w:r>
        <w:rPr>
          <w:rFonts w:ascii="Times New Roman" w:hAnsi="Times New Roman"/>
          <w:noProof/>
          <w:sz w:val="24"/>
        </w:rPr>
        <w:t>Den turkcypriotiska befolkningsgruppen bekräftade att man fortsatte arbetet i den norra delen av Cypern för att förhindra irreguljär migration. Under 2018 nekades 3 773 personer</w:t>
      </w:r>
      <w:r>
        <w:rPr>
          <w:rFonts w:ascii="Times New Roman" w:hAnsi="Times New Roman"/>
          <w:noProof/>
          <w:sz w:val="24"/>
          <w:vertAlign w:val="superscript"/>
        </w:rPr>
        <w:footnoteReference w:id="8"/>
      </w:r>
      <w:r>
        <w:rPr>
          <w:rFonts w:ascii="Times New Roman" w:hAnsi="Times New Roman"/>
          <w:noProof/>
          <w:sz w:val="24"/>
        </w:rPr>
        <w:t xml:space="preserve"> inresa till den norra delen av Cypern, och 870 personer</w:t>
      </w:r>
      <w:r>
        <w:rPr>
          <w:rFonts w:ascii="Times New Roman" w:hAnsi="Times New Roman"/>
          <w:noProof/>
          <w:sz w:val="24"/>
          <w:vertAlign w:val="superscript"/>
        </w:rPr>
        <w:footnoteReference w:id="9"/>
      </w:r>
      <w:r>
        <w:rPr>
          <w:rFonts w:ascii="Times New Roman" w:hAnsi="Times New Roman"/>
          <w:noProof/>
          <w:sz w:val="24"/>
        </w:rPr>
        <w:t xml:space="preserve"> som greps i den norra delen av Cypern återbördades till Turkiet, där de hade vistats innan de anlände till Cypern.</w:t>
      </w:r>
    </w:p>
    <w:p>
      <w:pPr>
        <w:jc w:val="both"/>
        <w:rPr>
          <w:rFonts w:ascii="Times New Roman" w:eastAsia="Calibri" w:hAnsi="Times New Roman" w:cs="Times New Roman"/>
          <w:noProof/>
          <w:sz w:val="24"/>
          <w:szCs w:val="24"/>
        </w:rPr>
      </w:pPr>
      <w:r>
        <w:rPr>
          <w:rFonts w:ascii="Times New Roman" w:hAnsi="Times New Roman"/>
          <w:noProof/>
          <w:sz w:val="24"/>
        </w:rPr>
        <w:t>Företrädare för de båda befolkningsgrupperna möttes inom en gemensam teknisk kommitté om brottslighet och straffrättsliga frågor (TCCCM), som verkar under FN:s överinseende. I anslutning till denna kommitté fortsatte de två befolkningsgrupperna att använda ett ”gemensamt kommunikationsrum”, som är ett forum för informationsutbyte i straffrättsliga frågor.</w:t>
      </w:r>
    </w:p>
    <w:p>
      <w:pPr>
        <w:jc w:val="both"/>
        <w:rPr>
          <w:rFonts w:ascii="Times New Roman" w:eastAsia="Calibri" w:hAnsi="Times New Roman" w:cs="Times New Roman"/>
          <w:noProof/>
          <w:sz w:val="24"/>
          <w:szCs w:val="24"/>
        </w:rPr>
      </w:pPr>
      <w:r>
        <w:rPr>
          <w:rFonts w:ascii="Times New Roman" w:hAnsi="Times New Roman"/>
          <w:noProof/>
          <w:sz w:val="24"/>
        </w:rPr>
        <w:t>Cypol beskrev samarbetet med Cyperns andra berörda myndigheter och det östra suveräna basområdets förvaltning som mycket gott.</w:t>
      </w:r>
    </w:p>
    <w:p>
      <w:pPr>
        <w:jc w:val="both"/>
        <w:rPr>
          <w:rFonts w:ascii="Times New Roman" w:eastAsia="Calibri" w:hAnsi="Times New Roman" w:cs="Times New Roman"/>
          <w:i/>
          <w:noProof/>
          <w:sz w:val="24"/>
          <w:szCs w:val="24"/>
        </w:rPr>
      </w:pPr>
      <w:r>
        <w:rPr>
          <w:rFonts w:ascii="Times New Roman" w:hAnsi="Times New Roman"/>
          <w:i/>
          <w:noProof/>
          <w:sz w:val="24"/>
        </w:rPr>
        <w:t>Det östra suveräna basområdet</w:t>
      </w:r>
    </w:p>
    <w:p>
      <w:pPr>
        <w:jc w:val="both"/>
        <w:rPr>
          <w:rFonts w:ascii="Times New Roman" w:eastAsia="Calibri" w:hAnsi="Times New Roman" w:cs="Times New Roman"/>
          <w:noProof/>
          <w:sz w:val="24"/>
          <w:szCs w:val="24"/>
        </w:rPr>
      </w:pPr>
      <w:r>
        <w:rPr>
          <w:rFonts w:ascii="Times New Roman" w:hAnsi="Times New Roman"/>
          <w:noProof/>
          <w:sz w:val="24"/>
        </w:rPr>
        <w:t>Den irreguljära migrationen från den norra delen av Cypern genom det östra suveräna basområdet ökade. År 2018 greps 18 irreguljära migranter efter att de hade passerat linjen olagligt</w:t>
      </w:r>
      <w:r>
        <w:rPr>
          <w:rFonts w:ascii="Times New Roman" w:hAnsi="Times New Roman"/>
          <w:noProof/>
          <w:sz w:val="24"/>
          <w:vertAlign w:val="superscript"/>
        </w:rPr>
        <w:footnoteReference w:id="10"/>
      </w:r>
      <w:r>
        <w:rPr>
          <w:rFonts w:ascii="Times New Roman" w:hAnsi="Times New Roman"/>
          <w:noProof/>
          <w:sz w:val="24"/>
        </w:rPr>
        <w:t>. 1 248 personer fick inte passera linjen, varav den största gruppen var turkiska medborgare (277). I enlighet med tillämpliga bestämmelser i protokoll nr 3 till Republiken Cyperns anslutningsakt vägrade myndigheterna i det östra suveräna basområdet att låta utländska medborgare från Förenta staterna, Ukraina, Ryssland, Argentina och Bosnien och Hercegovina passera den gröna linjen via norra delen av Cypern</w:t>
      </w:r>
      <w:r>
        <w:rPr>
          <w:rStyle w:val="FootnoteReference"/>
          <w:rFonts w:ascii="Times New Roman" w:hAnsi="Times New Roman"/>
          <w:noProof/>
          <w:sz w:val="24"/>
        </w:rPr>
        <w:footnoteReference w:id="11"/>
      </w:r>
      <w:r>
        <w:rPr>
          <w:rFonts w:ascii="Times New Roman" w:hAnsi="Times New Roman"/>
          <w:noProof/>
          <w:sz w:val="24"/>
        </w:rPr>
        <w:t>. Dessa personer dirigerades till gränsövergångar utanför det östra suveräna basområdet för kontroll av om de uppfyllde villkoren för inresa till Republiken Cypern.</w:t>
      </w:r>
    </w:p>
    <w:p>
      <w:pPr>
        <w:jc w:val="both"/>
        <w:rPr>
          <w:rFonts w:ascii="Times New Roman" w:eastAsia="Calibri" w:hAnsi="Times New Roman" w:cs="Times New Roman"/>
          <w:noProof/>
          <w:sz w:val="24"/>
          <w:szCs w:val="24"/>
        </w:rPr>
      </w:pPr>
      <w:r>
        <w:rPr>
          <w:rFonts w:ascii="Times New Roman" w:hAnsi="Times New Roman"/>
          <w:noProof/>
          <w:sz w:val="24"/>
        </w:rPr>
        <w:t>Det suveräna basområdets tjänstemän fortsatte att beskriva samarbetet med Republiken Cypern som utmärkt.</w:t>
      </w:r>
    </w:p>
    <w:p>
      <w:pPr>
        <w:jc w:val="both"/>
        <w:rPr>
          <w:rFonts w:ascii="Times New Roman" w:eastAsia="Calibri" w:hAnsi="Times New Roman" w:cs="Times New Roman"/>
          <w:noProof/>
          <w:sz w:val="24"/>
          <w:szCs w:val="24"/>
        </w:rPr>
      </w:pPr>
      <w:r>
        <w:rPr>
          <w:rFonts w:ascii="Times New Roman" w:hAnsi="Times New Roman"/>
          <w:noProof/>
          <w:sz w:val="24"/>
        </w:rPr>
        <w:t xml:space="preserve">Utöver kontroller vid gränsövergångarna genomförde det suveräna basområdets polismyndighet riskbaserade och underrättelseledda patrulluppdrag för att bekämpa irreguljär migration. Patrulluppdragen kompletterades av patrullering med hjälp av basområdets tull- och militärpersonal. </w:t>
      </w:r>
    </w:p>
    <w:p>
      <w:pPr>
        <w:jc w:val="both"/>
        <w:rPr>
          <w:rFonts w:ascii="Times New Roman" w:eastAsia="Calibri" w:hAnsi="Times New Roman" w:cs="Times New Roman"/>
          <w:noProof/>
          <w:sz w:val="24"/>
          <w:szCs w:val="24"/>
        </w:rPr>
      </w:pPr>
      <w:r>
        <w:rPr>
          <w:rFonts w:ascii="Times New Roman" w:hAnsi="Times New Roman"/>
          <w:noProof/>
          <w:sz w:val="24"/>
        </w:rPr>
        <w:t>Fyra ”icke</w:t>
      </w:r>
      <w:r>
        <w:rPr>
          <w:noProof/>
        </w:rPr>
        <w:noBreakHyphen/>
      </w:r>
      <w:r>
        <w:rPr>
          <w:rFonts w:ascii="Times New Roman" w:hAnsi="Times New Roman"/>
          <w:noProof/>
          <w:sz w:val="24"/>
        </w:rPr>
        <w:t>godkända gränsövergångar” i eller i närheten av byn Pergamos, som utnyttjas av lokalbefolkningen och jordbrukare, är särskilt svåra att kontrollera. Som nämnts i tidigare rapporter utgör de ”icke</w:t>
      </w:r>
      <w:r>
        <w:rPr>
          <w:noProof/>
        </w:rPr>
        <w:noBreakHyphen/>
      </w:r>
      <w:r>
        <w:rPr>
          <w:rFonts w:ascii="Times New Roman" w:hAnsi="Times New Roman"/>
          <w:noProof/>
          <w:sz w:val="24"/>
        </w:rPr>
        <w:t>godkända gränsövergångarna” fortfarande ett problem, och en lämplig lösning som är förenlig med artikel 5.2 i protokoll nr 3 till 2003 års anslutningsakt bör hittas</w:t>
      </w:r>
      <w:r>
        <w:rPr>
          <w:rFonts w:ascii="Times New Roman" w:hAnsi="Times New Roman"/>
          <w:noProof/>
          <w:sz w:val="24"/>
          <w:vertAlign w:val="superscript"/>
        </w:rPr>
        <w:footnoteReference w:id="12"/>
      </w:r>
      <w:r>
        <w:rPr>
          <w:rFonts w:ascii="Times New Roman" w:hAnsi="Times New Roman"/>
          <w:noProof/>
          <w:sz w:val="24"/>
        </w:rPr>
        <w:t>. Det suveräna basområdet meddelade att personal snabbt kan sättas in vid de ”icke</w:t>
      </w:r>
      <w:r>
        <w:rPr>
          <w:noProof/>
        </w:rPr>
        <w:noBreakHyphen/>
      </w:r>
      <w:r>
        <w:rPr>
          <w:rFonts w:ascii="Times New Roman" w:hAnsi="Times New Roman"/>
          <w:noProof/>
          <w:sz w:val="24"/>
        </w:rPr>
        <w:t>godkända gränsövergångarna” när det behövs.</w:t>
      </w:r>
    </w:p>
    <w:p>
      <w:pPr>
        <w:keepNext/>
        <w:tabs>
          <w:tab w:val="num" w:pos="850"/>
        </w:tabs>
        <w:spacing w:before="360" w:after="120" w:line="240" w:lineRule="auto"/>
        <w:ind w:left="850" w:hanging="850"/>
        <w:jc w:val="both"/>
        <w:outlineLvl w:val="0"/>
        <w:rPr>
          <w:rFonts w:ascii="Times New Roman" w:eastAsia="Times New Roman" w:hAnsi="Times New Roman" w:cs="Times New Roman"/>
          <w:b/>
          <w:bCs/>
          <w:smallCaps/>
          <w:noProof/>
          <w:sz w:val="24"/>
          <w:szCs w:val="24"/>
        </w:rPr>
      </w:pPr>
      <w:r>
        <w:rPr>
          <w:rFonts w:ascii="Times New Roman" w:hAnsi="Times New Roman"/>
          <w:b/>
          <w:smallCaps/>
          <w:noProof/>
          <w:sz w:val="24"/>
        </w:rPr>
        <w:t>2.</w:t>
      </w:r>
      <w:r>
        <w:rPr>
          <w:noProof/>
        </w:rPr>
        <w:tab/>
      </w:r>
      <w:r>
        <w:rPr>
          <w:rFonts w:ascii="Times New Roman" w:hAnsi="Times New Roman"/>
          <w:b/>
          <w:smallCaps/>
          <w:noProof/>
          <w:sz w:val="24"/>
        </w:rPr>
        <w:t>PASSAGE FÖR VAROR</w:t>
      </w:r>
    </w:p>
    <w:p>
      <w:pPr>
        <w:keepNext/>
        <w:numPr>
          <w:ilvl w:val="1"/>
          <w:numId w:val="0"/>
        </w:numPr>
        <w:tabs>
          <w:tab w:val="num" w:pos="850"/>
        </w:tabs>
        <w:spacing w:before="120" w:after="120" w:line="240" w:lineRule="auto"/>
        <w:ind w:left="850" w:hanging="850"/>
        <w:jc w:val="both"/>
        <w:outlineLvl w:val="1"/>
        <w:rPr>
          <w:rFonts w:ascii="Times New Roman" w:eastAsia="Times New Roman" w:hAnsi="Times New Roman" w:cs="Times New Roman"/>
          <w:b/>
          <w:bCs/>
          <w:noProof/>
          <w:sz w:val="24"/>
          <w:szCs w:val="24"/>
        </w:rPr>
      </w:pPr>
      <w:r>
        <w:rPr>
          <w:rFonts w:ascii="Times New Roman" w:hAnsi="Times New Roman"/>
          <w:b/>
          <w:noProof/>
          <w:sz w:val="24"/>
        </w:rPr>
        <w:t>2.1.</w:t>
      </w:r>
      <w:r>
        <w:rPr>
          <w:noProof/>
        </w:rPr>
        <w:tab/>
      </w:r>
      <w:r>
        <w:rPr>
          <w:rFonts w:ascii="Times New Roman" w:hAnsi="Times New Roman"/>
          <w:b/>
          <w:noProof/>
          <w:sz w:val="24"/>
        </w:rPr>
        <w:t>Värdet av handeln</w:t>
      </w:r>
    </w:p>
    <w:p>
      <w:pPr>
        <w:jc w:val="both"/>
        <w:rPr>
          <w:rFonts w:ascii="Times New Roman" w:eastAsia="Calibri" w:hAnsi="Times New Roman" w:cs="Times New Roman"/>
          <w:noProof/>
          <w:sz w:val="24"/>
          <w:szCs w:val="24"/>
        </w:rPr>
      </w:pPr>
      <w:r>
        <w:rPr>
          <w:rFonts w:ascii="Times New Roman" w:hAnsi="Times New Roman"/>
          <w:noProof/>
          <w:sz w:val="24"/>
        </w:rPr>
        <w:t>I enlighet med artikel 4 i förordningen om gröna linjen får varor föras in från de områden som inte kontrolleras av regeringen till de regeringskontrollerade områdena, förutsatt att de uppfyller de kriterier som fastställs i artikel 4</w:t>
      </w:r>
      <w:r>
        <w:rPr>
          <w:rFonts w:ascii="Times New Roman" w:hAnsi="Times New Roman"/>
          <w:noProof/>
          <w:sz w:val="24"/>
          <w:vertAlign w:val="superscript"/>
        </w:rPr>
        <w:footnoteReference w:id="13"/>
      </w:r>
      <w:r>
        <w:rPr>
          <w:rFonts w:ascii="Times New Roman" w:hAnsi="Times New Roman"/>
          <w:noProof/>
          <w:sz w:val="24"/>
        </w:rPr>
        <w:t xml:space="preserve"> och åtföljs av ett dokument som utfärdats av den turkcypriotiska handelskammaren. I enlighet med artikel 8 i kommissionens förordning (EG) nr 1480/2004</w:t>
      </w:r>
      <w:r>
        <w:rPr>
          <w:rFonts w:ascii="Times New Roman" w:hAnsi="Times New Roman"/>
          <w:noProof/>
          <w:sz w:val="24"/>
          <w:vertAlign w:val="superscript"/>
        </w:rPr>
        <w:footnoteReference w:id="14"/>
      </w:r>
      <w:r>
        <w:rPr>
          <w:rFonts w:ascii="Times New Roman" w:hAnsi="Times New Roman"/>
          <w:noProof/>
          <w:sz w:val="24"/>
        </w:rPr>
        <w:t xml:space="preserve"> har den turkcypriotiska handelskammaren liksom Republiken Cyperns myndigheter för varje månad lämnat rapporter om de varor (typ, volym och värde) för vilka åtföljande dokument utfärdats.</w:t>
      </w:r>
    </w:p>
    <w:p>
      <w:pPr>
        <w:jc w:val="both"/>
        <w:rPr>
          <w:rFonts w:ascii="Times New Roman" w:hAnsi="Times New Roman"/>
          <w:noProof/>
          <w:sz w:val="24"/>
        </w:rPr>
      </w:pPr>
      <w:r>
        <w:rPr>
          <w:rFonts w:ascii="Times New Roman" w:hAnsi="Times New Roman"/>
          <w:noProof/>
          <w:sz w:val="24"/>
        </w:rPr>
        <w:t xml:space="preserve">Enligt den turkcypriotiska handelskammaren utfärdades åtföljande dokument för varor till ett sammanlagt värde av 5 405 121 euro (föregående år 5 697 695 euro). Jämfört med 2017 har det sammanlagda värdet för varor med åtföljande dokument minskat med 5,1 %.  </w:t>
      </w:r>
    </w:p>
    <w:p>
      <w:pPr>
        <w:jc w:val="both"/>
        <w:rPr>
          <w:rFonts w:ascii="Times New Roman" w:eastAsia="Calibri" w:hAnsi="Times New Roman" w:cs="Times New Roman"/>
          <w:noProof/>
          <w:sz w:val="24"/>
          <w:szCs w:val="24"/>
        </w:rPr>
      </w:pPr>
      <w:r>
        <w:rPr>
          <w:rFonts w:ascii="Times New Roman" w:hAnsi="Times New Roman"/>
          <w:noProof/>
          <w:sz w:val="24"/>
        </w:rPr>
        <w:t>Enligt statistik som lämnats av Republiken Cypern ökade det sammanlagda handelsvärdet med 1,4 % till 4 856 892 euro för varor med åtföljande dokument som passerade linjen (föregående år 4 790 964 euro).</w:t>
      </w:r>
    </w:p>
    <w:p>
      <w:pPr>
        <w:jc w:val="both"/>
        <w:rPr>
          <w:rFonts w:ascii="Times New Roman" w:eastAsia="Calibri" w:hAnsi="Times New Roman" w:cs="Times New Roman"/>
          <w:noProof/>
          <w:sz w:val="24"/>
          <w:szCs w:val="24"/>
        </w:rPr>
      </w:pPr>
      <w:r>
        <w:rPr>
          <w:rFonts w:ascii="Times New Roman" w:hAnsi="Times New Roman"/>
          <w:noProof/>
          <w:sz w:val="24"/>
        </w:rPr>
        <w:t xml:space="preserve">Handel från de regeringskontrollerade områdena till den norra delen av Cypern omfattas inte av förordningen om gröna linjen, men enligt uppgifter från Cyperns handels- och industrikammare minskade denna handel kraftigt, eller med cirka 14,3 %, från 1 343 524 euro 2017 till 1 151 723 euro 2018. Handeln från de regeringskontrollerade områdena till den norra delen av Cypern motsvarar 23,7 % av handeln i motsatt riktning (28 % 2017). </w:t>
      </w:r>
    </w:p>
    <w:p>
      <w:pPr>
        <w:jc w:val="both"/>
        <w:rPr>
          <w:rFonts w:ascii="Times New Roman" w:eastAsia="Calibri" w:hAnsi="Times New Roman" w:cs="Times New Roman"/>
          <w:noProof/>
          <w:sz w:val="24"/>
          <w:szCs w:val="24"/>
        </w:rPr>
      </w:pPr>
      <w:r>
        <w:rPr>
          <w:rFonts w:ascii="Times New Roman" w:hAnsi="Times New Roman"/>
          <w:noProof/>
          <w:sz w:val="24"/>
        </w:rPr>
        <w:t>Turkcyprioterna fortsatte att tillämpa en handelsordning som i princip återspeglar restriktionerna i förordningen om gröna linjen. Den turkcypriotiska sidan angav att skyddet av lokala företag var det huvudsakliga skälet till detta. Ordningen tillämpas dock inte alltid konsekvent.</w:t>
      </w:r>
    </w:p>
    <w:p>
      <w:pPr>
        <w:keepNext/>
        <w:numPr>
          <w:ilvl w:val="1"/>
          <w:numId w:val="0"/>
        </w:numPr>
        <w:tabs>
          <w:tab w:val="num" w:pos="850"/>
        </w:tabs>
        <w:spacing w:before="120" w:after="120" w:line="240" w:lineRule="auto"/>
        <w:ind w:left="850" w:hanging="850"/>
        <w:jc w:val="both"/>
        <w:outlineLvl w:val="1"/>
        <w:rPr>
          <w:rFonts w:ascii="Times New Roman" w:eastAsia="Times New Roman" w:hAnsi="Times New Roman" w:cs="Times New Roman"/>
          <w:b/>
          <w:bCs/>
          <w:noProof/>
          <w:sz w:val="24"/>
          <w:szCs w:val="24"/>
        </w:rPr>
      </w:pPr>
      <w:r>
        <w:rPr>
          <w:rFonts w:ascii="Times New Roman" w:hAnsi="Times New Roman"/>
          <w:b/>
          <w:noProof/>
          <w:sz w:val="24"/>
        </w:rPr>
        <w:t>2.2.</w:t>
      </w:r>
      <w:r>
        <w:rPr>
          <w:noProof/>
        </w:rPr>
        <w:tab/>
      </w:r>
      <w:r>
        <w:rPr>
          <w:rFonts w:ascii="Times New Roman" w:hAnsi="Times New Roman"/>
          <w:b/>
          <w:noProof/>
          <w:sz w:val="24"/>
        </w:rPr>
        <w:t>Typ av varor</w:t>
      </w:r>
    </w:p>
    <w:p>
      <w:pPr>
        <w:jc w:val="both"/>
        <w:rPr>
          <w:rFonts w:ascii="Times New Roman" w:eastAsia="Calibri" w:hAnsi="Times New Roman" w:cs="Times New Roman"/>
          <w:noProof/>
          <w:sz w:val="24"/>
          <w:szCs w:val="24"/>
        </w:rPr>
      </w:pPr>
      <w:r>
        <w:rPr>
          <w:rFonts w:ascii="Times New Roman" w:hAnsi="Times New Roman"/>
          <w:noProof/>
          <w:sz w:val="24"/>
        </w:rPr>
        <w:t>Under 2018 var plastprodukter de varor som var föremål för mest handel, följda av färsk fisk, byggnadsmaterial, samt avfall och skrot</w:t>
      </w:r>
      <w:r>
        <w:rPr>
          <w:rFonts w:ascii="Times New Roman" w:hAnsi="Times New Roman"/>
          <w:noProof/>
          <w:sz w:val="24"/>
          <w:vertAlign w:val="superscript"/>
        </w:rPr>
        <w:footnoteReference w:id="15"/>
      </w:r>
      <w:r>
        <w:rPr>
          <w:rFonts w:ascii="Times New Roman" w:hAnsi="Times New Roman"/>
          <w:noProof/>
          <w:sz w:val="24"/>
        </w:rPr>
        <w:t>. Handeln med potatis minskade kraftigt på grund av dålig skörd.</w:t>
      </w:r>
    </w:p>
    <w:p>
      <w:pPr>
        <w:jc w:val="both"/>
        <w:rPr>
          <w:rFonts w:ascii="Times New Roman" w:eastAsia="Calibri" w:hAnsi="Times New Roman" w:cs="Times New Roman"/>
          <w:i/>
          <w:noProof/>
          <w:sz w:val="24"/>
          <w:szCs w:val="24"/>
        </w:rPr>
      </w:pPr>
      <w:r>
        <w:rPr>
          <w:rFonts w:ascii="Times New Roman" w:hAnsi="Times New Roman"/>
          <w:noProof/>
          <w:sz w:val="24"/>
        </w:rPr>
        <w:t>Nya produkter infördes, t.ex. våtservetter, batteriskrot, vattentankar i plast och industriugnar i rostfritt stål. All handel över linjen skedde inom ön.</w:t>
      </w:r>
    </w:p>
    <w:p>
      <w:pPr>
        <w:keepNext/>
        <w:numPr>
          <w:ilvl w:val="1"/>
          <w:numId w:val="0"/>
        </w:numPr>
        <w:tabs>
          <w:tab w:val="num" w:pos="850"/>
        </w:tabs>
        <w:spacing w:before="120" w:after="120" w:line="240" w:lineRule="auto"/>
        <w:ind w:left="850" w:hanging="850"/>
        <w:jc w:val="both"/>
        <w:outlineLvl w:val="1"/>
        <w:rPr>
          <w:rFonts w:ascii="Times New Roman" w:eastAsia="Times New Roman" w:hAnsi="Times New Roman" w:cs="Times New Roman"/>
          <w:b/>
          <w:bCs/>
          <w:noProof/>
          <w:sz w:val="24"/>
          <w:szCs w:val="24"/>
        </w:rPr>
      </w:pPr>
      <w:r>
        <w:rPr>
          <w:rFonts w:ascii="Times New Roman" w:hAnsi="Times New Roman"/>
          <w:b/>
          <w:noProof/>
          <w:sz w:val="24"/>
        </w:rPr>
        <w:t>2.3.</w:t>
      </w:r>
      <w:r>
        <w:rPr>
          <w:noProof/>
        </w:rPr>
        <w:tab/>
      </w:r>
      <w:r>
        <w:rPr>
          <w:rFonts w:ascii="Times New Roman" w:hAnsi="Times New Roman"/>
          <w:b/>
          <w:noProof/>
          <w:sz w:val="24"/>
        </w:rPr>
        <w:t>Oriktigheter</w:t>
      </w:r>
    </w:p>
    <w:p>
      <w:pPr>
        <w:jc w:val="both"/>
        <w:rPr>
          <w:rFonts w:ascii="Times New Roman" w:eastAsia="Calibri" w:hAnsi="Times New Roman" w:cs="Times New Roman"/>
          <w:noProof/>
          <w:sz w:val="24"/>
          <w:szCs w:val="24"/>
        </w:rPr>
      </w:pPr>
      <w:r>
        <w:rPr>
          <w:rFonts w:ascii="Times New Roman" w:hAnsi="Times New Roman"/>
          <w:noProof/>
          <w:sz w:val="24"/>
        </w:rPr>
        <w:t>Tullmyndigheterna i Republiken Cypern rådgjorde med kommissionen om huruvida en behållare fylld med ett ämne som deklarerats som ”förtunningsmedel” och som varit föremål för handel över den gröna linjen uppfyllde ursprungskriterierna i artikel 4.1 i förordningen om gröna linjen</w:t>
      </w:r>
      <w:r>
        <w:rPr>
          <w:rStyle w:val="FootnoteReference"/>
          <w:rFonts w:ascii="Times New Roman" w:hAnsi="Times New Roman"/>
          <w:noProof/>
          <w:sz w:val="24"/>
        </w:rPr>
        <w:footnoteReference w:id="16"/>
      </w:r>
      <w:r>
        <w:rPr>
          <w:rFonts w:ascii="Times New Roman" w:hAnsi="Times New Roman"/>
          <w:noProof/>
          <w:sz w:val="24"/>
        </w:rPr>
        <w:t xml:space="preserve">. Efter att ha analyserat frågan meddelade kommissionen tullmyndigheterna att blandningen omfattades av villkoren i artikel 4.1. Kommissionen konstaterade dock även att bestämmelserna i förordning (EG) nr 1272/2008 om klassificering, märkning och förpackning av ämnen och blandningar med stor sannolikhet hade överträtts, eftersom behållaren inte följde reglerna om märkning av farliga ämnen. Kommissionen informerade den turkcypriotiska handelskammaren om sin bedömning, som informerade producenten om vilka regler som gäller för handel med den här typen av produkt. </w:t>
      </w:r>
    </w:p>
    <w:p>
      <w:pPr>
        <w:keepNext/>
        <w:numPr>
          <w:ilvl w:val="1"/>
          <w:numId w:val="0"/>
        </w:numPr>
        <w:tabs>
          <w:tab w:val="num" w:pos="850"/>
        </w:tabs>
        <w:spacing w:before="120" w:after="120" w:line="240" w:lineRule="auto"/>
        <w:ind w:left="850" w:hanging="850"/>
        <w:jc w:val="both"/>
        <w:outlineLvl w:val="1"/>
        <w:rPr>
          <w:rFonts w:ascii="Times New Roman" w:eastAsia="Times New Roman" w:hAnsi="Times New Roman" w:cs="Times New Roman"/>
          <w:b/>
          <w:bCs/>
          <w:noProof/>
          <w:sz w:val="24"/>
          <w:szCs w:val="24"/>
        </w:rPr>
      </w:pPr>
      <w:r>
        <w:rPr>
          <w:rFonts w:ascii="Times New Roman" w:hAnsi="Times New Roman"/>
          <w:b/>
          <w:noProof/>
          <w:sz w:val="24"/>
        </w:rPr>
        <w:t>2.4.</w:t>
      </w:r>
      <w:r>
        <w:rPr>
          <w:noProof/>
        </w:rPr>
        <w:tab/>
      </w:r>
      <w:r>
        <w:rPr>
          <w:rFonts w:ascii="Times New Roman" w:hAnsi="Times New Roman"/>
          <w:b/>
          <w:noProof/>
          <w:sz w:val="24"/>
        </w:rPr>
        <w:t>Hinder och svårigheter för varors rörlighet</w:t>
      </w:r>
    </w:p>
    <w:p>
      <w:pPr>
        <w:jc w:val="both"/>
        <w:rPr>
          <w:rFonts w:ascii="Times New Roman" w:eastAsia="Calibri" w:hAnsi="Times New Roman" w:cs="Times New Roman"/>
          <w:noProof/>
          <w:sz w:val="24"/>
          <w:szCs w:val="24"/>
        </w:rPr>
      </w:pPr>
      <w:r>
        <w:rPr>
          <w:rFonts w:ascii="Times New Roman" w:hAnsi="Times New Roman"/>
          <w:noProof/>
          <w:sz w:val="24"/>
        </w:rPr>
        <w:t>Hinder för handel över linjen kvarstår, vilket enligt kommissionen och turkcypriotiska näringsidkare är en orsak till att handeln är begränsad.</w:t>
      </w:r>
    </w:p>
    <w:p>
      <w:pPr>
        <w:jc w:val="both"/>
        <w:rPr>
          <w:rFonts w:ascii="Times New Roman" w:eastAsia="Calibri" w:hAnsi="Times New Roman" w:cs="Times New Roman"/>
          <w:noProof/>
          <w:sz w:val="24"/>
          <w:szCs w:val="24"/>
        </w:rPr>
      </w:pPr>
      <w:r>
        <w:rPr>
          <w:rFonts w:ascii="Times New Roman" w:hAnsi="Times New Roman"/>
          <w:noProof/>
          <w:sz w:val="24"/>
        </w:rPr>
        <w:t>I föregående rapporter</w:t>
      </w:r>
      <w:r>
        <w:rPr>
          <w:rFonts w:ascii="Times New Roman" w:hAnsi="Times New Roman"/>
          <w:noProof/>
          <w:sz w:val="24"/>
          <w:vertAlign w:val="superscript"/>
        </w:rPr>
        <w:footnoteReference w:id="17"/>
      </w:r>
      <w:r>
        <w:rPr>
          <w:rFonts w:ascii="Times New Roman" w:hAnsi="Times New Roman"/>
          <w:noProof/>
          <w:sz w:val="24"/>
        </w:rPr>
        <w:t xml:space="preserve"> har det uppgetts att frågan om de turkcypriotiska lastbilar som passerar linjen till de regeringskontrollerade områdena ännu inte har lösts, och i dag får inga turkcypriotiska fordon i yrkesmässig trafik som väger mer än 7,5 ton passera linjen om de inte har handlingar utfärdade av Republiken Cypern som helt och hållet överensstämmer med EU:s regelverk. Republiken Cyperns myndigheter har meddelat kommissionen att de infört bestämmelser för att underlätta för turkcyprioter att erhålla besiktningsintyg för fordon och körkort för yrkesmässig trafik. Kommissionen är övertygad om att en lösning på den frågan skulle bidra väsentligt till att öka handeln eftersom varutransporter skulle bli enklare. Det skulle vidare stärka kontakten mellan cypriotiska näringsidkare och därmed i betydande omfattning bidra till att öka förtroendet mellan de båda befolkningsgrupperna. Med anledning av detta undersöker kommissionen möjligheterna för EU-stöd till transportsäkerhet.</w:t>
      </w:r>
    </w:p>
    <w:p>
      <w:pPr>
        <w:jc w:val="both"/>
        <w:rPr>
          <w:rFonts w:ascii="Times New Roman" w:eastAsia="Calibri" w:hAnsi="Times New Roman" w:cs="Times New Roman"/>
          <w:noProof/>
          <w:sz w:val="24"/>
          <w:szCs w:val="24"/>
        </w:rPr>
      </w:pPr>
      <w:r>
        <w:rPr>
          <w:rFonts w:ascii="Times New Roman" w:hAnsi="Times New Roman"/>
          <w:noProof/>
          <w:sz w:val="24"/>
        </w:rPr>
        <w:t>Enligt rapporter under de senaste åren tillåter inte myndigheterna i Republiken Cypern bearbetade livsmedelsprodukter och material avsedda att komma i kontakt med livsmedel att passera linjen, på grund av hälsovårdsmyndigheternas farhågor om produktionsprocessen i den norra delen av Cypern. Under rapporteringsperioden bekräftade kommissionen för Republiken Cypern att det enligt den tillämpliga rättsliga ramen är tillåtet för dessa produkter att passera den gröna linjen och att myndigheterna i Republiken Cypern inte bör förbjuda detta. De kan ta prover på produkterna vid gränsövergångarna för vidare analys i överensstämmelse med vad som anges i förordningen om gröna linjen, men de bör inte hindra alla bearbetade livsmedelsprodukter från att passera linjen. Kommissionen föreslog att man skulle genomföra en mekanism som gör det lättare för bearbetade livsmedel och material avsedda att komma i kontakt med livsmedel att passera linjen, i kombination med extra säkerhetsåtgärder. De närmare diskussioner som kommissionen begärt för att komma fram till en lösning hade inte ägt rum när denna rapport skrevs. Kommissionen är fortfarande bekymrad över att förordningen om gröna linjen inte har genomförts korrekt och kommer att överväga hur den ska gå vidare i frågan.</w:t>
      </w:r>
      <w:r>
        <w:rPr>
          <w:rFonts w:ascii="Calibri" w:hAnsi="Calibri"/>
          <w:noProof/>
        </w:rPr>
        <w:t xml:space="preserve">  </w:t>
      </w:r>
    </w:p>
    <w:p>
      <w:pPr>
        <w:jc w:val="both"/>
        <w:rPr>
          <w:rFonts w:ascii="Times New Roman" w:eastAsia="Calibri" w:hAnsi="Times New Roman" w:cs="Times New Roman"/>
          <w:noProof/>
          <w:sz w:val="24"/>
          <w:szCs w:val="24"/>
        </w:rPr>
      </w:pPr>
      <w:r>
        <w:rPr>
          <w:rFonts w:ascii="Times New Roman" w:hAnsi="Times New Roman"/>
          <w:noProof/>
          <w:sz w:val="24"/>
        </w:rPr>
        <w:t>I likhet med föregående år har turkcypriotiska handlare fortsatt att rapportera om svårigheter med att saluföra sina varor i affärer och annonsera om sina produkter och tjänster i de regeringskontrollerade områdena, vilket hindrar handeln. Näringsidkare fortsätter att rapportera om motvillighet bland grekcyprioter att köpa turkcypriotiska produkter. Dessutom påtalades det att handlare från båda befolkningsgrupperna ställs inför många administrativa problem när de vill inleda en affärsförbindelse med den andra gruppen. Näringsidkare på båda sidor måste ha frihet att inleda handelsförbindelser på grundval av sina egna verksamhetskrav.</w:t>
      </w:r>
    </w:p>
    <w:p>
      <w:pPr>
        <w:keepNext/>
        <w:numPr>
          <w:ilvl w:val="1"/>
          <w:numId w:val="0"/>
        </w:numPr>
        <w:tabs>
          <w:tab w:val="num" w:pos="850"/>
        </w:tabs>
        <w:spacing w:before="120" w:after="120"/>
        <w:ind w:left="850" w:hanging="850"/>
        <w:jc w:val="both"/>
        <w:outlineLvl w:val="1"/>
        <w:rPr>
          <w:rFonts w:ascii="Times New Roman" w:eastAsia="Times New Roman" w:hAnsi="Times New Roman" w:cs="Times New Roman"/>
          <w:b/>
          <w:bCs/>
          <w:noProof/>
          <w:sz w:val="24"/>
          <w:szCs w:val="26"/>
        </w:rPr>
      </w:pPr>
      <w:r>
        <w:rPr>
          <w:rFonts w:ascii="Times New Roman" w:hAnsi="Times New Roman"/>
          <w:b/>
          <w:noProof/>
          <w:sz w:val="24"/>
        </w:rPr>
        <w:t>2.5.</w:t>
      </w:r>
      <w:r>
        <w:rPr>
          <w:noProof/>
        </w:rPr>
        <w:tab/>
      </w:r>
      <w:r>
        <w:rPr>
          <w:rFonts w:ascii="Times New Roman" w:hAnsi="Times New Roman"/>
          <w:b/>
          <w:noProof/>
          <w:sz w:val="24"/>
        </w:rPr>
        <w:t>Smuggling av varor</w:t>
      </w:r>
    </w:p>
    <w:p>
      <w:pPr>
        <w:jc w:val="both"/>
        <w:rPr>
          <w:rFonts w:ascii="Times New Roman" w:eastAsia="Calibri" w:hAnsi="Times New Roman" w:cs="Times New Roman"/>
          <w:noProof/>
          <w:sz w:val="24"/>
          <w:szCs w:val="24"/>
        </w:rPr>
      </w:pPr>
      <w:r>
        <w:rPr>
          <w:rFonts w:ascii="Times New Roman" w:hAnsi="Times New Roman"/>
          <w:noProof/>
          <w:sz w:val="24"/>
        </w:rPr>
        <w:t>Smugglingen av varor var fortsatt omfattande på grund av svårigheterna att kontrollera irreguljära rörelser över linjen.</w:t>
      </w:r>
    </w:p>
    <w:p>
      <w:pPr>
        <w:jc w:val="both"/>
        <w:rPr>
          <w:rFonts w:ascii="Times New Roman" w:eastAsia="Calibri" w:hAnsi="Times New Roman" w:cs="Times New Roman"/>
          <w:i/>
          <w:noProof/>
          <w:sz w:val="24"/>
          <w:szCs w:val="24"/>
        </w:rPr>
      </w:pPr>
      <w:r>
        <w:rPr>
          <w:rFonts w:ascii="Times New Roman" w:hAnsi="Times New Roman"/>
          <w:noProof/>
          <w:sz w:val="24"/>
        </w:rPr>
        <w:t>Under 2018 gjorde Republiken Cypern 1 711 beslag av smuggelgods (föregående år 1 334). Under 2018 ökade mängden cigaretter och rulltobak som beslagtogs av Republiken Cypern vid den gröna linjen: 469 870 cigaretter och 587 513 gram rulltobak (föregående år 203 290 cigaretter och 440 259 gram rulltobak). Den kraftiga ökningen berodde på att den turkiska liran under 2018 minskat i värde i förhållande till euron. Smugglingen av varor som stred mot immateriella rättigheter ökade också kraftigt, med 45 % jämfört med 2017. Andra föremål som beslagtogs var alkohol, bekämpningsmedel, jordbruksprodukter, animaliska produkter och mejeriprodukter. Åtal väcktes i ett smugglingsmål, som behandlades av distriktsdomstolen. Fall av smuggling av mindre kvantiteter av cigaretter hanterades vanligen genom böter och förverkande.</w:t>
      </w:r>
    </w:p>
    <w:p>
      <w:pPr>
        <w:jc w:val="both"/>
        <w:rPr>
          <w:rFonts w:ascii="Times New Roman" w:eastAsia="Calibri" w:hAnsi="Times New Roman" w:cs="Times New Roman"/>
          <w:noProof/>
          <w:sz w:val="24"/>
          <w:szCs w:val="24"/>
        </w:rPr>
      </w:pPr>
      <w:r>
        <w:rPr>
          <w:rFonts w:ascii="Times New Roman" w:hAnsi="Times New Roman"/>
          <w:noProof/>
          <w:sz w:val="24"/>
        </w:rPr>
        <w:t xml:space="preserve">Under 2018 noterade myndigheterna i det östra suveräna basområdet en ökning av antalet beslag av smuggelgods inom området. Det gjordes 555 beslag, jämfört med 432 under 2017. Precis som under 2017 var cigaretter och rulltobak de varor som beslagtogs oftast. </w:t>
      </w:r>
    </w:p>
    <w:p>
      <w:pPr>
        <w:jc w:val="both"/>
        <w:rPr>
          <w:rFonts w:ascii="Times New Roman" w:eastAsia="Calibri" w:hAnsi="Times New Roman" w:cs="Times New Roman"/>
          <w:noProof/>
          <w:sz w:val="24"/>
          <w:szCs w:val="24"/>
        </w:rPr>
      </w:pPr>
      <w:r>
        <w:rPr>
          <w:rFonts w:ascii="Times New Roman" w:hAnsi="Times New Roman"/>
          <w:noProof/>
          <w:sz w:val="24"/>
        </w:rPr>
        <w:t>Vad gäller varor som anskaffas på traditionellt sätt av den turkcypriotiska befolkningen i byn Pyla, som är belägen i buffertzonen (artikel 4.10 i förordningen om gröna linjen), övervakade och antecknade det östra suveräna basområdets förvaltning mängden byggnadsmaterial, fisk, cigaretter osv.</w:t>
      </w:r>
    </w:p>
    <w:p>
      <w:pPr>
        <w:rPr>
          <w:rFonts w:ascii="Times New Roman" w:eastAsia="Times New Roman" w:hAnsi="Times New Roman" w:cs="Times New Roman"/>
          <w:b/>
          <w:bCs/>
          <w:noProof/>
          <w:sz w:val="24"/>
          <w:szCs w:val="24"/>
        </w:rPr>
      </w:pPr>
      <w:r>
        <w:rPr>
          <w:rFonts w:ascii="Times New Roman" w:hAnsi="Times New Roman"/>
          <w:b/>
          <w:noProof/>
          <w:sz w:val="24"/>
        </w:rPr>
        <w:t>2.6.</w:t>
      </w:r>
      <w:r>
        <w:rPr>
          <w:noProof/>
        </w:rPr>
        <w:tab/>
      </w:r>
      <w:r>
        <w:rPr>
          <w:rFonts w:ascii="Times New Roman" w:hAnsi="Times New Roman"/>
          <w:b/>
          <w:noProof/>
          <w:sz w:val="24"/>
        </w:rPr>
        <w:t>Underlättande av handeln</w:t>
      </w:r>
    </w:p>
    <w:p>
      <w:pPr>
        <w:jc w:val="both"/>
        <w:rPr>
          <w:rFonts w:ascii="Times New Roman" w:eastAsia="Calibri" w:hAnsi="Times New Roman" w:cs="Times New Roman"/>
          <w:noProof/>
          <w:sz w:val="24"/>
          <w:szCs w:val="24"/>
        </w:rPr>
      </w:pPr>
      <w:r>
        <w:rPr>
          <w:rFonts w:ascii="Times New Roman" w:hAnsi="Times New Roman"/>
          <w:noProof/>
          <w:sz w:val="24"/>
        </w:rPr>
        <w:t>Kommissionen fortsatte att söka efter möjligheter att förbättra handeln över linjen.</w:t>
      </w:r>
    </w:p>
    <w:p>
      <w:pPr>
        <w:jc w:val="both"/>
        <w:rPr>
          <w:rFonts w:ascii="Times New Roman" w:eastAsia="Calibri" w:hAnsi="Times New Roman" w:cs="Times New Roman"/>
          <w:noProof/>
          <w:sz w:val="24"/>
          <w:szCs w:val="24"/>
        </w:rPr>
      </w:pPr>
      <w:r>
        <w:rPr>
          <w:rFonts w:ascii="Times New Roman" w:hAnsi="Times New Roman"/>
          <w:noProof/>
          <w:sz w:val="24"/>
        </w:rPr>
        <w:t>I juli 2015 antog kommissionen ett förslag till ändring av förordningen om gröna linjen. Målet med förslaget är att fastställa det sätt på vilket mekanismen för kontroll av varor som omfattas av ett namn som registrerats enligt förordning (EU) nr 1151/2012 skulle tillämpas i de områden i Republiken Cypern där Republiken Cyperns regering inte utövar den faktiska kontrollen</w:t>
      </w:r>
      <w:r>
        <w:rPr>
          <w:rFonts w:ascii="Times New Roman" w:hAnsi="Times New Roman"/>
          <w:noProof/>
          <w:sz w:val="24"/>
          <w:vertAlign w:val="superscript"/>
        </w:rPr>
        <w:footnoteReference w:id="18"/>
      </w:r>
      <w:r>
        <w:rPr>
          <w:rFonts w:ascii="Times New Roman" w:hAnsi="Times New Roman"/>
          <w:noProof/>
          <w:sz w:val="24"/>
        </w:rPr>
        <w:t>. Inget beslut fattades om förslaget till ändring under rapporteringsperioden. Förslaget bygger på en gemensam överenskommelse om en tillfällig lösning för halloumi/hellim som ska genomföras i avvaktan på att frågan om Cyperns tudelning har lösts, vilken nåddes under ledning av kommissionens ordförande Jean</w:t>
      </w:r>
      <w:r>
        <w:rPr>
          <w:noProof/>
        </w:rPr>
        <w:noBreakHyphen/>
      </w:r>
      <w:r>
        <w:rPr>
          <w:rFonts w:ascii="Times New Roman" w:hAnsi="Times New Roman"/>
          <w:noProof/>
          <w:sz w:val="24"/>
        </w:rPr>
        <w:t>Claude Juncker vid hans besök i Cypern den 16 juli 2015</w:t>
      </w:r>
      <w:r>
        <w:rPr>
          <w:rFonts w:ascii="Times New Roman" w:hAnsi="Times New Roman"/>
          <w:noProof/>
          <w:sz w:val="24"/>
          <w:vertAlign w:val="superscript"/>
        </w:rPr>
        <w:footnoteReference w:id="19"/>
      </w:r>
      <w:r>
        <w:rPr>
          <w:rFonts w:ascii="Times New Roman" w:hAnsi="Times New Roman"/>
          <w:noProof/>
          <w:sz w:val="24"/>
        </w:rPr>
        <w:t>.</w:t>
      </w:r>
    </w:p>
    <w:p>
      <w:pPr>
        <w:jc w:val="both"/>
        <w:rPr>
          <w:rFonts w:ascii="Times New Roman" w:eastAsia="Calibri" w:hAnsi="Times New Roman" w:cs="Times New Roman"/>
          <w:noProof/>
          <w:sz w:val="24"/>
          <w:szCs w:val="24"/>
        </w:rPr>
      </w:pPr>
      <w:r>
        <w:rPr>
          <w:rFonts w:ascii="Times New Roman" w:hAnsi="Times New Roman"/>
          <w:noProof/>
          <w:sz w:val="24"/>
        </w:rPr>
        <w:t xml:space="preserve">För att göra det lättare för färsk fisk att passera linjen utökade myndigheterna i Republiken Cypern öppettiderna för veterinärkontroll av färsk fisk vid gränsövergången i Agios Dometios. Kontroller kommer att ske vardagar kl. 07.30–15.00 (slut på kontrollerna). </w:t>
      </w:r>
    </w:p>
    <w:p>
      <w:pPr>
        <w:jc w:val="both"/>
        <w:rPr>
          <w:rFonts w:ascii="Times New Roman" w:eastAsia="Calibri" w:hAnsi="Times New Roman" w:cs="Times New Roman"/>
          <w:noProof/>
          <w:sz w:val="24"/>
          <w:szCs w:val="24"/>
        </w:rPr>
      </w:pPr>
      <w:r>
        <w:rPr>
          <w:rFonts w:ascii="Times New Roman" w:hAnsi="Times New Roman"/>
          <w:noProof/>
          <w:sz w:val="24"/>
        </w:rPr>
        <w:t>Den turkcypriotiska handelskammaren fortsatte att uttrycka ett allmänt intresse av att upphäva förbudet av handel med alla levande djur och animaliska produkter i den mån dessa produkter uppfyller kraven i EU:s regler och förordningar. Republiken Cypern har vid upprepade tillfällen uttryckt sin vilja att undersöka möjligheten att utvidga förteckningen över varor som kan föras in till de regeringskontrollerade områdena.</w:t>
      </w:r>
    </w:p>
    <w:p>
      <w:pPr>
        <w:jc w:val="both"/>
        <w:rPr>
          <w:rFonts w:ascii="Times New Roman" w:eastAsia="Calibri" w:hAnsi="Times New Roman" w:cs="Times New Roman"/>
          <w:noProof/>
          <w:sz w:val="24"/>
          <w:szCs w:val="24"/>
        </w:rPr>
      </w:pPr>
      <w:r>
        <w:rPr>
          <w:rFonts w:ascii="Times New Roman" w:hAnsi="Times New Roman"/>
          <w:noProof/>
          <w:sz w:val="24"/>
        </w:rPr>
        <w:t>Kommissionen uppmuntrar näringsidkare att dra fördel av affärsmöjligheter och välkomnar Cyperns handels- och industrikammares och den turkcypriotiska handelskammarens intensiva arbete.</w:t>
      </w:r>
    </w:p>
    <w:p>
      <w:pPr>
        <w:keepNext/>
        <w:numPr>
          <w:ilvl w:val="1"/>
          <w:numId w:val="0"/>
        </w:numPr>
        <w:tabs>
          <w:tab w:val="num" w:pos="850"/>
        </w:tabs>
        <w:spacing w:before="120" w:after="120" w:line="240" w:lineRule="auto"/>
        <w:ind w:left="850" w:hanging="850"/>
        <w:jc w:val="both"/>
        <w:outlineLvl w:val="1"/>
        <w:rPr>
          <w:rFonts w:ascii="Times New Roman" w:eastAsia="Times New Roman" w:hAnsi="Times New Roman" w:cs="Times New Roman"/>
          <w:b/>
          <w:bCs/>
          <w:noProof/>
          <w:sz w:val="24"/>
          <w:szCs w:val="24"/>
        </w:rPr>
      </w:pPr>
      <w:r>
        <w:rPr>
          <w:rFonts w:ascii="Times New Roman" w:hAnsi="Times New Roman"/>
          <w:b/>
          <w:noProof/>
          <w:sz w:val="24"/>
        </w:rPr>
        <w:t>2.7.</w:t>
      </w:r>
      <w:r>
        <w:rPr>
          <w:noProof/>
        </w:rPr>
        <w:tab/>
      </w:r>
      <w:r>
        <w:rPr>
          <w:rFonts w:ascii="Times New Roman" w:hAnsi="Times New Roman"/>
          <w:b/>
          <w:noProof/>
          <w:sz w:val="24"/>
        </w:rPr>
        <w:t>Varor från EU som återförs till de områden där Republiken Cyperns regering utövar den faktiska kontrollen efter att ha passerat genom de områden där Republiken Cyperns regering inte utövar den faktiska kontrollen</w:t>
      </w:r>
    </w:p>
    <w:p>
      <w:pPr>
        <w:jc w:val="both"/>
        <w:rPr>
          <w:rFonts w:ascii="Times New Roman" w:eastAsia="Calibri" w:hAnsi="Times New Roman" w:cs="Times New Roman"/>
          <w:noProof/>
          <w:sz w:val="24"/>
          <w:szCs w:val="24"/>
        </w:rPr>
      </w:pPr>
      <w:r>
        <w:rPr>
          <w:rFonts w:ascii="Times New Roman" w:hAnsi="Times New Roman"/>
          <w:noProof/>
          <w:sz w:val="24"/>
        </w:rPr>
        <w:t>Republiken Cyperns myndigheter rapporterade att 3 093 artiklar återfördes till de regeringskontrollerade områdena efter att ha passerat genom de områden som inte kontrolleras av regeringen. Det påpekades att dessa övergångar sker smidigt och att merparten av rörelserna sker till och från gränsövergångarna Kato Pyrgos–Karavostasi och Astromeritis–Zhodia.</w:t>
      </w:r>
    </w:p>
    <w:p>
      <w:pPr>
        <w:keepNext/>
        <w:numPr>
          <w:ilvl w:val="1"/>
          <w:numId w:val="0"/>
        </w:numPr>
        <w:tabs>
          <w:tab w:val="num" w:pos="850"/>
        </w:tabs>
        <w:spacing w:before="120" w:after="120" w:line="240" w:lineRule="auto"/>
        <w:ind w:left="850" w:hanging="850"/>
        <w:jc w:val="both"/>
        <w:outlineLvl w:val="1"/>
        <w:rPr>
          <w:rFonts w:ascii="Times New Roman" w:eastAsia="Times New Roman" w:hAnsi="Times New Roman" w:cs="Times New Roman"/>
          <w:b/>
          <w:bCs/>
          <w:noProof/>
          <w:sz w:val="24"/>
          <w:szCs w:val="24"/>
        </w:rPr>
      </w:pPr>
      <w:r>
        <w:rPr>
          <w:rFonts w:ascii="Times New Roman" w:hAnsi="Times New Roman"/>
          <w:b/>
          <w:noProof/>
          <w:sz w:val="24"/>
        </w:rPr>
        <w:t xml:space="preserve">2.8. </w:t>
      </w:r>
      <w:r>
        <w:rPr>
          <w:noProof/>
        </w:rPr>
        <w:tab/>
      </w:r>
      <w:r>
        <w:rPr>
          <w:rFonts w:ascii="Times New Roman" w:hAnsi="Times New Roman"/>
          <w:b/>
          <w:noProof/>
          <w:sz w:val="24"/>
        </w:rPr>
        <w:t>Varor i det personliga bagage som tillhör personer som passerar den gröna linjen</w:t>
      </w:r>
    </w:p>
    <w:p>
      <w:pPr>
        <w:jc w:val="both"/>
        <w:rPr>
          <w:rFonts w:ascii="Times New Roman" w:eastAsia="Calibri" w:hAnsi="Times New Roman" w:cs="Times New Roman"/>
          <w:noProof/>
          <w:sz w:val="24"/>
          <w:szCs w:val="24"/>
        </w:rPr>
      </w:pPr>
      <w:r>
        <w:rPr>
          <w:rFonts w:ascii="Times New Roman" w:hAnsi="Times New Roman"/>
          <w:noProof/>
          <w:sz w:val="24"/>
        </w:rPr>
        <w:t xml:space="preserve">Under rapporteringsperioden rådgjorde myndigheterna i det östra suveräna basområdet med kommissionen om rörligheten för drivmedel för personligt bruk över gröna linjen. Enligt artikel 6.1 i förordningen om gröna linjen ska varor i det personliga bagage som tillhör personer som passerar linjen vara befriade från omsättningsskatt, punktskatt och importtullar, om varuinförseln inte har kommersiell karaktär och varornas samlade värde inte överstiger 260 euro per person. Kommissionen bekräftade för myndigheterna i det östra suveräna basområdet och Republiken Cypern att man för drivmedel i plastbehållare vid varje passage behöver göra en bedömning från fall till fall av om drivmedlet är avsett för kommersiella ändamål, och om det inte är det, om dess värde överstiger 260 euro per person. Samtidigt föreskrivs det i förordningen om gröna linjen inga kontroller av det drivmedel som finns i standardtankarna på de fordon som passerar linjen och det finns därför inga skäl att neka eller begränsa dessa passager. </w:t>
      </w:r>
    </w:p>
    <w:p>
      <w:pPr>
        <w:keepNext/>
        <w:tabs>
          <w:tab w:val="num" w:pos="850"/>
        </w:tabs>
        <w:spacing w:before="360" w:after="120" w:line="240" w:lineRule="auto"/>
        <w:ind w:left="850" w:hanging="850"/>
        <w:jc w:val="both"/>
        <w:outlineLvl w:val="0"/>
        <w:rPr>
          <w:rFonts w:ascii="Times New Roman" w:eastAsia="Times New Roman" w:hAnsi="Times New Roman" w:cs="Times New Roman"/>
          <w:b/>
          <w:bCs/>
          <w:smallCaps/>
          <w:noProof/>
          <w:sz w:val="24"/>
          <w:szCs w:val="24"/>
        </w:rPr>
      </w:pPr>
      <w:r>
        <w:rPr>
          <w:rFonts w:ascii="Times New Roman" w:hAnsi="Times New Roman"/>
          <w:b/>
          <w:smallCaps/>
          <w:noProof/>
          <w:sz w:val="24"/>
        </w:rPr>
        <w:t>3.</w:t>
      </w:r>
      <w:r>
        <w:rPr>
          <w:noProof/>
        </w:rPr>
        <w:tab/>
      </w:r>
      <w:r>
        <w:rPr>
          <w:rFonts w:ascii="Times New Roman" w:hAnsi="Times New Roman"/>
          <w:b/>
          <w:smallCaps/>
          <w:noProof/>
          <w:sz w:val="24"/>
        </w:rPr>
        <w:t>SLUTSATSER</w:t>
      </w:r>
    </w:p>
    <w:p>
      <w:pPr>
        <w:autoSpaceDE w:val="0"/>
        <w:autoSpaceDN w:val="0"/>
        <w:adjustRightInd w:val="0"/>
        <w:jc w:val="both"/>
        <w:rPr>
          <w:rFonts w:ascii="Times New Roman" w:eastAsia="Calibri" w:hAnsi="Times New Roman" w:cs="Times New Roman"/>
          <w:noProof/>
          <w:sz w:val="24"/>
          <w:szCs w:val="24"/>
        </w:rPr>
      </w:pPr>
      <w:r>
        <w:rPr>
          <w:rFonts w:ascii="Times New Roman" w:hAnsi="Times New Roman"/>
          <w:noProof/>
          <w:sz w:val="24"/>
        </w:rPr>
        <w:t>Såsom konstaterats i tidigare rapporter är den kontroll av linjen vid de godkända gränsövergångarna som genomförs av Republiken Cyperns och det suveräna basområdets myndigheter tillfredsställande. De två gränsövergångarna i Lefka–Apliki och Deryneia öppnade. Antalet personer som olagligt passerade linjen ökade kraftigt. Detta är ett växande problem för Republiken Cypern och situationen måste följas noggrant.</w:t>
      </w:r>
      <w:r>
        <w:rPr>
          <w:noProof/>
        </w:rPr>
        <w:t xml:space="preserve"> </w:t>
      </w:r>
      <w:r>
        <w:rPr>
          <w:rFonts w:ascii="Times New Roman" w:hAnsi="Times New Roman"/>
          <w:noProof/>
          <w:sz w:val="24"/>
        </w:rPr>
        <w:t>Kommissionen uppmanar det suveräna basområdets förvaltning att sätta in nödvändiga personalresurser för att ta itu med de ”icke-godkända gränsövergångarna”. Kommissionen anser fortfarande att stabilitet, förutsägbarhet och rättssäkerhet när det gäller kraven vid gränsövergångarna, liksom fri rörlighet för EU-medborgare, är av yttersta vikt.</w:t>
      </w:r>
    </w:p>
    <w:p>
      <w:pPr>
        <w:jc w:val="both"/>
        <w:rPr>
          <w:rFonts w:ascii="Times New Roman" w:eastAsia="Calibri" w:hAnsi="Times New Roman" w:cs="Times New Roman"/>
          <w:noProof/>
          <w:sz w:val="24"/>
          <w:szCs w:val="24"/>
        </w:rPr>
      </w:pPr>
      <w:r>
        <w:rPr>
          <w:rFonts w:ascii="Times New Roman" w:hAnsi="Times New Roman"/>
          <w:noProof/>
          <w:sz w:val="24"/>
        </w:rPr>
        <w:t>Under 2018 steg värdet på handeln över linjen med 1,4 %, från 4 790 964 euro till 4 856 892 euro, medan värdet på varor för vilka åtföljande dokument hade utfärdats minskade med 5,1 %, från 5 697 695 euro till 5 405 121 euro. Plastprodukter var de varor som var föremål för mest handel, följda av färsk fisk, byggnadsmaterial, samt avfall och skrot.</w:t>
      </w:r>
    </w:p>
    <w:p>
      <w:pPr>
        <w:jc w:val="both"/>
        <w:rPr>
          <w:rFonts w:ascii="Times New Roman" w:eastAsia="Calibri" w:hAnsi="Times New Roman" w:cs="Times New Roman"/>
          <w:noProof/>
          <w:sz w:val="24"/>
          <w:szCs w:val="24"/>
        </w:rPr>
      </w:pPr>
      <w:r>
        <w:rPr>
          <w:rFonts w:ascii="Times New Roman" w:hAnsi="Times New Roman"/>
          <w:noProof/>
          <w:sz w:val="24"/>
        </w:rPr>
        <w:t>Republiken Cyperns handels- och industrikammare och den turkcypriotiska handelskammaren fortsatte sitt nära samarbete för att skapa ekonomiska fördelar för båda befolkningsgrupperna.</w:t>
      </w:r>
    </w:p>
    <w:p>
      <w:pPr>
        <w:jc w:val="both"/>
        <w:rPr>
          <w:rFonts w:ascii="Times New Roman" w:eastAsia="Calibri" w:hAnsi="Times New Roman" w:cs="Times New Roman"/>
          <w:noProof/>
          <w:sz w:val="24"/>
          <w:szCs w:val="24"/>
        </w:rPr>
      </w:pPr>
      <w:r>
        <w:rPr>
          <w:rFonts w:ascii="Times New Roman" w:hAnsi="Times New Roman"/>
          <w:noProof/>
          <w:sz w:val="24"/>
        </w:rPr>
        <w:t xml:space="preserve">Under rapporteringsperioden fanns fortfarande vissa handelshinder kvar. Republiken Cypern tillät fortfarande inte turkcypriotiska fordon i yrkesmässig trafik som väger mer än 7,5 ton att passera linjen. Situationen förändrades inte under 2018. Republiken Cypern låter inte heller bearbetade livsmedel och material avsedda att komma i kontakt med livsmedel passera linjen. Kommissionen bekräftade för Republiken Cypern att det enligt den tillämpliga rättsliga ramen är tillåtet för dessa produkter att passera den gröna linjen och att myndigheterna i Republiken Cypern inte bör förbjuda detta. Kommissionen föreslog att man skulle genomföra en mekanism som gör det lättare för bearbetade livsmedel och material avsedda att komma i kontakt med livsmedel att passera linjen, i kombination med extra säkerhetsåtgärder.  När denna rapport skrevs hade inga ytterligare kontakter tagits för att komma fram till en lösning. Kommissionen är fortfarande bekymrad över att förordningen om gröna linjen inte har genomförts korrekt och kommer att överväga hur den ska gå vidare i frågan.  </w:t>
      </w:r>
    </w:p>
    <w:p>
      <w:pPr>
        <w:autoSpaceDE w:val="0"/>
        <w:autoSpaceDN w:val="0"/>
        <w:adjustRightInd w:val="0"/>
        <w:jc w:val="both"/>
        <w:rPr>
          <w:rFonts w:ascii="Times New Roman" w:eastAsia="Calibri" w:hAnsi="Times New Roman" w:cs="Times New Roman"/>
          <w:noProof/>
          <w:sz w:val="24"/>
          <w:szCs w:val="24"/>
        </w:rPr>
      </w:pPr>
      <w:r>
        <w:rPr>
          <w:rFonts w:ascii="Times New Roman" w:hAnsi="Times New Roman"/>
          <w:noProof/>
          <w:sz w:val="24"/>
        </w:rPr>
        <w:t>Förordningen om gröna linjen är fortfarande en lämplig grund för att möjliggöra passage för varor och personer till och från de regeringskontrollerade områdena i Republiken Cypern, men allmänt sett är kommissionen fortsatt bekymrad över att handeln ligger på en generellt låg nivå. Kommissionen anser att undanröjandet av de handelshinder som anges i denna rapport skulle bidra väsentligt till att öka handeln över linjen. Kommissionen hoppas att de två handelskamrarnas arbete för att stärka kontakterna mellan näringslivet i de båda områdena kommer att leda till starkare ekonomiska band.</w:t>
      </w:r>
    </w:p>
    <w:p>
      <w:pPr>
        <w:autoSpaceDE w:val="0"/>
        <w:autoSpaceDN w:val="0"/>
        <w:adjustRightInd w:val="0"/>
        <w:jc w:val="both"/>
        <w:rPr>
          <w:noProof/>
        </w:rPr>
      </w:pPr>
      <w:r>
        <w:rPr>
          <w:rFonts w:ascii="Times New Roman" w:hAnsi="Times New Roman"/>
          <w:noProof/>
          <w:sz w:val="24"/>
        </w:rPr>
        <w:t xml:space="preserve">Mot denna bakgrund fortsätter kommissionen att förlita sig på samarbetet med Republiken Cypern och det suveräna basområdet för att säkerställa ett ändamålsenligt genomförande av rådets förordning (EG) nr 866/2004. Kommissionen kommer att fortsätta att övervaka genomförandet av förordningen. </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569564"/>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 xml:space="preserve">EUT L 161, 30.4.2004, s. 128. Förordningen senast ändrad genom rådets förordning (EU) nr 685/2013 av den 15 juli 2013, EUT L 196, 19.7.2013, s. 1, den s.k. </w:t>
      </w:r>
      <w:r>
        <w:rPr>
          <w:rFonts w:ascii="Times New Roman" w:hAnsi="Times New Roman"/>
          <w:i/>
        </w:rPr>
        <w:t>förordningen om gröna linjen</w:t>
      </w:r>
      <w:r>
        <w:rPr>
          <w:rFonts w:ascii="Times New Roman" w:hAnsi="Times New Roman"/>
        </w:rPr>
        <w:t>.</w:t>
      </w:r>
    </w:p>
  </w:footnote>
  <w:footnote w:id="3">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Se det tredje skälet i förordningen om gröna linjen.</w:t>
      </w:r>
    </w:p>
  </w:footnote>
  <w:footnote w:id="4">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Republiken Cyperns myndigheter för inga register över grekcyprioter som återvänder till de regeringskontrollerade områdena eller turkcyprioter som återvänder till den norra delen av Cypern.</w:t>
      </w:r>
    </w:p>
  </w:footnote>
  <w:footnote w:id="5">
    <w:p>
      <w:pPr>
        <w:pStyle w:val="FootnoteText"/>
        <w:ind w:left="720" w:hanging="720"/>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Det saknas statistik för icke-cypriotiska EU-medborgare och tredjelandsmedborgare för den nuvarande rapporteringsperioden.</w:t>
      </w:r>
      <w:r>
        <w:t xml:space="preserve">  </w:t>
      </w:r>
    </w:p>
  </w:footnote>
  <w:footnote w:id="6">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Kommissionens genomförandeförordning (EU) 2015/1472 av den 26 augusti 2015, EUT L 225, 28.8.2015, s. 3.</w:t>
      </w:r>
    </w:p>
  </w:footnote>
  <w:footnote w:id="7">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Style w:val="FootnoteReference"/>
        </w:rPr>
        <w:t xml:space="preserve"> </w:t>
      </w:r>
      <w:r>
        <w:tab/>
      </w:r>
      <w:r>
        <w:rPr>
          <w:rFonts w:ascii="Times New Roman" w:hAnsi="Times New Roman"/>
        </w:rPr>
        <w:t xml:space="preserve">Rapport från FN:s generalsekreterare om UNFICYP [S/2019/37] av den 11 januari 2019, punkt 31. </w:t>
      </w:r>
    </w:p>
  </w:footnote>
  <w:footnote w:id="8">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Medborgare i Turkiet: 380, Syrien: 411, Turkmenistan: 708, Iran: 284, Irak: 333, övriga: 1 657.</w:t>
      </w:r>
    </w:p>
  </w:footnote>
  <w:footnote w:id="9">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 xml:space="preserve">Medborgare i Turkiet: 373, Pakistan: 85, Nigeria: 58, Syrien: 54, Turkmenistan: 20, övriga: 280. </w:t>
      </w:r>
    </w:p>
  </w:footnote>
  <w:footnote w:id="10">
    <w:p>
      <w:pPr>
        <w:pStyle w:val="FootnoteText"/>
        <w:ind w:left="709" w:hanging="709"/>
        <w:jc w:val="both"/>
      </w:pPr>
      <w:r>
        <w:rPr>
          <w:rStyle w:val="FootnoteReference"/>
        </w:rPr>
        <w:footnoteRef/>
      </w:r>
      <w:r>
        <w:tab/>
      </w:r>
      <w:r>
        <w:rPr>
          <w:rFonts w:ascii="Times New Roman" w:hAnsi="Times New Roman"/>
        </w:rPr>
        <w:t>Av de 18 irreguljära migranter som greps i det östra suveräna basområdet ansökte 12 om asyl och överlämnades till myndigheterna i Republiken Cypern. Dessa lades till det totala antal personer som hade passerat linjen olagligt och som redovisas per nationalitet i tabell VII i arbetsdokumentet från kommissionens avdelningar SWD(2019) 290.</w:t>
      </w:r>
      <w:r>
        <w:t xml:space="preserve"> </w:t>
      </w:r>
    </w:p>
  </w:footnote>
  <w:footnote w:id="11">
    <w:p>
      <w:pPr>
        <w:pStyle w:val="FootnoteText"/>
        <w:ind w:left="720" w:hanging="720"/>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Medborgare i Förenta staterna: 55, Ukraina: 96, Ryssland: 63, Argentina: 27, Bosnien och Hercegovina 29.</w:t>
      </w:r>
    </w:p>
  </w:footnote>
  <w:footnote w:id="12">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EUT L 236, 23.9.2003, s. 940.</w:t>
      </w:r>
    </w:p>
  </w:footnote>
  <w:footnote w:id="13">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I artikel 4.1 anges att varorna i sin helhet ska ha framställts i de områden där Republiken Cyperns regering inte har faktisk kontroll eller har genomgått den sista väsentliga och ekonomiskt berättigade bearbetningen eller behandlingen, vilken skedde i ett företag utrustat för det ändamålet, i de områden där Republiken Cyperns regering inte har faktisk kontroll.</w:t>
      </w:r>
    </w:p>
  </w:footnote>
  <w:footnote w:id="14">
    <w:p>
      <w:pPr>
        <w:pStyle w:val="FootnoteText"/>
        <w:ind w:left="720" w:hanging="720"/>
        <w:jc w:val="both"/>
        <w:rPr>
          <w:rFonts w:ascii="Times New Roman" w:hAnsi="Times New Roman" w:cs="Times New Roman"/>
          <w:lang w:val="nn-NO"/>
        </w:rPr>
      </w:pPr>
      <w:r>
        <w:rPr>
          <w:rStyle w:val="FootnoteReference"/>
          <w:rFonts w:ascii="Times New Roman" w:hAnsi="Times New Roman"/>
        </w:rPr>
        <w:footnoteRef/>
      </w:r>
      <w:r>
        <w:rPr>
          <w:lang w:val="nn-NO"/>
        </w:rPr>
        <w:tab/>
      </w:r>
      <w:r>
        <w:rPr>
          <w:rFonts w:ascii="Times New Roman" w:hAnsi="Times New Roman"/>
          <w:lang w:val="nn-NO"/>
        </w:rPr>
        <w:t>Kommissionens förordning (EG) nr 1480/2004 av den 10 augusti 2004, EUT L 272, 20.8.2004, s. 3.</w:t>
      </w:r>
    </w:p>
  </w:footnote>
  <w:footnote w:id="15">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 xml:space="preserve">Tabell IV i arbetsdokumentet från kommissionens avdelningar SWD(2019) 290. </w:t>
      </w:r>
    </w:p>
  </w:footnote>
  <w:footnote w:id="16">
    <w:p>
      <w:pPr>
        <w:spacing w:after="0" w:line="240" w:lineRule="auto"/>
        <w:ind w:left="720" w:hanging="720"/>
        <w:jc w:val="both"/>
        <w:rPr>
          <w:rStyle w:val="FootnoteTextChar"/>
        </w:rPr>
      </w:pPr>
      <w:r>
        <w:rPr>
          <w:rStyle w:val="FootnoteReference"/>
          <w:rFonts w:ascii="Times New Roman" w:hAnsi="Times New Roman"/>
          <w:sz w:val="20"/>
        </w:rPr>
        <w:footnoteRef/>
      </w:r>
      <w:r>
        <w:tab/>
      </w:r>
      <w:r>
        <w:rPr>
          <w:rFonts w:ascii="Times New Roman" w:hAnsi="Times New Roman"/>
          <w:sz w:val="20"/>
        </w:rPr>
        <w:t>I artikel 2.4 i kommissionens förordning (EG) nr 1480/2004 står det att Republiken Cyperns myndigheter ska underrätta kommissionen när de har skäliga tvivel om huruvida varorna uppfyller ursprungskriterierna.</w:t>
      </w:r>
    </w:p>
  </w:footnote>
  <w:footnote w:id="17">
    <w:p>
      <w:pPr>
        <w:pStyle w:val="FootnoteText"/>
        <w:ind w:left="720" w:hanging="720"/>
        <w:jc w:val="both"/>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Se t.ex. den nionde, tionde, elfte, tolfte, trettonde och fjortonde rapporten om genomförandet av rådets förordning (EG) nr 866/2004 och om den situation som är resultatet av dess tillämpning.</w:t>
      </w:r>
      <w:r>
        <w:t xml:space="preserve"> </w:t>
      </w:r>
    </w:p>
  </w:footnote>
  <w:footnote w:id="18">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COM(2015) 380 final – 2015/0165 (NLE).</w:t>
      </w:r>
    </w:p>
  </w:footnote>
  <w:footnote w:id="19">
    <w:p>
      <w:pPr>
        <w:pStyle w:val="FootnoteText"/>
        <w:rPr>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http://europa.eu/rapid/press-release_MEX-15-5402_en.htm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16994"/>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B1B6CE5-ABFE-48BE-977C-D210B068C002"/>
    <w:docVar w:name="LW_COVERPAGE_TYPE" w:val="1"/>
    <w:docVar w:name="LW_CROSSREFERENCE" w:val="{SWD(2019) 290 final}"/>
    <w:docVar w:name="LW_DocType" w:val="NORMAL"/>
    <w:docVar w:name="LW_EMISSION" w:val="5.7.2019"/>
    <w:docVar w:name="LW_EMISSION_ISODATE" w:val="2019-07-05"/>
    <w:docVar w:name="LW_EMISSION_LOCATION" w:val="BRX"/>
    <w:docVar w:name="LW_EMISSION_PREFIX" w:val="Bryssel den "/>
    <w:docVar w:name="LW_EMISSION_SUFFIX" w:val=" "/>
    <w:docVar w:name="LW_ID_DOCTYPE_NONLW" w:val="CP-004"/>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9) 3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lt;FMT:Bold&gt;Femtonde rapporten om genomförandet av rådets förordning (EG) nr 866/2004 av den 29 april 2004 och om den situation som är resultatet av dess tillämpning under perioden 1 januari\u8211?31 december 2018&lt;/FMT&gt;"/>
    <w:docVar w:name="LW_TYPE.DOC.CP" w:val="RAPPORT FRÅN KOMMISSIONEN TILL RÅDE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uiPriority w:val="99"/>
    <w:semiHidden/>
    <w:unhideWhenUsed/>
    <w:rPr>
      <w:shd w:val="clear" w:color="auto" w:fill="auto"/>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CM4">
    <w:name w:val="CM4"/>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numbering" w:styleId="111111">
    <w:name w:val="Outline List 2"/>
    <w:basedOn w:val="NoList"/>
    <w:uiPriority w:val="99"/>
    <w:semiHidden/>
    <w:unhideWhenUsed/>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uiPriority w:val="99"/>
    <w:semiHidden/>
    <w:unhideWhenUsed/>
    <w:rPr>
      <w:shd w:val="clear" w:color="auto" w:fill="auto"/>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CM4">
    <w:name w:val="CM4"/>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numbering" w:styleId="111111">
    <w:name w:val="Outline List 2"/>
    <w:basedOn w:val="NoList"/>
    <w:uiPriority w:val="99"/>
    <w:semiHidden/>
    <w:unhideWhenUsed/>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6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2C3BC-EAEC-4BFB-B405-ED0EA02D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3253</Words>
  <Characters>19650</Characters>
  <Application>Microsoft Office Word</Application>
  <DocSecurity>0</DocSecurity>
  <Lines>293</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22</cp:revision>
  <cp:lastPrinted>2019-04-03T12:23:00Z</cp:lastPrinted>
  <dcterms:created xsi:type="dcterms:W3CDTF">2019-06-26T11:00:00Z</dcterms:created>
  <dcterms:modified xsi:type="dcterms:W3CDTF">2019-07-03T09:50:00Z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