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5838D424-5184-421F-BEC7-0DA41CE852BF" style="width:450.8pt;height:348.1pt">
            <v:imagedata r:id="rId9" o:title=""/>
          </v:shape>
        </w:pict>
      </w:r>
    </w:p>
    <w:bookmarkEnd w:id="0"/>
    <w:p>
      <w:pPr>
        <w:rPr>
          <w:rFonts w:ascii="Times New Roman" w:hAnsi="Times New Roman"/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lastRenderedPageBreak/>
        <w:t>SPRÁVA KOMISIE RADE</w:t>
      </w:r>
    </w:p>
    <w:p>
      <w:pPr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Pätnásta správa o vykonávaní nariadenia Rady (ES) č. 866/2004 z 29. apríla 2004 a o situácii vyplývajúcej z jeho uplatňovania za obdobie od 1. januára do 31. decembra 2018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Nariadenie Rady (ES) č. 866/2004 o režime podľa článku 2 protokolu 10 Aktu o pristúpení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 xml:space="preserve"> (ďalej len „nariadenie o demarkačnej línii“ alebo „NDL“) nadobudlo účinnosť 1. mája 2004. Stanovujú sa v ňom podmienky uplatňovania právnych predpisov EÚ na pohyb osôb, tovaru a služieb cez líniu medzi oblasťami Cyperskej republiky, v ktorých vláda nevykonáva skutočnú kontrolu, a oblasťami, v ktorých ju vykonáva. V záujme zabezpečenia účinnosti týchto pravidiel sa ich uplatňovanie rozšírilo na hranicu medzi uvedenými oblasťami a Východným výsostným územím Spojeného kráľovstva Veľkej Británie a Severného Írska (ESBA)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Táto správa sa týka obdobia od 1. januára do 31. decembra 2018.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Počas obdobia vykazovania Komisia so zreteľom na vykonávanie tohto nariadenia aj naďalej viedla konštruktívny dialóg s príslušnými orgánmi Cyperskej republiky a správou výsostného územia (SBA), ako aj dialóg s Turecko-cyperskou obchodnou komorou (ďalej len „TCOK“).</w:t>
      </w:r>
    </w:p>
    <w:p>
      <w:pPr>
        <w:keepNext/>
        <w:tabs>
          <w:tab w:val="num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</w:rPr>
      </w:pPr>
      <w:r>
        <w:rPr>
          <w:rFonts w:ascii="Times New Roman" w:hAnsi="Times New Roman"/>
          <w:b/>
          <w:bCs/>
          <w:smallCaps/>
          <w:noProof/>
          <w:sz w:val="24"/>
          <w:szCs w:val="24"/>
        </w:rPr>
        <w:t>1.</w:t>
      </w:r>
      <w:r>
        <w:rPr>
          <w:rFonts w:ascii="Times New Roman" w:hAnsi="Times New Roman"/>
          <w:b/>
          <w:bCs/>
          <w:smallCaps/>
          <w:noProof/>
          <w:sz w:val="24"/>
          <w:szCs w:val="24"/>
        </w:rPr>
        <w:tab/>
        <w:t>PRECHOD OSÔB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1.1.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Prechod osôb na povolených miestach prechodu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Nariadením sa stanovuje stabilný právny rámec pre prechod Cyperčanov, ostatných občanov EÚ a štátnych príslušníkov tretích krajín, ktorí prekračujú demarkačnú líniu (ďalej len „línia“) na povolených miestach prechodu. V porovnaní s predchádzajúcimi rokmi stúpol v roku 2018 počet gréckych Cyperčanov a poklesol počet tureckých Cyperčanov prekračujúcich líniu.</w:t>
      </w:r>
    </w:p>
    <w:p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Podľa údajov Polície Cyperskej republiky (ďalej len „CYPOL“) bolo zaznamenaných 1 014 340 (v predchádzajúcom roku: 646 569) prekročení línie gréckymi Cyperčanmi a 486 040 prekročení vozidlami gréckych Cyperčanov (v predchádzajúcom roku: 267 467) z oblastí kontrolovaných vládou do severnej časti Cypru a 1 076 667 (v predchádzajúcom roku: 1 140 682) prekročení línie tureckými Cyperčanmi a 417 629 prekročení vozidlami tureckých Cyperčanov (v predchádzajúcom roku: 435 882) zo severnej časti Cypru do oblastí kontrolovaných vládou v priebehu obdobia vykazovania</w:t>
      </w:r>
      <w:r>
        <w:rPr>
          <w:rFonts w:ascii="Times New Roman" w:hAnsi="Times New Roman"/>
          <w:noProof/>
          <w:sz w:val="24"/>
          <w:vertAlign w:val="superscript"/>
        </w:rPr>
        <w:footnoteReference w:id="4"/>
      </w:r>
      <w:r>
        <w:rPr>
          <w:rFonts w:ascii="Times New Roman" w:hAnsi="Times New Roman"/>
          <w:noProof/>
          <w:sz w:val="24"/>
        </w:rPr>
        <w:t>. Významný nárast počtu gréckych Cyperčanov, ako aj mierny pokles počtu tureckých Cyperčanov prekračujúcich líniu boli pripisované najmä poklesu hodnoty tureckej líry voči euru v priebehu roka 2018.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Počet občanov EÚ iných ako Cyperčanov a štátnych príslušníkov tretích krajín, ktorí prekročili líniu, naďalej rástol. Počas obdobia vykazovania prekročilo líniu 1 129 293 občanov EÚ iných ako Cyperčanov, a štátnych príslušníkov tretích krajín (v predchádzajúcom roku: 822 318).</w:t>
      </w:r>
    </w:p>
    <w:p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V už uvedených údajoch CYPOL nie sú zahrnuté údaje o osobách a vozidlách prekračujúcich líniu zo severnej časti Cypru na miestach prechodu Pergamos a Strovilia, ktoré patria do právomoci Východného výsostného územia Spojeného kráľovstva Veľkej Británie a Severného Írska (ESBA). V </w:t>
      </w:r>
      <w:r>
        <w:rPr>
          <w:rFonts w:ascii="Times New Roman" w:hAnsi="Times New Roman"/>
          <w:noProof/>
          <w:sz w:val="24"/>
        </w:rPr>
        <w:t>tejto súvislosti ESBA oznamuje, že bolo zaznamenaných 236 156 (v predchádzajúcom roku: 140 913) prekročení línie gréckymi Cyperčanmi a 133 270 prekročení vozidlami gréckych Cyperčanov (v predchádzajúcom roku: 59 852) do severnej časti Cypru. Zároveň bolo zaznamenaných 471 690 (v predchádzajúcom roku: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457 314) prekročení línie tureckými Cyperčanmi a 292 099 prekročení vozidlami tureckých Cyperčanov (v predchádzajúcom roku: </w:t>
      </w:r>
      <w:r>
        <w:rPr>
          <w:rFonts w:ascii="Times New Roman" w:hAnsi="Times New Roman"/>
          <w:noProof/>
        </w:rPr>
        <w:t>272 090) v opačnom smere</w:t>
      </w:r>
      <w:r>
        <w:rPr>
          <w:rStyle w:val="FootnoteReference"/>
          <w:rFonts w:ascii="Times New Roman" w:hAnsi="Times New Roman"/>
          <w:noProof/>
          <w:sz w:val="24"/>
        </w:rPr>
        <w:footnoteReference w:id="5"/>
      </w:r>
      <w:r>
        <w:rPr>
          <w:rFonts w:ascii="Times New Roman" w:hAnsi="Times New Roman"/>
          <w:noProof/>
        </w:rPr>
        <w:t>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Dňa 12. novembra 2018 začali fungovať dve nové miesta prechodu Deryneia a Lefka-Apliki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roku 2018 sa počet príslušníkov CYPOL pracujúcich na miestach prechodu zvýšil zo 69 na 95 v dôsledku nasadenia 26 príslušníkov na miesta prechodu Deryneia a Lefka-Apliki.</w:t>
      </w:r>
    </w:p>
    <w:p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 údajov získaných komunitou tureckých Cyperčanov v roku 2018 vyplýva zvýšenie počtu prekročení línie gréckymi Cyperčanmi na 1 633 076 (v predchádzajúcom roku: 1 066 284) a vozidlami gréckych Cyperčanov na 731 215 (v predchádzajúcom roku: 392 300) z oblastí kontrolovaných vládou do severnej časti Cypru v roku 2018.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>Uvádza sa v nich aj mierny pokles počtu prekročení línie tureckými Cyperčanmi na 1 759 837 (v predchádzajúcom roku: 1 796 353), ale aj zvýšenie počtu prekročení vozidlami tureckých Cyperčanov na 794 474 (v predchádzajúcom roku: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</w:rPr>
        <w:t>782 656) v opačnom smere.</w:t>
      </w:r>
      <w:r>
        <w:rPr>
          <w:rFonts w:ascii="Times New Roman" w:hAnsi="Times New Roman"/>
          <w:noProof/>
          <w:sz w:val="24"/>
          <w:szCs w:val="24"/>
        </w:rPr>
        <w:t xml:space="preserve"> Podľa poskytnutých štatistík prešlo z oblastí kontrolovaných vládou do severnej časti Cypru 1 814 194 občanov EÚ iných ako Cyperčanov, a štátnych príslušníkov tretích krajín (v predchádzajúcom roku: </w:t>
      </w:r>
      <w:r>
        <w:rPr>
          <w:rFonts w:ascii="Times New Roman" w:hAnsi="Times New Roman"/>
          <w:noProof/>
          <w:sz w:val="24"/>
        </w:rPr>
        <w:t>1 546 475).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roku 2018 neboli hlásené žiadne incidenty týkajúce sa prekročení línie. Orgány Cyperskej republiky však doteraz nepovoľujú prechod autobusov tureckých Cyperčanov prepravujúcich občanov EÚ do oblastí kontrolovaných vládou.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Mierové sily OSN na Cypre (UNFICYP) naďalej uľahčovali vykonávanie náboženských obradov obomi komunitami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>. UNFICYP zaznamenali nárast počtu schválených náboženských obradov, o ktorých umožnenie boli požiadané v severnej časti Cypru v porovnaní s rovnakým obdobím roka 2017.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1.2.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Neregulárna migrácia cez demarkačnú líniu a azyl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 údajov CYPOL za rok 2018 vyplýva významné zvýšenie počtu migrantov, ktorí neregulárne prekročili líniu zo severnej časti Cypru a prešli do oblastí kontrolovaných vládou. V roku 2018 týmto spôsobom prekročilo líniu 4 451 neregulárnych migrantov zatiaľ čo v roku 2017 to bolo 1 686 osôb, v roku 2016 išlo o 1 499 osôb a v roku 2015 počet neregulárnych migrantov predstavoval 1290 osôb. Hlavnými krajinami pôvodu neregulárnych migrantov boli Sýria (1 573), Kamerun (472), Pakistan (444), Bangladéš (391) a Irak (328). Toto výrazné zvýšenie migrácie zvyšuje obavy orgánov Cyperskej republiky.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Zo 4 451 neregulárnych migrantov požiadalo o medzinárodnú ochranu v Cyperskej republike 95 % (4 233 neregulárnych migrantov). Krajinou pôvodu s najvyšším počtom žiadateľov bola Sýria (1 571 osôb). Orgány Cyperskej republiky oznámili, že počet schválených žiadostí o azyl sa v porovnaní s rokom 2017 významne zvýšil.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CYPOL bola schopná identifikovať osoby použitím rovnakých kritérií ako v predchádzajúcich rokoch, najmä prostredníctvom informácií obsiahnutých v ich cestovných dokladoch a vyhlásení príslušných migrantov. Podľa tohto posúdenia takmer všetci migranti zadržaní v oblastiach kontrolovaných vládou po neregulárnom prekročení línie prišli najskôr do severnej časti Cypru z Turecka.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Komunita tureckých Cyperčanov potvrdila, že v severnej časti Cypru pokračovala v úsilí o predchádzanie neregulárnej migrácii. V roku 2018 bol zamietnutý vstup do severnej časti Cypru 3 773 osobám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noProof/>
          <w:sz w:val="24"/>
          <w:szCs w:val="24"/>
        </w:rPr>
        <w:t xml:space="preserve"> a 870 osôb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9"/>
      </w:r>
      <w:r>
        <w:rPr>
          <w:rFonts w:ascii="Times New Roman" w:hAnsi="Times New Roman"/>
          <w:noProof/>
          <w:sz w:val="24"/>
          <w:szCs w:val="24"/>
        </w:rPr>
        <w:t>, ktoré boli zadržané v severnej časti Cypru, bolo vrátených do Turecka, z ktorého prišli na ostrov.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Zástupcovia oboch komunít sa stretli v rámci spoločného Technického výboru pre trestné činy a trestné záležitosti (TCCCM), ktorý pôsobí pod záštitou OSN. V rámci rozšírenia tohto výboru obidve komunity naďalej využívali spoločné komunikačné stredisko („Joint Communications Room“), ktoré ponúka fórum na výmenu informácií o trestných veciach.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CYPOL označila spoluprácu s ostatnými príslušnými štátnymi orgánmi Cyperskej republiky a so správou východného výsostného územia za veľmi dobrú.</w:t>
      </w:r>
    </w:p>
    <w:p>
      <w:pPr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Východné výsostné územie (ESBA)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Neregulárna migrácia zo severnej časti Cypru cez východné výsostné územie sa zvýšila. V roku 2018 boli zadržaní 18 neregulárni migranti po tom, ako neregulárne prekročili líniu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0"/>
      </w:r>
      <w:r>
        <w:rPr>
          <w:rFonts w:ascii="Times New Roman" w:hAnsi="Times New Roman"/>
          <w:noProof/>
          <w:sz w:val="24"/>
          <w:szCs w:val="24"/>
        </w:rPr>
        <w:t>. Prekročenie línie nebolo povolené 1 248 osobám, z ktorých najvyšší počet (277) tvorili tureckí občania. V </w:t>
      </w:r>
      <w:r>
        <w:rPr>
          <w:rFonts w:ascii="Times New Roman" w:hAnsi="Times New Roman"/>
          <w:noProof/>
        </w:rPr>
        <w:t>súlade s príslušnými ustanoveniami protokolu č. 3 k Aktu o podmienkach pristúpenia Cyperskej republiky orgány ESBA odmietli povoliť cudzím štátnym príslušníkom z USA, Ukrajiny, Ruska, Argentíny a Bosny a Hercegoviny, ktorí prišli cez severnú časť Cypru, aby prekročili demarkačnú líniu</w:t>
      </w:r>
      <w:r>
        <w:rPr>
          <w:rStyle w:val="FootnoteReference"/>
          <w:rFonts w:ascii="Times New Roman" w:hAnsi="Times New Roman"/>
          <w:noProof/>
          <w:sz w:val="24"/>
        </w:rPr>
        <w:footnoteReference w:id="11"/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Tieto osoby boli nasmerované na miesta prechodu mimo východného výsostného územia, aby sa podrobili kontrolám podľa požiadaviek Cyperskej republiky na vstupe.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Pracovníci správy výsostného územia naďalej uvádzali, že spolupráca s Cyperskou republikou je aj naďalej vynikajúca.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rámci boja s neregulárnou migráciou polícia výsostného územia vykonávala hliadky mimo miest prechodu na základe vyhodnotenia príslušného rizika a s využitím spravodajských informácií. Doplnili ich hliadky colných a vojenských pracovníkov výsostného územia.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Osobitne ťažké je kontrolovať štyri „nepovolené miesta prechodu“ v obci alebo v blízkosti obce Pergamos, ktoré používajú miestni obyvatelia a poľnohospodári. Ako bolo uvedené v predchádzajúcich správach, tieto „nepovolené miesta prechodu“ sú stále zdrojom obáv, pre ktoré by sa malo nájsť vhodné riešenie v súlade s článkom 5 ods. 2 protokolu č. 3 k Aktu o podmienkach pristúpenia z roku 2003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2"/>
      </w:r>
      <w:r>
        <w:rPr>
          <w:rFonts w:ascii="Times New Roman" w:hAnsi="Times New Roman"/>
          <w:noProof/>
          <w:sz w:val="24"/>
          <w:szCs w:val="24"/>
        </w:rPr>
        <w:t>. Zástupcovia výsostného územia vyhlásili, že v prípade potreby je možné do oblastí nepovolených miest prechodu rýchlo nasadiť hliadky.</w:t>
      </w:r>
    </w:p>
    <w:p>
      <w:pPr>
        <w:keepNext/>
        <w:tabs>
          <w:tab w:val="num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</w:rPr>
      </w:pPr>
      <w:r>
        <w:rPr>
          <w:rFonts w:ascii="Times New Roman" w:hAnsi="Times New Roman"/>
          <w:b/>
          <w:bCs/>
          <w:smallCaps/>
          <w:noProof/>
          <w:sz w:val="24"/>
          <w:szCs w:val="24"/>
        </w:rPr>
        <w:t>2.</w:t>
      </w:r>
      <w:r>
        <w:rPr>
          <w:rFonts w:ascii="Times New Roman" w:hAnsi="Times New Roman"/>
          <w:b/>
          <w:bCs/>
          <w:smallCaps/>
          <w:noProof/>
          <w:sz w:val="24"/>
          <w:szCs w:val="24"/>
        </w:rPr>
        <w:tab/>
        <w:t>PREPRAVA TOVARU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2.1.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Hodnota obchodu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Podľa článku 4 nariadenia o demarkačnej línii sa tovar môže uviesť z oblastí, ktoré nie sú pod kontrolou vlády, do oblastí pod kontrolou vlády pod podmienkou, že spĺňa kritériá stanovené v článku 4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3"/>
      </w:r>
      <w:r>
        <w:rPr>
          <w:rFonts w:ascii="Times New Roman" w:hAnsi="Times New Roman"/>
          <w:noProof/>
          <w:sz w:val="24"/>
          <w:szCs w:val="24"/>
        </w:rPr>
        <w:t xml:space="preserve"> a je k nemu pripojený dokument vydaný Turecko-cyperskou obchodnou komorou. Podľa článku 8 nariadenia Komisie (ES) č. 1480/2004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4"/>
      </w:r>
      <w:r>
        <w:rPr>
          <w:rFonts w:ascii="Times New Roman" w:hAnsi="Times New Roman"/>
          <w:noProof/>
          <w:sz w:val="24"/>
          <w:szCs w:val="24"/>
        </w:rPr>
        <w:t xml:space="preserve"> Turecko-cyperská obchodná komora a úrady Cyperskej republiky oznamovali každý mesiac informácie o druhu, objeme a hodnote tovaru, ku ktorému boli vydané sprievodné doklady.</w:t>
      </w:r>
    </w:p>
    <w:p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Podľa správ TCOK celková hodnota tovaru, ku ktorému boli vydané sprievodné doklady, predstavovala 5 405 121 EUR (v predchádzajúcom roku: 5 697 695 EUR). Tieto údaje predstavujú v porovnaní s rokom 2017 pokles celkovej hodnoty tovaru, pre ktorý boli vydané sprievodné doklady, a to o 5,1 %.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Podľa štatistík, ktoré poskytla Cyperská republika, sa celková obchodná hodnota tovaru so sprievodnými dokladmi, ktorý prekročil líniu, zvýšila o 1,4 % na hodnotu 4 856 892 EUR (v predchádzajúcom roku: 4 790 964 EUR).</w:t>
      </w:r>
    </w:p>
    <w:p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Hoci to nepatrí do pôsobnosti nariadenia o demarkačnej línii, podľa údajov Cyperskej obchodnej a priemyselnej komory (COPK) sa obchod z oblastí kontrolovaných vládou do severnej časti Cypru výrazne znížil približne o 14,3 % z hodnoty 1 343 524 EUR v roku 2017 na 1 151 723 EUR v roku 2018. Obchod z oblastí kontrolovaných vládou do severnej časti Cypru predstavuje 23,7 % obchodu v opačnom smere (28 % v roku 2017).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Komunita tureckých Cyperčanov aj naďalej uplatňovala obchodný režim, ktorý v zásade „odzrkadľuje“ obmedzenia uvedené v nariadení o demarkačnej línii. Turecko-cyperské zainteresované strany identifikovali ako hlavný dôvod tejto situácie ochranu miestnych podnikov. Tento režim sa však neuplatňuje vždy dôsledne.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2.2.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Druh tovaru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roku 2018 sa najviac obchodovalo s výrobkami z plastu, ďalej s čerstvými rybami, stavebným materiálom a odpadom alebo šrotom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5"/>
      </w:r>
      <w:r>
        <w:rPr>
          <w:rFonts w:ascii="Times New Roman" w:hAnsi="Times New Roman"/>
          <w:noProof/>
          <w:sz w:val="24"/>
          <w:szCs w:val="24"/>
        </w:rPr>
        <w:t>. Obchod so zemiakmi poklesol v dôsledku slabej úrody.</w:t>
      </w:r>
    </w:p>
    <w:p>
      <w:pPr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 trh sa uviedli nové výrobky, ako sú vlhčené obrúsky, použité batérie, plastové nádrže na vodu a priemyselné pece z nehrdzavejúcej ocele. Všetok obchod cez líniu sa uskutočňoval len v rámci ostrova.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2.3.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Nezrovnalosti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</w:rPr>
        <w:t>Oddelenie pre clá a spotrebné dane Cyperskej republiky viedlo konzultácie s Komisiou o tom, či nádoba naplnená látkou označenou ako „riedidlo“, s ktorou sa obchodovalo cez demarkačnú líniu, spĺňala kritériá pôvodu uvedené v článku 4 ods. 1 nariadenia o demarkačnej línii</w:t>
      </w:r>
      <w:r>
        <w:rPr>
          <w:rStyle w:val="FootnoteReference"/>
          <w:rFonts w:ascii="Times New Roman" w:eastAsia="Calibri" w:hAnsi="Times New Roman" w:cs="Times New Roman"/>
          <w:noProof/>
          <w:sz w:val="24"/>
          <w:szCs w:val="24"/>
        </w:rPr>
        <w:footnoteReference w:id="16"/>
      </w:r>
      <w:r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Po preskúmaní tejto otázky Komisia informovala colné orgány, že zmes spĺňa podmienky článku 4 ods. 1. Komisia však dospela aj k záveru, že je veľmi pravdepodobné, že ustanovenia nariadenia (ES) č. 1272/2008 o klasifikácii, označovaní a balení látok a zmesí boli porušené, pretože nádoba nespĺňala pravidlá týkajúce sa označovania nebezpečných látok. Komisia poskytla svoje hodnotenie TCOK, ktorá informovala výrobcu o pravidlách uplatniteľných na obchodovanie s týmto druhom výrobku.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2.4.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Prekážky a problémy spojené s pohybom tovaru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Prekážky obchodu cez líniu naďalej pretrvávajú a Komisia a hospodárske subjekty z radov tureckých Cyperčanov sa domnievajú, že práve to je dôvodom nízkeho objemu obchodu.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Ako sa uvádza v predchádzajúcich správach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7"/>
      </w:r>
      <w:r>
        <w:rPr>
          <w:rFonts w:ascii="Times New Roman" w:hAnsi="Times New Roman"/>
          <w:noProof/>
          <w:sz w:val="24"/>
          <w:szCs w:val="24"/>
        </w:rPr>
        <w:t xml:space="preserve">, doteraz sa nevyriešil problém s úžitkovými vozidlami tureckých Cyperčanov, ktoré vstupujú do oblastí kontrolovaných vládou, žiadne úžitkové vozidlá tureckých Cyperčanov s hmotnosťou nad 7,5 tony nesmú prekročiť líniu, ak nemajú doklady vydané Cyperskou republikou, ktoré sú v plnom súlade s acquis. Orgány Cyperskej republiky informovali Komisiu o tom, že zaviedli opatrenia, vďaka ktorým tureckí Cyperčania budú môcť jednoduchšie získavať osvedčenia o technickej spôsobilosti a vodičské preukazy vodičov z povolania. Komisia je presvedčená, že vyriešenie tohto problému by významne prispelo k zvýšeniu objemu obchodu, keďže by sa tým uľahčila preprava tovaru. Okrem toho by sa posilnil kontakt medzi cyperskými hospodárskymi subjektmi, čo by významne prispelo k posilneniu dôvery medzi obidvomi komunitami. </w:t>
      </w:r>
      <w:r>
        <w:rPr>
          <w:rFonts w:ascii="Times New Roman" w:hAnsi="Times New Roman"/>
          <w:noProof/>
          <w:sz w:val="24"/>
        </w:rPr>
        <w:t>Komisia preto posudzuje potenciálnu podporu EÚ v oblasti bezpečnosti prepravy.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Ako bolo oznámené v predchádzajúcich rokoch, orgány Cyperskej republiky nepovoľujú prevážanie spracovaných potravinových výrobkov a materiálov určených na styk s potravinami cez líniu pre obavy, ktoré orgány na ochranu zdravia vyjadrili v súvislosti s výrobným postupom v severnej časti Cypru. Počas obdobia vykazovania Komisia potvrdila Cyperskej republike, že prevážanie týchto výrobkov cez demarkačnú líniu je podľa uplatniteľného právneho rámca povolené a nemalo by byť zakázané orgánmi Cyperskej republiky. </w:t>
      </w:r>
      <w:r>
        <w:rPr>
          <w:rFonts w:ascii="Times New Roman" w:hAnsi="Times New Roman"/>
          <w:iCs/>
          <w:noProof/>
          <w:sz w:val="24"/>
          <w:szCs w:val="24"/>
        </w:rPr>
        <w:t>Môžu síce odobrať vzorky výrobkov na miestach prechodu na ďalšiu analýzu v súlade s uplatňovaním nariadenia o demarkačnej línii, nemali by však brániť prevážaniu všetkých spracovaných potravín cez líniu.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Komisia navrhla, aby sa zaviedol mechanizmus, ktorý uľahčí prevážanie spracovaných potravín a materiálov určených na styk s potravinami, pričom sa budú riešiť ďalšie aspekty bezpečnosti.</w:t>
      </w:r>
      <w:r>
        <w:rPr>
          <w:rFonts w:ascii="Times New Roman" w:hAnsi="Times New Roman"/>
          <w:noProof/>
          <w:sz w:val="24"/>
          <w:szCs w:val="24"/>
        </w:rPr>
        <w:t xml:space="preserve"> Ďalšie diskusie, ktoré si Komisia vyžiadala s cieľom nájsť riešenie, sa do času prípravy tejto správy neuskutočnili. Komisia je naďalej znepokojená, pokiaľ ide o správne vykonávanie nariadenia o demarkačnej línii, a zváži, ako k tejto záležitosti ďalej pristupovať.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Podobne ako v predchádzajúcich rokoch, obchodníci z radov tureckých Cyperčanov stále hlásia ťažkosti so zaradením svojich výrobkov do ponuky obchodov a s propagovaním svojich výrobkov a služieb v oblastiach kontrolovaných vládou, ktoré obmedzujú obchod. Obchodníci naďalej oznamujú odmietavý postoj gréckych Cyperčanov ku kupovaniu turecko-cyperských výrobkov. Okrem toho bolo uvedené, že obchodníci z oboch komunít čelia mnohým administratívnym problémom, pokiaľ chcú nadviazať vzájomnú obchodnú spoluprácu. Hospodárske subjekty z oboch strán musia mať možnosť slobodne nadväzovať obchodné vzťahy na základe svojich obchodných požiadaviek.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6"/>
        </w:rPr>
      </w:pPr>
      <w:r>
        <w:rPr>
          <w:rFonts w:ascii="Times New Roman" w:hAnsi="Times New Roman"/>
          <w:b/>
          <w:bCs/>
          <w:noProof/>
          <w:sz w:val="24"/>
          <w:szCs w:val="26"/>
        </w:rPr>
        <w:t>2.5.</w:t>
      </w:r>
      <w:r>
        <w:rPr>
          <w:rFonts w:ascii="Times New Roman" w:hAnsi="Times New Roman"/>
          <w:b/>
          <w:bCs/>
          <w:noProof/>
          <w:sz w:val="24"/>
          <w:szCs w:val="26"/>
        </w:rPr>
        <w:tab/>
        <w:t>Pašovanie tovaru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Pašovanie tovaru cez líniu bolo vzhľadom na zložitosť kontrolovania neregulárnych pohybov cez líniu naďalej rozšírené.</w:t>
      </w:r>
    </w:p>
    <w:p>
      <w:pPr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roku 2018 Cyperská republika zaistila pašovaný tovar v 1 711 prípadoch (v predchádzajúcom roku: 1 334). V roku 2018 sa zvýšilo množstvo cigariet a ručne šúľaného tabaku, ktoré Cyperská republika zhabala na demarkačnej línii: 469 870 cigariet a 587 513 gramov tabaku na ručné šúľanie cigariet (v predchádzajúcom roku: 203 290 cigariet a 440 259 gramov tabaku na ručné šúľanie cigariet). Podstatné zvýšenie sa pripisovalo zníženiu hodnoty tureckej líry voči euru počas roku 2018. V porovnaní s rokom 2017 došlo aj k výraznému nárastu o 45 % v oblasti pašovania tovaru porušujúceho práva duševného vlastníctva. Medzi ďalšie zaistené položky patril alkohol, pesticídy, poľnohospodárske výrobky a živočíšne a mliečne výrobky. Na okresný súd sa dostalo jedno stíhanie vo veci pašovania. Prípady pašovania malých množstiev cigariet boli zvyčajne riešené uložením správnej sankcie a konfiškáciou.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 roku 2018 orgány ESBA zaznamenali zvýšenie počtu zaistení pašovaného tovaru v rámci ESBA; došlo k 555 zaisteniam v porovnaní so 432 v roku 2017. Podobne ako v roku 2017 predstavovali najčastejšie zaistené položky cigarety a tabak na ručné šúľanie cigariet.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Pokiaľ ide o tradičné zásobovanie turecko-cyperského obyvateľstva obce Pyla, ktorá sa nachádza v nárazníkovej zóne (článok 4 ods. 10 nariadenia o demarkačnej línii), správa východného výsostného územia sledovala a zaznamenávala množstvá stavebného materiálu, rýb, cigariet atď.</w:t>
      </w:r>
    </w:p>
    <w:p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2.6.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Zjednodušenie podmienok obchodovania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aj naďalej hľadala možnosti, ako podporiť obchod cez líniu.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júli 2015 Komisia prijala návrh na zmenu nariadenia o demarkačnej línii. Cieľom návrhu je stanoviť spôsob, akým sa v oblastiach Cyperskej republiky, v ktorých vláda Cyperskej republiky nevykonáva skutočnú kontrolu, bude uplatňovať kontrolný mechanizmus pre tovar, na ktorý sa vzťahuje registrované označenie podľa nariadenia (EÚ) č. 1151/2012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8"/>
      </w:r>
      <w:r>
        <w:rPr>
          <w:rFonts w:ascii="Times New Roman" w:hAnsi="Times New Roman"/>
          <w:noProof/>
          <w:sz w:val="24"/>
          <w:szCs w:val="24"/>
        </w:rPr>
        <w:t>. O návrhu zmeny sa na konci obdobia vykazovania ešte rokovalo. Návrh je založený na spoločnej dohode o dočasnom riešení pre syr Halloumi/Hellim, ktorá sa má uplatňovať až do znovuzjednotenia Cypru a ku ktorej sa dospelo pod vedením predsedu Komisie Junckera počas jeho návštevy na Cypre 16. júla 2015</w:t>
      </w:r>
      <w:r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footnoteReference w:id="19"/>
      </w:r>
      <w:r>
        <w:rPr>
          <w:rFonts w:ascii="Times New Roman" w:hAnsi="Times New Roman"/>
          <w:noProof/>
          <w:sz w:val="24"/>
          <w:szCs w:val="24"/>
        </w:rPr>
        <w:t>.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 cieľom uľahčiť prevážanie čerstvých rýb orgány Cyperskej republiky predĺžili otváracie hodiny veterinárnej kontroly čerstvých rýb na mieste prechodu v Agios Dhometios. Kontroly sa budú vykonávať v pracovné dni od 7.30 do 15.00 h (koniec kontrol).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Turecko-cyperská obchodná komora opätovne vyjadrila všeobecný záujem o zrušenie zákazu obchodovania so všetkými živými zvieratami a so živočíšnymi produktmi v rozsahu, v ktorom tieto produkty zodpovedajú pravidlám a predpisom EÚ.</w:t>
      </w:r>
      <w:r>
        <w:rPr>
          <w:rFonts w:ascii="Times New Roman" w:hAnsi="Times New Roman"/>
          <w:noProof/>
          <w:sz w:val="24"/>
          <w:szCs w:val="24"/>
        </w:rPr>
        <w:t xml:space="preserve"> Cyperská republika opakovane vyjadrila ochotu preskúmať možnosť rozšírenia zoznamu tovaru, ktorý sa môže prepravovať do oblastí kontrolovaných vládou.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Komisia podnecuje hospodárske subjekty, aby využívali obchodné príležitosti, a víta intenzívne úsilie, ktoré vyvíja Cyperská obchodná a priemyselná komora a Turecko-cyperská obchodná komora.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2.7.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Tovar Únie dovezený naspäť do oblastí pod skutočnou kontrolou vlády Cyperskej republiky po tom, ako prejde cez oblasti, ktoré nie sú pod jej skutočnou kontrolou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Orgány Cyperskej republiky nahlásili, že do oblastí kontrolovaných vládou bolo naspäť dovezených 3 093 výrobkov, ktoré predtým prešli cez oblasti nekontrolované vládou. Uviedli, že tieto pohyby tovaru sú bezproblémové a že tovar sa väčšinou prepravuje v obidvoch smeroch cez miesta prechodu Kato Pyrgos-Karavostasi a Astromeritis-Zhodia.</w:t>
      </w:r>
    </w:p>
    <w:p>
      <w:pPr>
        <w:keepNext/>
        <w:numPr>
          <w:ilvl w:val="1"/>
          <w:numId w:val="0"/>
        </w:numPr>
        <w:tabs>
          <w:tab w:val="num" w:pos="850"/>
        </w:tabs>
        <w:spacing w:before="120" w:after="120" w:line="240" w:lineRule="auto"/>
        <w:ind w:left="850" w:hanging="850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2.8. </w:t>
      </w:r>
      <w:r>
        <w:rPr>
          <w:rFonts w:ascii="Times New Roman" w:hAnsi="Times New Roman"/>
          <w:b/>
          <w:bCs/>
          <w:noProof/>
          <w:sz w:val="24"/>
          <w:szCs w:val="24"/>
        </w:rPr>
        <w:tab/>
        <w:t>Tovar obsiahnutý v osobnej batožine osôb, ktoré prekračujú demarkačnú líniu</w:t>
      </w:r>
    </w:p>
    <w:p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Počas obdobia vykazovania orgány ESBA konzultovali s Komisiou o prevážaní paliva na osobnú spotrebu cez demarkačnú líniu. Podľa článku 6 ods. 1 nariadenia o demarkačnej línii sa tovar obsiahnutý v osobnej batožine osôb, ktoré prechádzajú líniu, oslobodzuje od dane z obratu a od spotrebnej dane, ako aj iných ciel, ak takýto tovar nemá komerčný charakter a jeho celková hodnota nepresahuje 260 EUR na osobu. Komisia potvrdila orgánom ESBA a Cyperskej republiky, že v prípade palív obsiahnutých v plastových nádobách je potrebná analýza jednotlivých prípadov, aby sa zistilo, či je palivo na každom prechode na komerčné účely, a ak nie, či jeho hodnota presahuje 260 EUR na osobu. V nariadení o demarkačnej línii sa zároveň nestanovujú žiadne kontroly, ktoré sa majú vykonať v prípade paliva nachádzajúceho sa v štandardných nádržiach vozidiel prechádzajúcich cez líniu, a preto neexistujú žiadne dôvody na zamietnutie alebo obmedzenie tohto prechodu.</w:t>
      </w:r>
    </w:p>
    <w:p>
      <w:pPr>
        <w:keepNext/>
        <w:tabs>
          <w:tab w:val="num" w:pos="850"/>
        </w:tabs>
        <w:spacing w:before="360" w:after="120" w:line="240" w:lineRule="auto"/>
        <w:ind w:left="850" w:hanging="850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</w:rPr>
      </w:pPr>
      <w:r>
        <w:rPr>
          <w:rFonts w:ascii="Times New Roman" w:hAnsi="Times New Roman"/>
          <w:b/>
          <w:bCs/>
          <w:smallCap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smallCaps/>
          <w:noProof/>
          <w:sz w:val="24"/>
          <w:szCs w:val="24"/>
        </w:rPr>
        <w:tab/>
        <w:t>ZÁVERY</w:t>
      </w:r>
    </w:p>
    <w:p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Ako bolo uvedené v predchádzajúcich správach, kontrola línie na miestach prechodu povolených orgánmi Cyperskej republiky a správou výsostného územia bola uspokojivá. Začali fungovať dve miesta prechodu Lefka-Apliki a Deryneia. Počet osôb neregulárne prekračujúcich líniu výrazne vzrástol; táto záležitosť je pre Cyperskú republiku čoraz znepokojujúcejšia a situáciu je potrebné pozorne monitorovať.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Komisia naliehavo žiada správu výsostného územia, aby využila vhodné ľudské zdroje na riešenie problému „nepovolených miest prechodu“. Komisia sa naďalej domnieva, že stálosť, predvídateľnosť a právna istota v súvislosti s požiadavkami na miestach prechodu, ako aj voľný pohyb občanov EÚ majú zásadný význam.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 roku 2018 sa hodnota obchodu uskutočneného cez líniu zvýšila o 1,4 % zo 4 790 964 EUR na 4 856 892 EUR, zatiaľ čo hodnota tovaru, ku ktorému boli vydané sprievodné doklady, klesla o 5,1 % z 5 697 695 EUR na 5 405 121 EUR. Najviac sa obchodovalo s výrobkami z plastu, ďalej s čerstvými rybami, stavebným materiálom a odpadom a šrotom.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Cyperská obchodná a priemyselná komora a Turecko-cyperská obchodná komora pokračovali v úzkej spolupráci s cieľom dosiahnuť hospodárske výhody pre obe komunity.</w:t>
      </w:r>
    </w:p>
    <w:p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Určité prekážky obchodu počas obdobia vykazovania naďalej pretrvávali. Cyperská republika stále nepovoľovala, aby líniu prekračovali úžitkové vozidlá tureckých Cyperčanov s hmotnosťou nad 7,5 tony; v roku 2018 nedošlo v tejto oblasti k žiadnym zmenám. Cyperská republika rovnako nepovoľuje prevážanie spracovaných potravinových výrobkov a materiálov určených na styk s potravinami cez líniu. Komisia potvrdila Cyperskej republike, že prevážanie týchto výrobkov cez demarkačnú líniu je podľa uplatniteľného právneho rámca povolené a nemalo by byť zakázané orgánmi Cyperskej republiky. Komisia navrhla, aby sa zaviedol mechanizmus, ktorý uľahčí prevážanie spracovaných potravín a materiálov určených na styk s potravinami, pričom sa budú riešiť ďalšie aspekty bezpečnosti. V čase prípravy tejto správy nedošlo k žiadnej ďalšej komunikácii s cieľom nájsť riešenie. Komisia je naďalej znepokojená, pokiaľ ide o správne vykonávanie nariadenia o demarkačnej línii, a zváži, ako k tejto záležitosti ďalej pristupovať.</w:t>
      </w:r>
    </w:p>
    <w:p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Celkovo možno konštatovať, že hoci nariadenie o demarkačnej línii naďalej poskytuje funkčný základ umožňujúci pohyb osôb a tovaru do oblastí a z oblastí kontrolovaných vládou Cyperskej republiky, Komisia je aj naďalej znepokojená všeobecne nízkym objemom obchodu. Komisia sa domnieva, že odstránenie prekážok obchodu, ktoré sú uvedené v tejto správe, by významne prispelo k zvýšeniu obchodu cez demarkačnú líniu. Komisia dúfa, že činnosť oboch komôr v oblasti rozšírenia kontaktov medzi týmito dvomi obchodnými komunitami povedie k posilneniu hospodárskych väzieb.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Za týchto okolností sa Komisia pri zaisťovaní účinného vykonávania nariadenia Rady (ES) č. 866/2004 naďalej spolieha na spoluprácu Cyperskej republiky a správy výsostného územia. Komisia bude vykonávanie tohto nariadenia naďalej monitorovať.</w:t>
      </w:r>
    </w:p>
    <w:p>
      <w:pPr>
        <w:rPr>
          <w:rFonts w:ascii="Times New Roman" w:hAnsi="Times New Roman"/>
          <w:noProof/>
        </w:rPr>
      </w:pP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Ú. v. EÚ L 161, 30.4.2004, s. 128. Nariadenie naposledy zmenené nariadením Rady (EÚ) č. 685/2013 z 15. júla 2013, Ú. v. EÚ L 196, 19.7.2013, s. 1 – známe ako „nariadenie o demarkačnej línii“.</w:t>
      </w:r>
    </w:p>
  </w:footnote>
  <w:footnote w:id="3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Pozri odôvodnenie 3 nariadenia o demarkačnej línii.</w:t>
      </w:r>
    </w:p>
  </w:footnote>
  <w:footnote w:id="4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Orgány Cyperskej republiky nevedú záznamy o návrate gréckych Cyperčanov do oblastí kontrolovaných vládou ani o návrate tureckých Cyperčanov do severnej časti Cypru.</w:t>
      </w:r>
    </w:p>
  </w:footnote>
  <w:footnote w:id="5">
    <w:p>
      <w:pPr>
        <w:pStyle w:val="FootnoteText"/>
        <w:ind w:left="720" w:hanging="72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ab/>
        <w:t>Štatistika pre občanov EÚ iných ako Cyperčanov a štátnych príslušníkov tretích krajín nie je za súčasné obdobie vykazovania k dispozícii.</w:t>
      </w:r>
    </w:p>
  </w:footnote>
  <w:footnote w:id="6">
    <w:p>
      <w:pPr>
        <w:pStyle w:val="FootnoteText"/>
        <w:ind w:left="720" w:hanging="720"/>
        <w:jc w:val="both"/>
        <w:rPr>
          <w:rFonts w:ascii="Times New Roman" w:hAnsi="Times New Roman" w:cs="Times New Roman"/>
          <w:spacing w:val="-2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Vykonávacie nariadenie Komisie (EÚ) 2015/1472 z 26. augusta 2015, Ú. v. EÚ L 225, 28.8.2015, s. 3 – 4.</w:t>
      </w:r>
    </w:p>
  </w:footnote>
  <w:footnote w:id="7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Správa generálneho tajomníka OSN o UNFICYP [S/2019/37] z 11. januára 2019, bod 31.</w:t>
      </w:r>
    </w:p>
  </w:footnote>
  <w:footnote w:id="8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Štátni príslušníci Turecka: 380, Sýrie: 411, Turkménska: 708, Iránu: 284, Iraku: 333, ostatní: 1 657.</w:t>
      </w:r>
    </w:p>
  </w:footnote>
  <w:footnote w:id="9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 xml:space="preserve">Štátni príslušníci Turecka: 373, Pakistanu: 85, Nigérie: 58, Sýrie: 54, Turkménska: 20, ostatní: 280. </w:t>
      </w:r>
    </w:p>
  </w:footnote>
  <w:footnote w:id="10">
    <w:p>
      <w:pPr>
        <w:pStyle w:val="FootnoteText"/>
        <w:ind w:left="720" w:hanging="72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Z 18 neregulárnych migrantov zadržaných na východnom výsostnom území požiadalo o azyl 12 a boli odovzdaní orgánom Cyperskej republiky. Títo migranti boli pripočítaní k celkovému počtu osôb, ktoré neregulárne prekročili líniu a ktorých rozdelenie podľa štátnej príslušnosti sa uvádza v tabuľke VII pracovného dokumentu útvarov Komisie SWD(2019) 290.</w:t>
      </w:r>
    </w:p>
  </w:footnote>
  <w:footnote w:id="11">
    <w:p>
      <w:pPr>
        <w:pStyle w:val="FootnoteText"/>
        <w:ind w:left="720" w:hanging="72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ab/>
        <w:t>Štátni príslušníci USA: 55, Ukrajiny: 96, Ruska: 63, Argentíny: 27, Bosny a Hercegoviny: 29.</w:t>
      </w:r>
    </w:p>
  </w:footnote>
  <w:footnote w:id="12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Ú. v. EÚ L 236, 23.9.2003, s. 940.</w:t>
      </w:r>
    </w:p>
  </w:footnote>
  <w:footnote w:id="13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V článku 4 ods. 1 sa stanovuje, že je potrebné, aby sa tovar získal úplne v oblastiach, ktoré nie sú pod skutočnou kontrolou vlády Cyperskej republiky, alebo sa podrobil poslednému, významnému, ekonomicky opodstatnenému spracovaniu alebo obrobeniu v podniku vybavenému pre takýto účel v oblastiach, ktoré nie sú pod skutočnou kontrolou vlády Cyperskej republiky.</w:t>
      </w:r>
    </w:p>
  </w:footnote>
  <w:footnote w:id="14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>Nariadenie Komisie (ES) č. 1480/2004 z 10. augusta 2004, Ú. v. EÚ L 272, 20.8.2004, s. 3.</w:t>
      </w:r>
    </w:p>
  </w:footnote>
  <w:footnote w:id="15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 xml:space="preserve">Pracovný dokument útvarov Komisie SWD(2019) 290, tabuľka IV. </w:t>
      </w:r>
    </w:p>
  </w:footnote>
  <w:footnote w:id="16">
    <w:p>
      <w:pPr>
        <w:spacing w:after="0" w:line="240" w:lineRule="auto"/>
        <w:ind w:left="720" w:hanging="720"/>
        <w:jc w:val="both"/>
        <w:rPr>
          <w:rStyle w:val="FootnoteTextChar"/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V článku 2 ods. 4 nariadenia Komisie (ES) č. 1480/2004 sa stanovuje, že orgány Cyperskej republiky budú informovať služby Komisie o prípadoch primeraných pochybností, čo sa týka súladu tovaru s kritériami pôvodu.</w:t>
      </w:r>
    </w:p>
  </w:footnote>
  <w:footnote w:id="17">
    <w:p>
      <w:pPr>
        <w:pStyle w:val="FootnoteText"/>
        <w:ind w:left="720" w:hanging="72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ab/>
        <w:t xml:space="preserve">Pozri napríklad deviatu, desiatu, jedenástu, dvanástu, trinástu a štrnástu výročnú správu o vykonávaní nariadenia Rady (ES) č. 866/2004 a o situácii vyplývajúcej z jeho uplatňovania. </w:t>
      </w:r>
    </w:p>
  </w:footnote>
  <w:footnote w:id="18">
    <w:p>
      <w:pPr>
        <w:pStyle w:val="FootnoteText"/>
        <w:ind w:left="720" w:hanging="72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COM(2015) 380 final – 2015/0165 (NLE).</w:t>
      </w:r>
    </w:p>
  </w:footnote>
  <w:footnote w:id="19">
    <w:p>
      <w:pPr>
        <w:pStyle w:val="FootnoteText"/>
        <w:ind w:left="720" w:hanging="720"/>
        <w:jc w:val="both"/>
        <w:rPr>
          <w:rFonts w:ascii="Times New Roman" w:hAnsi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http://europa.eu/rapid/press-release_MEX-15-5402_en.htm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99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5838D424-5184-421F-BEC7-0DA41CE852BF"/>
    <w:docVar w:name="LW_COVERPAGE_TYPE" w:val="1"/>
    <w:docVar w:name="LW_CROSSREFERENCE" w:val="{SWD(2019) 290 final}"/>
    <w:docVar w:name="LW_DocType" w:val="NORMAL"/>
    <w:docVar w:name="LW_EMISSION" w:val="5. 7. 2019"/>
    <w:docVar w:name="LW_EMISSION_ISODATE" w:val="2019-07-05"/>
    <w:docVar w:name="LW_EMISSION_LOCATION" w:val="BRX"/>
    <w:docVar w:name="LW_EMISSION_PREFIX" w:val="V Bruseli"/>
    <w:docVar w:name="LW_EMISSION_SUFFIX" w:val=" "/>
    <w:docVar w:name="LW_ID_DOCTYPE_NONLW" w:val="CP-004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2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Pätnásta správa o vykonávaní nariadenia Rady (ES) \u269?. 866/2004 z 29. apríla 2004 a o situácii vyplývajúcej z jeho uplat\u328?ovania za obdobie od 1. januára do 31. decembra 2018_x000d__x000b_"/>
    <w:docVar w:name="LW_TYPE.DOC.CP" w:val="SPRÁVA KOMISIE RA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hAnsi="Times New Roman" w:cs="Times New Roman"/>
      <w:b/>
      <w:sz w:val="32"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shd w:val="clear" w:color="auto" w:fil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2AF5-8D50-4D54-9C00-59F2E57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3192</Words>
  <Characters>19125</Characters>
  <Application>Microsoft Office Word</Application>
  <DocSecurity>0</DocSecurity>
  <Lines>289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DIGIT/C6</cp:lastModifiedBy>
  <cp:revision>20</cp:revision>
  <cp:lastPrinted>2019-04-03T12:23:00Z</cp:lastPrinted>
  <dcterms:created xsi:type="dcterms:W3CDTF">2019-06-26T11:00:00Z</dcterms:created>
  <dcterms:modified xsi:type="dcterms:W3CDTF">2019-07-03T09:50:00Z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