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334D521-38D4-4284-88E4-36767221313F" style="width:450.8pt;height:379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It-12-il sessjoni tal-Kumitat ta’ Esperti Tekniċi (CTE) tal-Organizzazzjoni Intergovernattiva għat-Trasport Internazzjonali bil-Ferrovija (OTIF) se ssir f’Bern, l-Iżvizzera, nhar it-12 u t-13 ta’ Ġunju 2019. L-aġenda tal-laqgħa tinkludi:</w:t>
      </w:r>
    </w:p>
    <w:p>
      <w:pPr>
        <w:pStyle w:val="Tiret0"/>
        <w:numPr>
          <w:ilvl w:val="0"/>
          <w:numId w:val="13"/>
        </w:numPr>
        <w:rPr>
          <w:noProof/>
        </w:rPr>
      </w:pPr>
      <w:r>
        <w:rPr>
          <w:noProof/>
        </w:rPr>
        <w:t>Proposta għal deċiżjoni li timmodifika s-sistema tar-Reġistru tal-OTIF – Reġistri Nazzjonali tal-Vetturi Ferrovjarji (NVR); kif ukoll</w:t>
      </w:r>
    </w:p>
    <w:p>
      <w:pPr>
        <w:pStyle w:val="Tiret0"/>
        <w:rPr>
          <w:noProof/>
        </w:rPr>
      </w:pPr>
      <w:r>
        <w:rPr>
          <w:noProof/>
        </w:rPr>
        <w:t xml:space="preserve">Proposta għal deċiżjoni li timmodifika l-Anness 1 tal-Preskrizzjonijiet Tekniċi Uniformi – Applikazzjonijiet telematiċi għas-servizz tat-trasport tal-merkanzija (il-UTPs tat-TAF). </w:t>
      </w:r>
    </w:p>
    <w:p>
      <w:pPr>
        <w:pStyle w:val="Point0letter"/>
        <w:numPr>
          <w:ilvl w:val="1"/>
          <w:numId w:val="15"/>
        </w:numPr>
        <w:rPr>
          <w:noProof/>
        </w:rPr>
      </w:pPr>
      <w:r>
        <w:rPr>
          <w:noProof/>
        </w:rPr>
        <w:t>L-ispeċifikazzjonijiet attwali tal-NVR applikabbli skont ir-regoli tal-OTIF huma ekwivalenti għal dawk previsti fid-Deċiżjoni tal-Kummissjoni 2007/756/KE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Fil-qafas tar-raba’ pakkett ferrovjarju, il-Kummissjoni adottat id-Deċiżjoni ta’ Implimentazzjoni tal-Kummissjoni (UE) 2018/1614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, li tipprevedi speċifikazzjonijiet aġġornati għar-reġistri nazzjonali tal-vetturi tal-UE kif ukoll speċifikazzjonijiet għar-Reġistru Ewropew tal-Vetturi (EVR), u li tħassar id-Deċiżjoni tal-Kummissjoni 2007/756/KE. Dan ir-Reġistru se jieħu post ir-reġistri nazzjonali tal-vetturi tal-UE mill-2021 ’il quddiem. </w:t>
      </w:r>
    </w:p>
    <w:p>
      <w:pPr>
        <w:pStyle w:val="Text1"/>
        <w:rPr>
          <w:noProof/>
        </w:rPr>
      </w:pPr>
      <w:r>
        <w:rPr>
          <w:noProof/>
        </w:rPr>
        <w:t>Il-fini tad-deċiżjoni tas-CTE hija li timmodifika l-NVR u li żżomm l-ekwivalenza tiegħu mad-Deċiżjoni ta’ Implimentazzjoni tal-Kummissjoni (UE) 2018/1614.</w:t>
      </w:r>
    </w:p>
    <w:p>
      <w:pPr>
        <w:pStyle w:val="Point0letter"/>
        <w:rPr>
          <w:noProof/>
        </w:rPr>
      </w:pPr>
      <w:r>
        <w:rPr>
          <w:noProof/>
        </w:rPr>
        <w:t xml:space="preserve">Il-Preskrizzjonijiet Tekniċi Uniformi (UTPs) tal-OTIF huma sett ta’ speċifikazzjonijiet tekniċi li jitnisslu mill-prinċipji, l-objettivi u l-proċeduri tal-COTIF għall-kostruzzjoni u l-operat tal-materjal tal-ferroviji, bl-objettiv ewlieni li tinkiseb l-ikbar interoperabbiltà possibbli. B’hekk, il-UTPs fl-OTIF huma ekwivalenti għall-ispeċifikazzjonijiet tekniċi ta’ interoperabbiltà (TSIs) tal-UE. </w:t>
      </w:r>
    </w:p>
    <w:p>
      <w:pPr>
        <w:pStyle w:val="Text1"/>
        <w:rPr>
          <w:noProof/>
        </w:rPr>
      </w:pPr>
      <w:r>
        <w:rPr>
          <w:noProof/>
        </w:rPr>
        <w:t xml:space="preserve">Il-UTPs tat-TAF jistabbilixxu rekwiżiti bażiċi u addizzjonali li mingħajrhom is-subsistema TAF ma tistax taħdem. Dawn jirrigwardaw il-proċess ta’ komunikazzjoni bejn l-impriżi ferrovjarji u l-maniġers tal-infrastruttura, il-bażijiet ta’ </w:t>
      </w:r>
      <w:r>
        <w:rPr>
          <w:i/>
          <w:noProof/>
        </w:rPr>
        <w:t>data</w:t>
      </w:r>
      <w:r>
        <w:rPr>
          <w:noProof/>
        </w:rPr>
        <w:t xml:space="preserve"> maħsuba biex jintużaw għall-insegwiment tal-ferroviji u l-movimenti tal-vaguni, u l-informazzjoni li trid titwassal lill-klijenti tal-merkanzija. Dawn ir-rekwiżiti huma ekwivalenti għat-TSIs tat-TAF speċifikati fir-Regolament tal-Kummissjoni (UE) Nru 1305/2014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fir-Regolament ta’ Implimentazzjoni tal-Kummissjoni (UE) 2018/278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>
      <w:pPr>
        <w:pStyle w:val="Text1"/>
        <w:rPr>
          <w:rFonts w:eastAsia="Arial Unicode MS"/>
          <w:noProof/>
        </w:rPr>
      </w:pPr>
      <w:r>
        <w:rPr>
          <w:noProof/>
        </w:rPr>
        <w:t>Il-Kummissjoni adottat modifika tar-Regolament tal-Kummissjoni (UE) Nru 1305/2014 fis-27 ta’ Mejju 2019</w:t>
      </w:r>
      <w:r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Il-fini tad-deċiżjoni li jiġu mmodifikati l-UTPs tat-TAF hija li tinżamm l-ekwivalenza tagħhom mar-Regolament tal-Kummissjoni (UE) Nru 1305/2014 kif modifikat dan l-aħħar.</w:t>
      </w:r>
    </w:p>
    <w:p>
      <w:pPr>
        <w:pStyle w:val="Text1"/>
        <w:rPr>
          <w:noProof/>
        </w:rPr>
      </w:pPr>
      <w:r>
        <w:rPr>
          <w:noProof/>
        </w:rPr>
        <w:t xml:space="preserve">Il-pożizzjoni li għandha tittieħed f’isem l-Unjoni dwar id-deċiżjonijiet imsemmija hawn fuq li se jiġu adottati mis-CTE, għandha tiġi stabbilita b’Deċiżjoni tal-Kunsill abbażi tal-Artikolu 218(9) tat-TFUE. 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Il-Konvenzjoni dwar it-Trasport Internazzjonali bil-Ferrovija (COTIF)</w:t>
      </w:r>
    </w:p>
    <w:p>
      <w:pPr>
        <w:pStyle w:val="Text1"/>
        <w:ind w:left="0"/>
        <w:rPr>
          <w:noProof/>
          <w:szCs w:val="20"/>
        </w:rPr>
      </w:pPr>
      <w:r>
        <w:rPr>
          <w:noProof/>
        </w:rPr>
        <w:t xml:space="preserve">Il-Konvenzjoni COTIF hija t-test legali li jistabbilixxi l-OTIF. Skont l-Artikolu 2(1) tal-COTIF, l-għan tagħha huwa li tippromwovi, ittejjeb u tiffaċilita, f’kull aspett, it-traffiku internazzjonali bil-ferrovija, b’mod partikolari billi tistabbilixxi sistemi ta’ liġi uniformi f’diversi oqsma tal-liġi relatati mat-traffiku internazzjonali bil-ferrovija. Il-COTIF tirregola wkoll it-tmexxija tal-Organizzazzjoni, l-objettivi, l-attribuzzjonijiet, ir-relazzjonijiet tagħha mal-Istati Kontraenti, u l-attivitajiet tagħha b’mod ġenerali. </w:t>
      </w:r>
    </w:p>
    <w:p>
      <w:pPr>
        <w:pStyle w:val="Text1"/>
        <w:ind w:left="0"/>
        <w:rPr>
          <w:noProof/>
          <w:szCs w:val="20"/>
        </w:rPr>
      </w:pPr>
      <w:r>
        <w:rPr>
          <w:noProof/>
        </w:rPr>
        <w:t>Il-COTIF għalhekk tittratta l-leġiżlazzjoni ferrovjarja fuq għadd ta’ kwistjonijiet legali u tekniċi ferrovjarji differenti, li huma maqsuma f’żewġ partijiet: il-Konvenzjoni nnifisha, li tirregola l-ġestjoni tal-OTIF u t-tmien Appendiċijiet (inkluż Appendiċi H ġdida li għandha tiġi adottata waqt it-13-il-Assemblea Ġenerali li jmiss tal-OTIF) li jistabbilixxu liġi ferrovjarja uniformi.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>Appendiċi A – Kuntratt tat-Trasport Internazzjonali ta’ Passiġġieri bil-Ferrovija (</w:t>
      </w:r>
      <w:r>
        <w:rPr>
          <w:b/>
          <w:noProof/>
        </w:rPr>
        <w:t>CIV</w:t>
      </w:r>
      <w:r>
        <w:rPr>
          <w:noProof/>
        </w:rPr>
        <w:t>)</w:t>
      </w:r>
    </w:p>
    <w:p>
      <w:pPr>
        <w:pStyle w:val="Tiret0"/>
        <w:rPr>
          <w:noProof/>
        </w:rPr>
      </w:pPr>
      <w:r>
        <w:rPr>
          <w:noProof/>
        </w:rPr>
        <w:t>Appendiċi B – Kuntratt tat-Trasport Internazzjonali ta’ Prodotti bil-Ferrovija (</w:t>
      </w:r>
      <w:r>
        <w:rPr>
          <w:b/>
          <w:noProof/>
        </w:rPr>
        <w:t>CIM</w:t>
      </w:r>
      <w:r>
        <w:rPr>
          <w:noProof/>
        </w:rPr>
        <w:t>)</w:t>
      </w:r>
    </w:p>
    <w:p>
      <w:pPr>
        <w:pStyle w:val="Tiret0"/>
        <w:rPr>
          <w:noProof/>
        </w:rPr>
      </w:pPr>
      <w:r>
        <w:rPr>
          <w:noProof/>
        </w:rPr>
        <w:t>Appendiċi C – Trasport Internazzjonali ta’ Oġġetti Perikolużi bil-Ferrovija (</w:t>
      </w:r>
      <w:r>
        <w:rPr>
          <w:b/>
          <w:noProof/>
        </w:rPr>
        <w:t>RID</w:t>
      </w:r>
      <w:r>
        <w:rPr>
          <w:noProof/>
        </w:rPr>
        <w:t>)</w:t>
      </w:r>
    </w:p>
    <w:p>
      <w:pPr>
        <w:pStyle w:val="Tiret0"/>
        <w:rPr>
          <w:noProof/>
        </w:rPr>
      </w:pPr>
      <w:r>
        <w:rPr>
          <w:noProof/>
        </w:rPr>
        <w:t>Appendiċi D – Kuntratt tal-użu ta’ vetturi fit-traffiku internazzjonali bil-ferrovija (</w:t>
      </w:r>
      <w:r>
        <w:rPr>
          <w:b/>
          <w:noProof/>
        </w:rPr>
        <w:t>CUV</w:t>
      </w:r>
      <w:r>
        <w:rPr>
          <w:noProof/>
        </w:rPr>
        <w:t>)</w:t>
      </w:r>
    </w:p>
    <w:p>
      <w:pPr>
        <w:pStyle w:val="Tiret0"/>
        <w:rPr>
          <w:noProof/>
        </w:rPr>
      </w:pPr>
      <w:r>
        <w:rPr>
          <w:noProof/>
        </w:rPr>
        <w:t>Appendiċi E – Kuntratt tal-użu ta’ infrastruttura fit-traffiku internazzjonali bil-ferrovija (</w:t>
      </w:r>
      <w:r>
        <w:rPr>
          <w:b/>
          <w:noProof/>
        </w:rPr>
        <w:t>CUI</w:t>
      </w:r>
      <w:r>
        <w:rPr>
          <w:noProof/>
        </w:rPr>
        <w:t>)</w:t>
      </w:r>
    </w:p>
    <w:p>
      <w:pPr>
        <w:pStyle w:val="Tiret0"/>
        <w:rPr>
          <w:noProof/>
        </w:rPr>
      </w:pPr>
      <w:r>
        <w:rPr>
          <w:noProof/>
        </w:rPr>
        <w:t>Appendiċi F – Regoli Uniformi li jirrigwardaw il-Validazzjoni ta’ Standards Tekniċi u l-Adozzjoni ta’ Preskrizzjonijiet Tekniċi Uniformi applikabbli għall-Materjal tal-Ferroviji bl-intenzjoni li jintużaw mit-Traffiku Internazzjonali (</w:t>
      </w:r>
      <w:r>
        <w:rPr>
          <w:b/>
          <w:noProof/>
        </w:rPr>
        <w:t>APTU UR</w:t>
      </w:r>
      <w:r>
        <w:rPr>
          <w:noProof/>
        </w:rPr>
        <w:t>)</w:t>
      </w:r>
    </w:p>
    <w:p>
      <w:pPr>
        <w:pStyle w:val="Tiret0"/>
        <w:rPr>
          <w:noProof/>
        </w:rPr>
      </w:pPr>
      <w:r>
        <w:rPr>
          <w:noProof/>
        </w:rPr>
        <w:t>Appendiċi G – Regoli Uniformi li jirrigwardaw l-Ammissjoni Teknika ta’ Materjal tal-Ferroviji użat fit-Traffiku Internazzjonali (</w:t>
      </w:r>
      <w:r>
        <w:rPr>
          <w:b/>
          <w:noProof/>
        </w:rPr>
        <w:t>ATMF UR</w:t>
      </w:r>
      <w:r>
        <w:rPr>
          <w:noProof/>
        </w:rPr>
        <w:t>)</w:t>
      </w:r>
    </w:p>
    <w:p>
      <w:pPr>
        <w:pStyle w:val="Tiret0"/>
        <w:rPr>
          <w:noProof/>
        </w:rPr>
      </w:pPr>
      <w:r>
        <w:rPr>
          <w:noProof/>
        </w:rPr>
        <w:t>Appendiċi H – Regoli Uniformi dwar l-operat sikur tal-ferroviji fit-traffiku internazzjonali (</w:t>
      </w:r>
      <w:r>
        <w:rPr>
          <w:b/>
          <w:noProof/>
        </w:rPr>
        <w:t>EST UR</w:t>
      </w:r>
      <w:r>
        <w:rPr>
          <w:noProof/>
        </w:rPr>
        <w:t>)</w:t>
      </w:r>
    </w:p>
    <w:p>
      <w:pPr>
        <w:pStyle w:val="Text1"/>
        <w:ind w:left="0"/>
        <w:rPr>
          <w:noProof/>
          <w:szCs w:val="20"/>
        </w:rPr>
      </w:pPr>
      <w:r>
        <w:rPr>
          <w:noProof/>
        </w:rPr>
        <w:t xml:space="preserve">Abbażi tal-Appendiċijiet F u G tal-COTIF, hemm 12-il UTP għall-interoperabbiltà teknika. </w:t>
      </w:r>
    </w:p>
    <w:p>
      <w:pPr>
        <w:pStyle w:val="Text1"/>
        <w:ind w:left="0"/>
        <w:rPr>
          <w:noProof/>
          <w:szCs w:val="20"/>
        </w:rPr>
      </w:pPr>
      <w:r>
        <w:rPr>
          <w:noProof/>
        </w:rPr>
        <w:t>Il-COTIF japplika għal 46 stat, inkluż 26 Stat Membru tal-UE (kollha minbarra Malta u Ċipru).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Il-Ftehim bejn l-Unjoni Ewropea u l-Konvenzjoni tal-Organizzazzjoni Intergovernattiva għat-Trasport Internazzjonali bil-Ferrovija (OTIF)</w:t>
      </w:r>
    </w:p>
    <w:p>
      <w:pPr>
        <w:rPr>
          <w:rFonts w:eastAsia="Arial Unicode MS"/>
          <w:noProof/>
        </w:rPr>
      </w:pPr>
      <w:r>
        <w:rPr>
          <w:noProof/>
        </w:rPr>
        <w:t>Fis-16 ta’ Ġunju 2011, il-Kunsill adotta d-Deċiżjoni tal-Kunsill 2013/103/UE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billi ffirma u kkonkluda l-Ftehim bejn l-Unjoni Ewropea u l-OTIF dwar l-Adeżjoni tal-Unjoni Ewropea mal-Konvenzjoni li tirrigwarda t-Trasport Internazzjonali bil-Ferrovija (COTIF) tad-9 ta’ Mejju 1980, kif emendata mill-Protokoll ta’ Vilnius tat-3 ta’ Ġunju 1999. Dan il-Ftehim daħal fis-seħħ fl-1 ta’ Lulju 2011.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L-Unjoni hi parti għall-Ftehim, l-istess bħalma huma l-Istati Membri kollha għajr Ċipru u Malta. Id-Deċiżjoni tal-Kunsill 2013/103/UE tispeċifika li l-Kummissjoni għandha tirrappreżenta lill-Unjoni fil-laqgħat tal-OTIF. Fiha wkoll Dikjarazzjoni mill-Unjoni dwar l-eżerċizzju ta’ kompetenza (l-Anness I) u tistipula arranġamenti interni għall-Kunsill, għall-Istati Membri u għall-Kummissjoni fi proċedimenti taħt l-OTIF (l-Anness III). 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Il-Kumitat ta’ Esperti Tekniċi tal-OTIF</w:t>
      </w:r>
    </w:p>
    <w:p>
      <w:pPr>
        <w:rPr>
          <w:noProof/>
        </w:rPr>
      </w:pPr>
      <w:r>
        <w:rPr>
          <w:noProof/>
        </w:rPr>
        <w:t xml:space="preserve">Is-CTE huwa organu tal-OTIF stabbilit bl-Artikolu 8 tal-COTIF. Huwa magħmul mill-Istati Membri tal-OTIF li japplikaw l-Appendiċijiet F u G (APTU, ATMF) tal-COTIF. </w:t>
      </w:r>
    </w:p>
    <w:p>
      <w:pPr>
        <w:rPr>
          <w:noProof/>
        </w:rPr>
      </w:pPr>
      <w:r>
        <w:rPr>
          <w:noProof/>
        </w:rPr>
        <w:t>Is-CTE għandu kompetenza fi kwistjonijiet ta’ interoperabbiltà u ta’ armonizzazzjoni teknika fil-qasam ferrovjarju u fi proċeduri ta’ approvazzjoni teknika. Jiżviluppa l-Appendiċijiet APTU u ATMF u r-Regoli Uniformi tiegħu, li japplikaw għall-materjal tal-ferroviji bl-intenzjoni li jintuża fit-traffiku internazzjonali, u li jikkonċernaw b’mod partikolari:</w:t>
      </w:r>
    </w:p>
    <w:p>
      <w:pPr>
        <w:pStyle w:val="Bullet0"/>
        <w:numPr>
          <w:ilvl w:val="0"/>
          <w:numId w:val="11"/>
        </w:numPr>
        <w:rPr>
          <w:noProof/>
        </w:rPr>
      </w:pPr>
      <w:r>
        <w:rPr>
          <w:noProof/>
        </w:rPr>
        <w:t>l-adozzjoni ta’ preskrizzjonijiet tekniċi għall-vetturi u għall-infrastruttura, u l-validazzjoni tal-istandards;</w:t>
      </w:r>
    </w:p>
    <w:p>
      <w:pPr>
        <w:pStyle w:val="Bullet0"/>
        <w:rPr>
          <w:noProof/>
        </w:rPr>
      </w:pPr>
      <w:r>
        <w:rPr>
          <w:noProof/>
        </w:rPr>
        <w:t>il-proċeduri li jikkonċernaw il-valutazzjoni tal-konformità tal-vetturi;</w:t>
      </w:r>
    </w:p>
    <w:p>
      <w:pPr>
        <w:pStyle w:val="Bullet0"/>
        <w:rPr>
          <w:noProof/>
        </w:rPr>
      </w:pPr>
      <w:r>
        <w:rPr>
          <w:noProof/>
        </w:rPr>
        <w:t>id-dispożizzjonijiet li jikkonċernaw il-manutenzjoni tal-vetturi;</w:t>
      </w:r>
    </w:p>
    <w:p>
      <w:pPr>
        <w:pStyle w:val="Bullet0"/>
        <w:rPr>
          <w:noProof/>
        </w:rPr>
      </w:pPr>
      <w:r>
        <w:rPr>
          <w:noProof/>
        </w:rPr>
        <w:t>ir-responsabbiltajiet għall-kompożizzjoni tal-ferroviji u l-użu sikur tal-vetturi;</w:t>
      </w:r>
    </w:p>
    <w:p>
      <w:pPr>
        <w:pStyle w:val="Bullet0"/>
        <w:rPr>
          <w:noProof/>
        </w:rPr>
      </w:pPr>
      <w:r>
        <w:rPr>
          <w:noProof/>
        </w:rPr>
        <w:t>id-dispożizzjonijiet li jikkonċernaw l-evalwazzjoni u l-valutazzjoni tar-riskju;</w:t>
      </w:r>
    </w:p>
    <w:p>
      <w:pPr>
        <w:pStyle w:val="Bullet0"/>
        <w:rPr>
          <w:noProof/>
        </w:rPr>
      </w:pPr>
      <w:r>
        <w:rPr>
          <w:noProof/>
        </w:rPr>
        <w:t>l-ispeċifikazzjonijiet għar-reġistri.</w:t>
      </w:r>
    </w:p>
    <w:p>
      <w:pPr>
        <w:rPr>
          <w:noProof/>
        </w:rPr>
      </w:pPr>
      <w:r>
        <w:rPr>
          <w:noProof/>
        </w:rPr>
        <w:t>Is-CTE bħalissa għandu grupp ta’ ħidma permanenti (WG TECH) li huwa responsabbli għat-tħejjija tad-deċiżjonijiet tas-CTE.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2.4.</w:t>
      </w:r>
      <w:r>
        <w:tab/>
      </w:r>
      <w:r>
        <w:rPr>
          <w:noProof/>
        </w:rPr>
        <w:t>L-adozzjoni ta’ atti mis-CTE</w:t>
      </w:r>
    </w:p>
    <w:p>
      <w:pPr>
        <w:pStyle w:val="NoSpacing"/>
        <w:rPr>
          <w:noProof/>
          <w:lang w:val="mt-MT"/>
        </w:rPr>
      </w:pPr>
      <w:r>
        <w:rPr>
          <w:noProof/>
          <w:lang w:val="mt-MT"/>
        </w:rPr>
        <w:t xml:space="preserve">Il-proċess ta’ adozzjoni tas-soltu għall-UTPs huwa preskritt fl-Artikoli 6 u 8 tal-APTU, u jista’ jieħu madwar sena u nofs. </w:t>
      </w:r>
    </w:p>
    <w:p>
      <w:pPr>
        <w:rPr>
          <w:rFonts w:eastAsia="Arial Unicode MS"/>
          <w:noProof/>
        </w:rPr>
      </w:pPr>
    </w:p>
    <w:p>
      <w:pPr>
        <w:pStyle w:val="ManualHeading2"/>
        <w:rPr>
          <w:noProof/>
        </w:rPr>
      </w:pPr>
      <w:r>
        <w:t>2.5.</w:t>
      </w:r>
      <w:r>
        <w:tab/>
      </w:r>
      <w:r>
        <w:rPr>
          <w:noProof/>
        </w:rPr>
        <w:t>L-atti previsti għall-adozzjoni bi proċedura bil-miktub mis-CTE tal-OTIF</w:t>
      </w:r>
    </w:p>
    <w:p>
      <w:pPr>
        <w:rPr>
          <w:noProof/>
        </w:rPr>
      </w:pPr>
      <w:r>
        <w:rPr>
          <w:noProof/>
        </w:rPr>
        <w:t>Is-CTE ressaq il-modifiki li ġejjin biex tiġi adottata deċiżjoni dwarhom permezz ta’ proċedura bil-miktub:</w:t>
      </w:r>
    </w:p>
    <w:p>
      <w:pPr>
        <w:pStyle w:val="Tiret0"/>
        <w:rPr>
          <w:noProof/>
        </w:rPr>
      </w:pPr>
      <w:r>
        <w:rPr>
          <w:noProof/>
        </w:rPr>
        <w:t>proposta għal deċiżjoni li timmodifika l-NVR; kif ukoll</w:t>
      </w:r>
    </w:p>
    <w:p>
      <w:pPr>
        <w:pStyle w:val="Tiret0"/>
        <w:rPr>
          <w:noProof/>
        </w:rPr>
      </w:pPr>
      <w:r>
        <w:rPr>
          <w:noProof/>
        </w:rPr>
        <w:t>proposta għal deċiżjoni li timmodifika l-Anness 1 tal-UTPs tat-TAF.</w:t>
      </w:r>
    </w:p>
    <w:p>
      <w:pPr>
        <w:pStyle w:val="ManualHeading3"/>
        <w:rPr>
          <w:noProof/>
        </w:rPr>
      </w:pPr>
      <w:r>
        <w:t>2.5.1.</w:t>
      </w:r>
      <w:r>
        <w:tab/>
      </w:r>
      <w:r>
        <w:rPr>
          <w:noProof/>
        </w:rPr>
        <w:t>Modifika tal-ispeċifikazzjonijiet tal-NVR</w:t>
      </w:r>
    </w:p>
    <w:p>
      <w:pPr>
        <w:rPr>
          <w:noProof/>
          <w:szCs w:val="24"/>
        </w:rPr>
      </w:pPr>
      <w:r>
        <w:rPr>
          <w:noProof/>
        </w:rPr>
        <w:t xml:space="preserve">Il-fini tad-deċiżjoni li timmodifika l-ispeċifikazzjonijiet tal-NVR hija li żżomm l-ekwivalenza tiegħu mad-Deċiżjoni ta’ Implimentazzjoni tal-Kummissjoni (UE) 2018/1614. </w:t>
      </w:r>
    </w:p>
    <w:p>
      <w:pPr>
        <w:rPr>
          <w:noProof/>
          <w:color w:val="000000"/>
          <w:szCs w:val="24"/>
        </w:rPr>
      </w:pPr>
      <w:r>
        <w:rPr>
          <w:noProof/>
        </w:rPr>
        <w:t>Għal dan il-għan, il-modifiki jikkonċernaw il-proċeduri marbutin mar-reġistri u mar-reġistrazzjonijiet.</w:t>
      </w:r>
      <w:r>
        <w:rPr>
          <w:noProof/>
          <w:color w:val="000000"/>
        </w:rPr>
        <w:t xml:space="preserve"> Ma jikkonċernawx is-software jew il-funzjonament tal-NVR. </w:t>
      </w:r>
    </w:p>
    <w:p>
      <w:pPr>
        <w:keepNext/>
        <w:rPr>
          <w:noProof/>
          <w:color w:val="000000"/>
          <w:szCs w:val="24"/>
        </w:rPr>
      </w:pPr>
      <w:r>
        <w:rPr>
          <w:noProof/>
          <w:color w:val="000000"/>
        </w:rPr>
        <w:t>Fil-qosor, il-modifiki jinkludu dawn li ġejjin:</w:t>
      </w:r>
    </w:p>
    <w:p>
      <w:pPr>
        <w:pStyle w:val="Bullet0"/>
        <w:rPr>
          <w:noProof/>
        </w:rPr>
      </w:pPr>
      <w:r>
        <w:rPr>
          <w:noProof/>
        </w:rPr>
        <w:t>Jiddaħħal ir-rekwiżit il-ġdid li skontu l-Istati Kontraenti mhux tal-UE għandhom jinfurmaw lis-Segretarju Ġenerali tal-OTIF bid-dettalji ta’ kuntatt tal-Entitajiet ta’ Reġistrazzzjoni, li mbagħad jiġu ppubblikati mis-Segretarju Ġenerali tal-OTIF (il-punt ġdid 2.3);</w:t>
      </w:r>
    </w:p>
    <w:p>
      <w:pPr>
        <w:pStyle w:val="Bullet0"/>
        <w:rPr>
          <w:noProof/>
        </w:rPr>
      </w:pPr>
      <w:r>
        <w:rPr>
          <w:noProof/>
        </w:rPr>
        <w:t>Tiddaħħal skadenza (20 jum ta’ xogħol) għar-reġistrazzjoni tal-bidliet fl-NVR (fil-punt 3.2.3);</w:t>
      </w:r>
    </w:p>
    <w:p>
      <w:pPr>
        <w:pStyle w:val="Bullet0"/>
        <w:rPr>
          <w:noProof/>
        </w:rPr>
      </w:pPr>
      <w:r>
        <w:rPr>
          <w:noProof/>
        </w:rPr>
        <w:t>Ikompli jiġi ċċarat il-proċess ta’ reġistrazzjoni addizzjonali għal dawk il-vetturi li ma ġewx irreġistrati fl-NVR u ma ġewx konnessi mar-Reġistru Virtwali Ċentralizzat Ewropew tal-Vetturi (ECVVR) (3.2.5);</w:t>
      </w:r>
    </w:p>
    <w:p>
      <w:pPr>
        <w:pStyle w:val="Bullet0"/>
        <w:rPr>
          <w:noProof/>
        </w:rPr>
      </w:pPr>
      <w:r>
        <w:rPr>
          <w:noProof/>
        </w:rPr>
        <w:t>Ikompli jiċċara kif tiġi ttrasferita r-reġistrazzjoni bejn l-NVRs u kif jinbidel in-numru Ewropew tal-vettura (EVN) (3.2.6);</w:t>
      </w:r>
    </w:p>
    <w:p>
      <w:pPr>
        <w:pStyle w:val="Bullet0"/>
        <w:rPr>
          <w:noProof/>
        </w:rPr>
      </w:pPr>
      <w:r>
        <w:rPr>
          <w:noProof/>
        </w:rPr>
        <w:t>Jaġġorna t-tabelli bi drittijiet tal-aċċess (3.3) u bil-lista ta’ kodiċijiet ta’ restrizzjoni armonizzati [l-Appendiċi 1 – Il-kodifikazzjoni tar-restrizzjonijiet];</w:t>
      </w:r>
    </w:p>
    <w:p>
      <w:pPr>
        <w:pStyle w:val="Bullet0"/>
        <w:rPr>
          <w:noProof/>
        </w:rPr>
      </w:pPr>
      <w:r>
        <w:rPr>
          <w:noProof/>
        </w:rPr>
        <w:t>Jaġġorna l-istruttura u l-kontenut tan-Numru Ewropew tal-Identifikazzjoni (EIN) [l-Appendiċi 2: il-kodiċi tal-pajjiż (kamp 1) u t-tip ta’ dokument (kamp 2)];</w:t>
      </w:r>
    </w:p>
    <w:p>
      <w:pPr>
        <w:pStyle w:val="Bullet0"/>
        <w:rPr>
          <w:noProof/>
        </w:rPr>
      </w:pPr>
      <w:r>
        <w:rPr>
          <w:noProof/>
        </w:rPr>
        <w:t>Modifiki editorjali matul it-test.</w:t>
      </w:r>
    </w:p>
    <w:p>
      <w:pPr>
        <w:rPr>
          <w:noProof/>
        </w:rPr>
      </w:pPr>
      <w:r>
        <w:rPr>
          <w:noProof/>
        </w:rPr>
        <w:t>Skont l-Artikolu 20 § 1 e) tal-COTIF u l-Artikolu 13 §§ 1, 4 u 5 tar-Regoli Uniformi tal-ATMF, is-CTE għandu l-kompetenza biex jieħu deċiżjonijiet dwar dawn l-emendi.</w:t>
      </w:r>
    </w:p>
    <w:p>
      <w:pPr>
        <w:rPr>
          <w:noProof/>
        </w:rPr>
      </w:pPr>
    </w:p>
    <w:p>
      <w:pPr>
        <w:pStyle w:val="ManualHeading3"/>
        <w:rPr>
          <w:noProof/>
        </w:rPr>
      </w:pPr>
      <w:r>
        <w:t>2.5.2.</w:t>
      </w:r>
      <w:r>
        <w:tab/>
      </w:r>
      <w:r>
        <w:rPr>
          <w:noProof/>
        </w:rPr>
        <w:t>Modifika tal-UTPs tat-TAF</w:t>
      </w:r>
    </w:p>
    <w:p>
      <w:pPr>
        <w:pStyle w:val="CM1"/>
        <w:spacing w:before="200" w:after="20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>Il-fini tad-deċiżjoni li timmodifika l-UTPs tat-TAF hija li tinżamm l-ekwivalenza tagħhom mat-TSIs tat-TAF inklużi fir-Regolament tal-Kummissjoni (UE) Nru 1305/2014 kif modifikat dan l-aħħar.</w:t>
      </w:r>
    </w:p>
    <w:p>
      <w:pPr>
        <w:pStyle w:val="CM1"/>
        <w:spacing w:before="200" w:after="20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>Bħat-TSIs tat-TAF, il-UTPs tat-TAF jagħmlu referenza għal dokumenti tekniċi li jiġu ppubblikati u aġġornati regolarment fuq is-sit web tal-Aġenzija tal-Unjoni Ewropea għall-Ferroviji (is-soltu tal-anqas darba fis-sena). L-aħħar aġġornamenti ta’ dawn id-dokumenti tekniċi huma adattamenti minuri marbutin speċifikament mal-format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tal-messaġġi għall-iskambju ta’ informazzjoni bejn l-impriżi ferrovjarji u l-maniġers tal-infrastruttura.</w:t>
      </w:r>
    </w:p>
    <w:p>
      <w:pPr>
        <w:pStyle w:val="CM1"/>
        <w:spacing w:before="200" w:after="20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>Billi l-modifika ta’ dawn ir-referenzi tikkostitwixxi formalment modifika tal-UTPs tat-TAF, trid tkun soġġetta għal deċiżjoni mis-CTE skont l-Artikolu 20 § 1 b) tal-COTIF u l-Artikolu 6 tal-APTU.</w:t>
      </w:r>
    </w:p>
    <w:p>
      <w:pPr>
        <w:pStyle w:val="CM1"/>
        <w:spacing w:before="200" w:after="20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 xml:space="preserve">L-atti previsti se jkunu jorbtu legalment lill-Istati Membri tal-OTIF u lill-organizzazzjonijiet ta’ integrazzjoni ekonomika reġjonali li aderew mal-COTIF, b’mod partikolari l-Unjoni Ewropea. </w:t>
      </w:r>
    </w:p>
    <w:p>
      <w:pPr>
        <w:pStyle w:val="ManualHeading2"/>
        <w:rPr>
          <w:noProof/>
        </w:rPr>
      </w:pPr>
      <w:r>
        <w:t>2.6.</w:t>
      </w:r>
      <w:r>
        <w:tab/>
      </w:r>
      <w:r>
        <w:rPr>
          <w:noProof/>
        </w:rPr>
        <w:t xml:space="preserve">Il-kompetenza tal-Unjoni u d-drittijiet tal-votazzjoni </w:t>
      </w:r>
    </w:p>
    <w:p>
      <w:pPr>
        <w:pStyle w:val="Text1"/>
        <w:ind w:left="0"/>
        <w:rPr>
          <w:noProof/>
          <w:szCs w:val="20"/>
        </w:rPr>
      </w:pPr>
      <w:r>
        <w:rPr>
          <w:noProof/>
        </w:rPr>
        <w:t>Skont l-Artikolu 6 tal-Ftehim bejn l-UE u l-OTIF:</w:t>
      </w:r>
    </w:p>
    <w:p>
      <w:pPr>
        <w:pStyle w:val="Text1"/>
        <w:ind w:left="0"/>
        <w:rPr>
          <w:i/>
          <w:noProof/>
          <w:szCs w:val="20"/>
        </w:rPr>
      </w:pPr>
      <w:r>
        <w:rPr>
          <w:i/>
          <w:noProof/>
        </w:rPr>
        <w:t xml:space="preserve">“1. Għal deċiżjonijiet fi kwistjonijiet fejn l-Unjoni għandha kompetenza esklużiva, l-Unjoni għandha teżerċita d-drittijiet ta’ votazzjoni tal-Istati Membri tagħha taħt il-Konvenzjoni. </w:t>
      </w:r>
    </w:p>
    <w:p>
      <w:pPr>
        <w:pStyle w:val="Text1"/>
        <w:ind w:left="0"/>
        <w:rPr>
          <w:i/>
          <w:noProof/>
          <w:szCs w:val="20"/>
        </w:rPr>
      </w:pPr>
      <w:r>
        <w:rPr>
          <w:i/>
          <w:noProof/>
        </w:rPr>
        <w:t xml:space="preserve">2. Għal deċiżjonijiet fi kwistjonijiet fejn l-Unjoni taqsam il-kompetenza mal-Istati Membri tagħha, għandhom jivvutaw l-Unjoni jew l-Istati Membri tagħha. </w:t>
      </w:r>
    </w:p>
    <w:p>
      <w:pPr>
        <w:pStyle w:val="Text1"/>
        <w:ind w:left="0"/>
        <w:rPr>
          <w:i/>
          <w:noProof/>
          <w:szCs w:val="20"/>
        </w:rPr>
      </w:pPr>
      <w:r>
        <w:rPr>
          <w:i/>
          <w:noProof/>
        </w:rPr>
        <w:t>3. Soġġett għall-paragrafu 7 tal-Artikolu 26 tal-Konvenzjoni, l-Unjoni għandu jkollha l-istess għadd ta’ voti daqs l-Istati Membri tagħha li huma wkoll Partijiet għall-Konvenzjoni. Meta l-Unjoni tivvota, l-Istati Membri tagħha ma għandhomx jivvutaw.”</w:t>
      </w:r>
    </w:p>
    <w:p>
      <w:pPr>
        <w:rPr>
          <w:noProof/>
        </w:rPr>
      </w:pPr>
      <w:r>
        <w:rPr>
          <w:noProof/>
          <w:color w:val="000000"/>
        </w:rPr>
        <w:t>Skont il-liġi tal-Unjoni, l-Unjoni kisbet kompetenza esklużiva fi kwistjonijiet ta’ trasport bil-ferrovija fejn il-COTIF jew l-istrumenti legali adottati skontu jistgħu jaffettwaw jew ibiddlu l-kamp ta’ applikazzjoni ta’ dawn ir-regoli eżistenti tal-Unjoni. Ir-regoli tal-Unjoni</w:t>
      </w:r>
      <w:r>
        <w:rPr>
          <w:noProof/>
        </w:rPr>
        <w:t xml:space="preserve"> se jintlaqtu b’mod ċar mill-adozzjoni ta’ tali modifiki, billi l-objettiv tal-miżura huwa li tallinja l-NVR u l-UTPs tat-TAF, rispettivament, mad-Deċiżjoni ta’ Implimentazzjoni tal-Kummissjoni (UE) 2018/1614, u mar-Regolament tal-Kummissjoni (UE) Nru 1305/2014 kif modifikati dan l-aħħar.</w:t>
      </w:r>
    </w:p>
    <w:p>
      <w:pPr>
        <w:rPr>
          <w:noProof/>
        </w:rPr>
      </w:pPr>
      <w:r>
        <w:rPr>
          <w:noProof/>
        </w:rPr>
        <w:t>Billi l-Unjoni għandha kompetenza esklużiva fuq il-kwistjonijiet koperti miż-żewġ deċiżjonijiet tas-CTE imsemmija hawn fuq, l-Unjoni, irrappreżentata mill-Kummissjoni, għandha teżerċita d-drittijiet tal-votazzjoni fir-rigward tal-adozzjoni ta’ dawn iż-żewġ deċiżjonijiet.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rFonts w:eastAsia="Arial Unicode MS"/>
          <w:noProof/>
        </w:rPr>
      </w:pPr>
      <w:r>
        <w:rPr>
          <w:noProof/>
        </w:rPr>
        <w:t>Għar-raġunijiet kollha msemmija hawn fuq, jenħtieġ li l-Unjoni tivvota favur.</w:t>
      </w:r>
      <w:r>
        <w:t xml:space="preserve">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”.</w:t>
      </w:r>
    </w:p>
    <w:p>
      <w:pPr>
        <w:rPr>
          <w:noProof/>
        </w:rPr>
      </w:pPr>
      <w:r>
        <w:rPr>
          <w:noProof/>
        </w:rPr>
        <w:t>L-Artikolu 218(9) tat-TFUE japplika irrispettivament jekk l-Unjoni tkunx membru tal-korp jew tkunx Parti għall-Ftehim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bis-saħħa tar-regoli tad-dritt internazzjonali li jirregolaw il-korp inkwistjoni. Jinkludi wkoll l-istrumenti 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 xml:space="preserve">L-atti li s-CTE huwa mitlub jadotta jikkostitwixxu atti li għandhom effetti legali. L-atti previsti għandhom effetti legali għaliex jimmodifikaw il-qafas legali tal-OTIF billi jallinjaw l-UTPs tal-COTIF mat-TSIs tal-UE fir-rigward tas-Subsistemi, u huma vinkolanti għall-Unjoni. 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hija l-Artikolu 218(9) tat-TFUE.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b’mod ewlieni fuq l-objettiv u l-kontenut tal-att previst li għalih tkun qed tiġi adottata pożizzjoni f’isem l-Unjoni. Jekk l-att previst ikollu żewġ għanijiet jew żewġ komponenti, u jekk wieħed minn dawk l-għanijiet jew il-komponenti jkun jista’ jiġi identifikat bħala dak ewlieni, filwaqt li l-ieħor ikun sempliċement inċidentali, id-deċiżjoni skont l-Artikolu 218(9) tat-TFUE trid tkun ibbażata fuq bażi ġuridika sostantiva waħda, jiġifieri dik meħtieġa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i/>
          <w:noProof/>
        </w:rPr>
      </w:pPr>
      <w:r>
        <w:rPr>
          <w:noProof/>
        </w:rPr>
        <w:t>L-objettiv u l-kontenut ewlenin tal-att previst jirrigwardaw it-trasport ferrovjarju.</w:t>
      </w:r>
    </w:p>
    <w:p>
      <w:pPr>
        <w:rPr>
          <w:i/>
          <w:noProof/>
        </w:rPr>
      </w:pPr>
      <w:r>
        <w:rPr>
          <w:noProof/>
        </w:rPr>
        <w:t>Għalhekk, il-bażi ġuridika sostantiva għad-deċiżjoni proposta hija l-Artikolu 91 tat-TFUE.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 91 tat-TFUE, flimkien mal-Artikolu 218(9) tat-TFUE.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2019/0143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fil-proċedura bil-miktub li għandha titnieda mill-Kumitat ta’ Esperti Tekniċi tal-Organizzazzjoni Intergovernattiva għat-Trasport Internazzjonali bil-Ferrovija (OTIF) għall-adozzjoni ta’ modifiki għall-NVR u għall-UTPs tat-TAF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91,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L-Unjoni aderiet mal-Konvenzjoni li tirrigwarda t-Trasport Internazzjonali bil-Ferrovija tad-9 ta’ Mejju 1980 kif emendata mill-Protokoll ta’ Vilnius tat-3 ta’ Ġunju 1999 (“il-COTIF”), skont id-Deċiżjoni tal-Kunsill 2013/103/UE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L-Istati Membri kollha, bl-eċċezzjoni ta’ Ċipru u Malta, huma Partijiet għall-COTIF.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Skont l-Artikolu 8 tal-COTIF, ġie stabbilit il-Kumitat tal-Esperti Tekniċi (“is-CTE”) tal-Organizzazzjoni Intergovernattiva għat-Trasport Internazzjonali bil-Ferrovija (OTIF). Skont l-Artikolu 20(1)(e) tal-COTIF u l-Artikoli 13(1), (4) u (5) tal-Appendiċi G (ATMF), is-CTE għandu l-kompetenza biex jieħu deċiżjonijiet dwar l-adozzjoni jew il-modifika tar-Reġistru tal-OTIF – Reġistri Nazzjonali tal-Vetturi Ferrovjarji (NVR). Skont l-Artikolu 20(1)(b) tal-COTIF u l-Artikolu 6 tal-Appendiċi F (APTU), is-CTE għandu l-kompetenza biex jieħu deċiżjonijiet dwar l-adozzjoni ta’ Preskrizzjonijiet Tekniċi Uniformi – Applikazzjonijiet telematiċi għas-servizz tat-trasport tal-merkanzija (UTPs tat-TAF), jew dwar dispożizzjoni li temenda UTP abbażi tal-Appendiċi F (APTU) u l-Appendiċi G (ATMF) tal-Konvenzjoni tal-COTIF.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Is-CTE se jadotta, bi proċedura bil-miktub, proposta għal deċiżjoni li timmodifika l-ispeċifikazzjonijiet tal-NVR, kif ukoll proposta għal deċiżjoni li timmodifika l-Anness 1 tal-UTPs tat-TAF.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Jixraq li tiġi stabbilita l-pożizzjoni li għandha tittieħed f’isem l-Unjoni fis-CTE, għax il-modifiki proposti se jkunu vinkolanti għall-Unjoni.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L-objettiv ta’ dawn l-emendi huwa li l-NVR u l-UTPs tat-TAF jiġu allinjati, rispettivament, mad-Deċiżjoni ta’ Implimentazzjoni tal-Kummissjoni (UE) 2018/1614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u mar-Regolament ta’ Implimentazzjoni tal-Kummissjoni (UE) Nru 2019/778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L-emendi proposti huma konformi mal-liġi u mal-objettivi strateġiċi tal-Unjoni billi jikkontribwixxu għall-allinjament tal-leġiżlazzjoni tal-OTIF mad-dispożizzjonijiet ekwivalenti tal-Unjoni, u għalhekk jenħtieġ li jkunu appoġġati mill-Unjoni,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  <w:szCs w:val="24"/>
        </w:rPr>
      </w:pPr>
      <w:r>
        <w:rPr>
          <w:noProof/>
        </w:rPr>
        <w:t xml:space="preserve">Il-pożizzjoni li għandha tittieħed f’isem l-Unjoni fil-proċedura bil-miktub, li għandha titnieda mill-Kumitat ta’ Esperti Tekniċi tal-Konvenzjoni li tirrigwarda t-Trasport Internazzjonali bil-Ferrovija tad-9 ta’ Mejju 1980, fir-rigward tal-modifiki għall-NVR u għall-Anness 1 tal-UTPs tat-TAF, għandha tkun kif ġej: 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Vot favur l-emendi proposti mis-CTE għall-NVR, kif misjuba fid-Dokument ta’ Ħidma tas-CTE TECH-19001-CTE12-5.1.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Vot favur l-emenda proposta mis-CTE għall-UTPs tat-TAF, kif misjuba fid-Dokument ta’ Ħidma tas-CTE TECH-18037-CTE12-5.2.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  <w:szCs w:val="24"/>
        </w:rPr>
      </w:pPr>
      <w:r>
        <w:rPr>
          <w:noProof/>
        </w:rPr>
        <w:t>Wara l-adozzjoni tiegħu, l-att tal-Kumitat ta’ Esperti Tekniċi għandu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>, b’indikazzjoni tad-data tad-dħul fis-seħħ tiegħu.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tal-Kummissjoni 2007/756/KE tad-9 ta’ Novembru 2007 li tadotta speċifikazzjoni komuni tar-reġistru nazzjonali tal-vetturi previst fl-Artikoli 14(4) u (5) tad-Direttivi 96/48/KE u 2001/16/KE (</w:t>
      </w:r>
      <w:r>
        <w:rPr>
          <w:color w:val="444444"/>
        </w:rPr>
        <w:t>ĠU L 305, 23.11.2007, p. 30</w:t>
      </w:r>
      <w:r>
        <w:t>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tal-Kummissjoni (UE) 2018/1614 tal-25 ta’ Ottubru 2018 li tistabbilixxi l-ispeċifikazzjonijiet għar-reġistri tal-vetturi msemmija fl-Artikolu 47 tad-Direttiva (UE) 2016/797 tal-Parlament Ewropew u tal-Kunsill u li temenda u tħassar id-Deċiżjoni tal-Kummissjoni 2007/756/KE (</w:t>
      </w:r>
      <w:r>
        <w:rPr>
          <w:color w:val="444444"/>
        </w:rPr>
        <w:t>OJ L 268, 26.10.2018, p. 53</w:t>
      </w:r>
      <w:r>
        <w:t>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tal-Kummissjoni (UE) Nru 1305/2014 tal-11 ta’ Diċembru 2014 dwar l-ispeċifikazzjoni teknika għall-interoperabbiltà fir-rigward tas-subsistema “applikazzjonijiet telematiċi għas-servizz tat-trasport tal-merkanzija” tas-sistema ferrovjarja tal-Unjoni Ewropea u li jħassar ir-Regolament (KE) Nru 62/2006 (ĠU L 356, 12.12.2014, p. 438).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ta’ Implimentazzjoni tal-Kummissjoni (UE) 2018/278 tat-23 ta’ Frar 2018 li jemenda l-Anness tar-Regolament (UE) Nru 1305/2014 rigward l-istruttura tal-messaġġi, il-mudell tad-</w:t>
      </w:r>
      <w:r>
        <w:rPr>
          <w:i/>
        </w:rPr>
        <w:t>data</w:t>
      </w:r>
      <w:r>
        <w:t xml:space="preserve"> u tal-messaġġi, u l-Bażi tad-</w:t>
      </w:r>
      <w:r>
        <w:rPr>
          <w:i/>
        </w:rPr>
        <w:t>Data</w:t>
      </w:r>
      <w:r>
        <w:t xml:space="preserve"> Operazzjonali tal-Vaguni u tal-Unitajiet Intermodali, u li jadotta standard tal-IT għas-saff ta’ komunikazzjoni tal-Interfaċċa Komuni (ĠU L 54, 24.2.2018).</w:t>
      </w:r>
    </w:p>
  </w:footnote>
  <w:footnote w:id="5">
    <w:p>
      <w:pPr>
        <w:pStyle w:val="NormalWeb"/>
        <w:spacing w:before="0" w:beforeAutospacing="0" w:after="75" w:afterAutospacing="0"/>
        <w:rPr>
          <w:rFonts w:ascii="&amp;quot" w:hAnsi="&amp;quot"/>
          <w:color w:val="444444"/>
          <w:sz w:val="21"/>
          <w:szCs w:val="21"/>
        </w:rPr>
      </w:pPr>
      <w:r>
        <w:rPr>
          <w:rStyle w:val="FootnoteReference"/>
        </w:rPr>
        <w:footnoteRef/>
      </w:r>
      <w:r>
        <w:tab/>
      </w:r>
      <w:r>
        <w:rPr>
          <w:rFonts w:eastAsiaTheme="minorHAnsi"/>
          <w:sz w:val="20"/>
        </w:rPr>
        <w:t>Ir-Regolament ta’ Implimentazzjoni tal-Kummissjoni (UE) 2019/778 tas-16 ta’ Mejju 2019 li jemenda r-Regolament tal-Kummissjoni (UE) Nru 1305/2014 fir-rigward tal-Ġestjoni tal-Kontroll tat-Tibdil (ĠU L 139I, 27.5.2019, p. 356-359).</w:t>
      </w:r>
    </w:p>
    <w:p>
      <w:pPr>
        <w:pStyle w:val="FootnoteText"/>
      </w:pP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2013/103/UE tas-16 ta’ Ġunju 2011 dwar l-iffirmar u l-konklużjoni tal-Ftehim bejn l-Unjoni Ewropea u l-Organizzazzjoni Intergovernattiva għat-Trasport Internazzjonali bil-Ferrovija dwar l-Adeżjoni tal-Unjoni Ewropea mal-Konvenzjoni li tirrigwarda t-Trasport Internazzjonali bil-Ferrovija (COTIF) tad-9 ta’ Mejju 1980, kif emendata mill-Protokoll ta’ Vilnius tat-3 ta’ Ġunju 1999 (ĠU L 51, 23.2.2013, p. 1).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 ta’ Ottubru 2014, Il-Ġermanja vs Il-Kunsill, C-399/12, ECLI:EU:C:2014:2258, il-paragrafu 64.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il-Kunsill, C-399/12, ECLI:EU:C:2014:2258, il-paragrafi 61 sa 64. 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2013/103/UE tas-16 ta’ Ġunju 2011 dwar l-iffirmar u l-konklużjoni tal-Ftehim bejn l-Unjoni Ewropea u l-Organizzazzjoni Intergovernattiva għat-Trasport Internazzjonali bil-Ferrovija dwar l-Adeżjoni tal-Unjoni Ewropea mal-Konvenzjoni li tirrigwarda t-Trasport Internazzjonali bil-Ferrovija (COTIF) tad-9 ta’ Mejju 1980, kif emendata mill-Protokoll ta’ Vilnius tat-3 ta’ Ġunju 1999 (ĠU L 51, 23.2.2013, p. 1).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tal-Kummissjoni (UE) 2018/1614 tal-25 ta’ Ottubru 2018 li tistabbilixxi l-ispeċifikazzjonijiet għar-reġistri tal-vetturi msemmija fl-Artikolu 47 tad-Direttiva (UE) 2016/797 tal-Parlament Ewropew u tal-Kunsill u li temenda u tħassar id-Deċiżjoni tal-Kummissjoni 2007/756/KE (</w:t>
      </w:r>
      <w:r>
        <w:rPr>
          <w:color w:val="444444"/>
        </w:rPr>
        <w:t>OJ L 268, 26.10.2018, p. 53</w:t>
      </w:r>
      <w:r>
        <w:t>).</w:t>
      </w:r>
    </w:p>
  </w:footnote>
  <w:footnote w:id="11">
    <w:p>
      <w:pPr>
        <w:pStyle w:val="FootnoteText"/>
        <w:rPr>
          <w:rFonts w:ascii="&amp;quot" w:hAnsi="&amp;quot"/>
          <w:color w:val="444444"/>
          <w:sz w:val="21"/>
          <w:szCs w:val="21"/>
        </w:rPr>
      </w:pPr>
      <w:r>
        <w:rPr>
          <w:rStyle w:val="FootnoteReference"/>
        </w:rPr>
        <w:footnoteRef/>
      </w:r>
      <w:r>
        <w:tab/>
        <w:t>Ir-Regolament ta’ Implimentazzjoni tal-Kummissjoni (UE) 2019/778 tas-16 ta’ Mejju 2019 li jemenda r-Regolament tal-Kummissjoni (UE) Nru 1305/2014 fir-rigward tal-Ġestjoni tal-Kontroll tat-Tibdil (ĠU L 139I, 27.5.2019, p. 356-359).</w:t>
      </w:r>
    </w:p>
    <w:p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7A1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E6B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C40ED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2C64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EBCAD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826B7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AEAEC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4AAB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0"/>
  </w:num>
  <w:num w:numId="19">
    <w:abstractNumId w:val="11"/>
  </w:num>
  <w:num w:numId="20">
    <w:abstractNumId w:val="13"/>
  </w:num>
  <w:num w:numId="21">
    <w:abstractNumId w:val="9"/>
  </w:num>
  <w:num w:numId="22">
    <w:abstractNumId w:val="19"/>
  </w:num>
  <w:num w:numId="23">
    <w:abstractNumId w:val="8"/>
  </w:num>
  <w:num w:numId="24">
    <w:abstractNumId w:val="14"/>
  </w:num>
  <w:num w:numId="25">
    <w:abstractNumId w:val="16"/>
  </w:num>
  <w:num w:numId="26">
    <w:abstractNumId w:val="17"/>
  </w:num>
  <w:num w:numId="27">
    <w:abstractNumId w:val="10"/>
  </w:num>
  <w:num w:numId="28">
    <w:abstractNumId w:val="15"/>
  </w:num>
  <w:num w:numId="29">
    <w:abstractNumId w:val="21"/>
  </w:num>
  <w:num w:numId="30">
    <w:abstractNumId w:val="18"/>
  </w:num>
  <w:num w:numId="31">
    <w:abstractNumId w:val="12"/>
  </w:num>
  <w:num w:numId="32">
    <w:abstractNumId w:val="20"/>
  </w:num>
  <w:num w:numId="33">
    <w:abstractNumId w:val="11"/>
  </w:num>
  <w:num w:numId="34">
    <w:abstractNumId w:val="13"/>
  </w:num>
  <w:num w:numId="35">
    <w:abstractNumId w:val="9"/>
  </w:num>
  <w:num w:numId="36">
    <w:abstractNumId w:val="19"/>
  </w:num>
  <w:num w:numId="37">
    <w:abstractNumId w:val="8"/>
  </w:num>
  <w:num w:numId="38">
    <w:abstractNumId w:val="14"/>
  </w:num>
  <w:num w:numId="39">
    <w:abstractNumId w:val="16"/>
  </w:num>
  <w:num w:numId="40">
    <w:abstractNumId w:val="17"/>
  </w:num>
  <w:num w:numId="41">
    <w:abstractNumId w:val="10"/>
  </w:num>
  <w:num w:numId="42">
    <w:abstractNumId w:val="15"/>
  </w:num>
  <w:num w:numId="43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3 11:17:56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8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6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334D521-38D4-4284-88E4-36767221313F"/>
    <w:docVar w:name="LW_COVERPAGE_TYPE" w:val="1"/>
    <w:docVar w:name="LW_CROSSREFERENCE" w:val="&lt;UNUSED&gt;"/>
    <w:docVar w:name="LW_DocType" w:val="COM"/>
    <w:docVar w:name="LW_EMISSION" w:val="9.7.2019"/>
    <w:docVar w:name="LW_EMISSION_ISODATE" w:val="2019-07-09"/>
    <w:docVar w:name="LW_EMISSION_LOCATION" w:val="BRX"/>
    <w:docVar w:name="LW_EMISSION_PREFIX" w:val="Brussell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43"/>
    <w:docVar w:name="LW_REF.II.NEW.CP_YEAR" w:val="2019"/>
    <w:docVar w:name="LW_REF.INST.NEW" w:val="COM"/>
    <w:docVar w:name="LW_REF.INST.NEW_ADOPTED" w:val="final"/>
    <w:docVar w:name="LW_REF.INST.NEW_TEXT" w:val="(2019) 2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pro\u267?edura bil-miktub li g\u295?andha titnieda mill-Kumitat ta\u8217? Esperti Tekni\u267?i tal-Organizzazzjoni Intergovernattiva g\u295?at-Trasport Internazzjonali bil-Ferrovija (OTIF) g\u295?all-adozzjoni ta\u8217? modifiki g\u295?all-NVR u g\u295?all-UTPs tat-TAF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ascii="EUAlbertina" w:eastAsia="Times New Roman" w:hAnsi="EUAlbertina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7"/>
      </w:numPr>
    </w:pPr>
  </w:style>
  <w:style w:type="paragraph" w:customStyle="1" w:styleId="Point1number">
    <w:name w:val="Point 1 (number)"/>
    <w:basedOn w:val="Normal"/>
    <w:pPr>
      <w:numPr>
        <w:ilvl w:val="2"/>
        <w:numId w:val="37"/>
      </w:numPr>
    </w:pPr>
  </w:style>
  <w:style w:type="paragraph" w:customStyle="1" w:styleId="Point2number">
    <w:name w:val="Point 2 (number)"/>
    <w:basedOn w:val="Normal"/>
    <w:pPr>
      <w:numPr>
        <w:ilvl w:val="4"/>
        <w:numId w:val="37"/>
      </w:numPr>
    </w:pPr>
  </w:style>
  <w:style w:type="paragraph" w:customStyle="1" w:styleId="Point3number">
    <w:name w:val="Point 3 (number)"/>
    <w:basedOn w:val="Normal"/>
    <w:pPr>
      <w:numPr>
        <w:ilvl w:val="6"/>
        <w:numId w:val="37"/>
      </w:numPr>
    </w:pPr>
  </w:style>
  <w:style w:type="paragraph" w:customStyle="1" w:styleId="Point0letter">
    <w:name w:val="Point 0 (letter)"/>
    <w:basedOn w:val="Normal"/>
    <w:pPr>
      <w:numPr>
        <w:ilvl w:val="1"/>
        <w:numId w:val="37"/>
      </w:numPr>
    </w:pPr>
  </w:style>
  <w:style w:type="paragraph" w:customStyle="1" w:styleId="Point1letter">
    <w:name w:val="Point 1 (letter)"/>
    <w:basedOn w:val="Normal"/>
    <w:pPr>
      <w:numPr>
        <w:ilvl w:val="3"/>
        <w:numId w:val="37"/>
      </w:numPr>
    </w:pPr>
  </w:style>
  <w:style w:type="paragraph" w:customStyle="1" w:styleId="Point2letter">
    <w:name w:val="Point 2 (letter)"/>
    <w:basedOn w:val="Normal"/>
    <w:pPr>
      <w:numPr>
        <w:ilvl w:val="5"/>
        <w:numId w:val="37"/>
      </w:numPr>
    </w:pPr>
  </w:style>
  <w:style w:type="paragraph" w:customStyle="1" w:styleId="Point3letter">
    <w:name w:val="Point 3 (letter)"/>
    <w:basedOn w:val="Normal"/>
    <w:pPr>
      <w:numPr>
        <w:ilvl w:val="7"/>
        <w:numId w:val="37"/>
      </w:numPr>
    </w:pPr>
  </w:style>
  <w:style w:type="paragraph" w:customStyle="1" w:styleId="Point4letter">
    <w:name w:val="Point 4 (letter)"/>
    <w:basedOn w:val="Normal"/>
    <w:pPr>
      <w:numPr>
        <w:ilvl w:val="8"/>
        <w:numId w:val="37"/>
      </w:numPr>
    </w:pPr>
  </w:style>
  <w:style w:type="paragraph" w:customStyle="1" w:styleId="Bullet0">
    <w:name w:val="Bullet 0"/>
    <w:basedOn w:val="Normal"/>
    <w:pPr>
      <w:numPr>
        <w:numId w:val="38"/>
      </w:numPr>
    </w:pPr>
  </w:style>
  <w:style w:type="paragraph" w:customStyle="1" w:styleId="Bullet1">
    <w:name w:val="Bullet 1"/>
    <w:basedOn w:val="Normal"/>
    <w:pPr>
      <w:numPr>
        <w:numId w:val="39"/>
      </w:numPr>
    </w:pPr>
  </w:style>
  <w:style w:type="paragraph" w:customStyle="1" w:styleId="Bullet2">
    <w:name w:val="Bullet 2"/>
    <w:basedOn w:val="Normal"/>
    <w:pPr>
      <w:numPr>
        <w:numId w:val="40"/>
      </w:numPr>
    </w:pPr>
  </w:style>
  <w:style w:type="paragraph" w:customStyle="1" w:styleId="Bullet3">
    <w:name w:val="Bullet 3"/>
    <w:basedOn w:val="Normal"/>
    <w:pPr>
      <w:numPr>
        <w:numId w:val="41"/>
      </w:numPr>
    </w:pPr>
  </w:style>
  <w:style w:type="paragraph" w:customStyle="1" w:styleId="Bullet4">
    <w:name w:val="Bullet 4"/>
    <w:basedOn w:val="Normal"/>
    <w:pPr>
      <w:numPr>
        <w:numId w:val="4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8AE9-2C7E-4035-8E17-FACCAB09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9</Pages>
  <Words>2049</Words>
  <Characters>15681</Characters>
  <Application>Microsoft Office Word</Application>
  <DocSecurity>0</DocSecurity>
  <Lines>270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2019-04-30T13:59:00Z</cp:lastPrinted>
  <dcterms:created xsi:type="dcterms:W3CDTF">2019-06-18T15:22:00Z</dcterms:created>
  <dcterms:modified xsi:type="dcterms:W3CDTF">2019-07-03T09:17:00Z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