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63FDF81-AAEC-4B7B-84E1-167F406924DE" style="width:450.75pt;height:38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Deċiżjoni li tistabbilixxi l-pożizzjoni li trid tittieħed f’isem l-Unjoni fis-sessjonijiet tal-Kumitat tas-Sajd għall-Atlantiku Ċentrali tal-Lvant (is-CECAF) li se jsiru bejn l-2019 u l-2023 b’rabta mal-adozzjoni prevista tal-osservazzjonijiet u tal-miżuri mhux vinkolanti marbutin mal-ġestjoni tar-riżorsi ħajjin tal-baħar.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L-Organizzazzjoni tal-Ikel u l-Agrikoltura tan-Nazzjonijiet Uniti</w:t>
      </w:r>
    </w:p>
    <w:p>
      <w:pPr>
        <w:rPr>
          <w:noProof/>
        </w:rPr>
      </w:pPr>
      <w:r>
        <w:rPr>
          <w:noProof/>
        </w:rPr>
        <w:t xml:space="preserve">Il-Kumitat tas-Sajd għall-Atlantiku Ċentrali tal-Lvant (is-CECAF) ġie stabbilit bir-Riżoluzzjoni 1/48 tal-Kunsill tal-Organizzazzjoni tal-Ikel u l-Agrikoltura tan-Nazzjonijiet Uniti (l-FAO) skont l-Artikolu VI(2) tal-Kostituzzjoni tal-FAO. Id-Direttur Ġenerali tal-FAO ippromulga l-istatuti tas-CECAF fid-19 ta’ Settembru 1967 u fl-2003 dawn ġew emendati għall-aħħar darba, b’mod partikulari f’dak li għandu x’jaqsam </w:t>
      </w:r>
      <w:r>
        <w:rPr>
          <w:rStyle w:val="def2"/>
          <w:noProof/>
        </w:rPr>
        <w:t>mal-għan tas-CECAF u mal-funzjonijiet u mar-responsabbiltajiet tiegħu</w:t>
      </w:r>
      <w:r>
        <w:rPr>
          <w:noProof/>
        </w:rPr>
        <w:t xml:space="preserve">. </w:t>
      </w:r>
    </w:p>
    <w:p>
      <w:r>
        <w:rPr>
          <w:noProof/>
        </w:rPr>
        <w:t xml:space="preserve">L-għan tas-CECAF huwa li jippromwovi l-użu sostenibbli tar-riżorsi ħajjin tal-baħar fiż-żona ta’ kompetenza tiegħu billi jkun hemm ġestjoni u żvilupp xierqa tas-sajd u tal-ħidmiet tas-sajd. </w:t>
      </w:r>
      <w:r>
        <w:rPr>
          <w:rStyle w:val="def2"/>
          <w:noProof/>
        </w:rPr>
        <w:t>Il-Kumitat ikopri r-riżorsi ħajjin tal-baħar kollha li jinsabu fiż-żona ta’ kompetenza tiegħu, li testendi mill-Kap Spartel sa ħalq ix-Xmara Kongo.</w:t>
      </w:r>
      <w:r>
        <w:t xml:space="preserve"> </w:t>
      </w:r>
    </w:p>
    <w:p>
      <w:pPr>
        <w:rPr>
          <w:rFonts w:eastAsia="Arial Unicode MS"/>
          <w:noProof/>
        </w:rPr>
      </w:pPr>
      <w:r>
        <w:rPr>
          <w:noProof/>
        </w:rPr>
        <w:t>L-Unjoni Ewropea hija membru tas-CECAF</w:t>
      </w:r>
      <w:r>
        <w:rPr>
          <w:rStyle w:val="FootnoteReference"/>
          <w:noProof/>
        </w:rPr>
        <w:footnoteReference w:id="1"/>
      </w:r>
      <w:r>
        <w:rPr>
          <w:noProof/>
        </w:rPr>
        <w:t>, u Franza, il-Greċja, l-Italja, in-Netherlands, il-Polonja, ir-Rumanija u Spanja wkoll huma membri tiegħu.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tas-Sajd għall-Atlantiku Ċentrali tal-Lvant</w:t>
      </w:r>
    </w:p>
    <w:p>
      <w:pPr>
        <w:rPr>
          <w:rFonts w:eastAsia="Arial Unicode MS"/>
          <w:noProof/>
        </w:rPr>
      </w:pPr>
      <w:r>
        <w:rPr>
          <w:noProof/>
        </w:rPr>
        <w:t>Is-CECAF huwa korp reġjonali konsultattiv u tekniku tas-sajd stabbilit skont l-Artikolu VI(2) tal-Kostituzzjoni tal-FAO. Il-ġestjoni u l-finanzjament tas-Segretarjat tas-CECAF huma f’idejn l-FAO. Fost il-funzjonijiet ewlenin tas-CECAF insibu l-promozzjoni, il-koordinazzjoni u l-iffaċilitar tar-riċerka xjentifika, tal-governanza u tal-attivitajiet marbutin mal-konservazzjoni u mal-ġestjoni tar-riżorsi ħajjin tal-baħar li jinsabu fiż-żona ta’ kompetenza tiegħu. Is-CECAF jista’ jagħti pariri wkoll lill-membri tiegħu dwar il-ġestjoni, il-monitoraġġ, il-kontroll u s-sorveljanza tas-sajd. Huwa jaħdem ukoll biex jistabbilixxi l-bażi xjentifika għal miżuri regolatorji li jwasslu għall-konservazzjoni u għall-ġestjoni tar-riżorsi tas-sajd tal-baħar u jagħti pariri lill-gvernijiet tal-membri tiegħu dwar l-adozzjoni ta’ miżuri regolatorji.</w:t>
      </w:r>
    </w:p>
    <w:p>
      <w:pPr>
        <w:rPr>
          <w:rFonts w:eastAsia="Arial Unicode MS"/>
          <w:noProof/>
        </w:rPr>
      </w:pPr>
      <w:r>
        <w:rPr>
          <w:rStyle w:val="def3"/>
          <w:noProof/>
        </w:rPr>
        <w:t xml:space="preserve">Is-soltu kull sentejn ikun hemm sessjoni tas-CECAF. </w:t>
      </w:r>
      <w:r>
        <w:rPr>
          <w:noProof/>
        </w:rPr>
        <w:t>Bħala membru f’dan il-Kumitat, l-Unjoni għandha d-dritt tieħu sehem u tivvota f’dawn is-sessjonijiet. Id-deċiżjonijiet tas-CECAF jittieħdu b’maġġoranza tal-voti mitfugħa, ħlief meta jkun previst mod ieħor fir-regoli ta’ proċedura tiegħu.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Id-deċiżjonijiet li jadotta l-Kumitat tas-Sajd għall-Atlantiku Ċentrali tal-Lvant</w:t>
      </w:r>
    </w:p>
    <w:p>
      <w:pPr>
        <w:rPr>
          <w:rStyle w:val="def3"/>
          <w:rFonts w:eastAsia="Arial Unicode MS"/>
          <w:noProof/>
        </w:rPr>
      </w:pPr>
      <w:r>
        <w:rPr>
          <w:noProof/>
        </w:rPr>
        <w:t>Skont it-termini ta’ referenza tal-istatuti riveduti tiegħu, is-CECAF jagħti pariri lill-gvernijiet tal-membri tiegħu u lill-organizzazzjonijiet reġjonali kompetenti dwar il-miżuri ta’ ġestjoni (minn hawn ’il quddiem imsejħin “il-miżuri”). Minħabba l-istatus konsultattiv tiegħu, id-deċiżjonijiet tas-CECAF ma jorbtux lill-membri tiegħu.</w:t>
      </w:r>
    </w:p>
    <w:p>
      <w:pPr>
        <w:pStyle w:val="ManualHeading1"/>
        <w:rPr>
          <w:rFonts w:eastAsia="Arial Unicode MS"/>
          <w:noProof/>
        </w:rPr>
      </w:pPr>
      <w:r>
        <w:lastRenderedPageBreak/>
        <w:t>3.</w:t>
      </w:r>
      <w:r>
        <w:tab/>
      </w:r>
      <w:r>
        <w:rPr>
          <w:noProof/>
        </w:rPr>
        <w:t>Il-pożizzjoni li trid tittieħed f’isem l-Unjoni</w:t>
      </w:r>
    </w:p>
    <w:p>
      <w:pPr>
        <w:rPr>
          <w:noProof/>
        </w:rPr>
      </w:pPr>
      <w:r>
        <w:rPr>
          <w:noProof/>
        </w:rPr>
        <w:t>B’konsistenza mal-proċeduri li japplikaw għall-organizzazzjonijiet reġjonali tal-ġestjoni tas-sajd (l-RFMOs), il-pożizzjoni li trid tiġi adottata f’isem l-Unjoni waqt il-laqgħat annwali ta’ korpi reġjonali tas-sajd bħas-CECAF għandha tiġi stabbilita billi jintuża approċċ b’żewġ saffi. Deċiżjoni tal-Kunsill tistabbilixxi l-prinċipji ta’ gwida u l-orjentazzjonijiet tal-pożizzjoni tal-Unjoni fuq bażi pluriennali, u wara din tiġi aġġustata qabel kull laqgħa annwali b’dokumenti informali tal-Kummissjoni li jridu jiġu diskussi fil-grupp ta’ ħidma tal-Kunsill.</w:t>
      </w:r>
    </w:p>
    <w:p>
      <w:pPr>
        <w:rPr>
          <w:noProof/>
        </w:rPr>
      </w:pPr>
      <w:r>
        <w:rPr>
          <w:noProof/>
        </w:rPr>
        <w:t xml:space="preserve">Din il-proposta għal Deċiżjoni: </w:t>
      </w:r>
    </w:p>
    <w:p>
      <w:pPr>
        <w:pStyle w:val="Bullet0"/>
        <w:numPr>
          <w:ilvl w:val="0"/>
          <w:numId w:val="18"/>
        </w:numPr>
        <w:rPr>
          <w:noProof/>
        </w:rPr>
      </w:pPr>
      <w:r>
        <w:rPr>
          <w:noProof/>
        </w:rPr>
        <w:t>fiha prinċipji u orjentazzjonijiet ġenerali, iżda tqis ukoll, kemm jista’ jkun, il-karatteristiċi speċifiċi tas-CECAF;</w:t>
      </w:r>
    </w:p>
    <w:p>
      <w:pPr>
        <w:pStyle w:val="Bullet0"/>
        <w:rPr>
          <w:noProof/>
        </w:rPr>
      </w:pPr>
      <w:r>
        <w:rPr>
          <w:noProof/>
        </w:rPr>
        <w:t>tistabbilixxi l-proċess standard biex tiġi stabbilita l-pożizzjoni tal-Unjoni minn sena għall-oħra, kif talbu l-Istati Membri;</w:t>
      </w:r>
    </w:p>
    <w:p>
      <w:pPr>
        <w:pStyle w:val="Bullet0"/>
        <w:rPr>
          <w:noProof/>
        </w:rPr>
      </w:pPr>
      <w:r>
        <w:rPr>
          <w:noProof/>
        </w:rPr>
        <w:t>tinkludi l-prinċipji u l-orjentazzjonijiet tal-politika komuni l-ġdida tas-sajd stabbiliti fir-Regolament (UE) Nru 1380/2013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>, u tqis ukoll l-objettivi stabbiliti fil-Komunikazzjoni tal-Kummissjoni dwar id-dimensjoni esterna tal-politika komuni tas-sajd</w:t>
      </w:r>
      <w:r>
        <w:rPr>
          <w:rStyle w:val="FootnoteReference"/>
          <w:noProof/>
        </w:rPr>
        <w:footnoteReference w:id="3"/>
      </w:r>
      <w:r>
        <w:rPr>
          <w:noProof/>
        </w:rPr>
        <w:t>;</w:t>
      </w:r>
    </w:p>
    <w:p>
      <w:pPr>
        <w:pStyle w:val="Bullet0"/>
        <w:rPr>
          <w:noProof/>
        </w:rPr>
      </w:pPr>
      <w:r>
        <w:rPr>
          <w:noProof/>
        </w:rPr>
        <w:t>tqis il-Komunikazzjoni Konġunta tar-Rappreżentant Għoli tal-Unjoni għall-Affarijiet Barranin u l-Politika ta’ Sigurtà u tal-Kummissjoni msejħa “Il-governanza internazzjonali tal-oċeani: aġenda għall-futur tal-oċeani tagħna”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l-Konklużjonijiet tal-Kunsill dwarha</w:t>
      </w:r>
      <w:r>
        <w:rPr>
          <w:rStyle w:val="FootnoteReference"/>
          <w:noProof/>
        </w:rPr>
        <w:footnoteReference w:id="5"/>
      </w:r>
      <w:r>
        <w:rPr>
          <w:noProof/>
        </w:rPr>
        <w:t>; u</w:t>
      </w:r>
    </w:p>
    <w:p>
      <w:pPr>
        <w:pStyle w:val="Bullet0"/>
        <w:rPr>
          <w:noProof/>
        </w:rPr>
      </w:pPr>
      <w:r>
        <w:rPr>
          <w:noProof/>
        </w:rPr>
        <w:t>tqis il-Komunikazzjoni tal-Kummissjoni lill-Parlament Ewropew, lill-Kunsill, lill-Kumitat Ekonomiku u Soċjali Ewropew u lill-Kumitat tar-Reġjuni msejħa “Strateġija Ewropea għall-Plastiks f’Ekonomija Ċirkolari”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 xml:space="preserve"> 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(minn hawn ’il quddiem imsejjaħ “it-Trattat”)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tal-ftehim”.</w:t>
      </w:r>
    </w:p>
    <w:p>
      <w:pPr>
        <w:rPr>
          <w:noProof/>
        </w:rPr>
      </w:pPr>
      <w:r>
        <w:rPr>
          <w:noProof/>
        </w:rPr>
        <w:t xml:space="preserve">Il-kunċett ta’ “atti li jkollhom effetti legali” jinkludi l-atti li jkollhom effetti legali bis-saħħa tar-regoli tad-dritt internazzjonali li jirregolaw is-sede kkonċernata. Huwa jinkludi wkoll l-istrumenti li ma jkollhomx effett vinkolanti skont id-dritt internazzjonali iżda li “jistgħu </w:t>
      </w:r>
      <w:r>
        <w:rPr>
          <w:noProof/>
        </w:rPr>
        <w:lastRenderedPageBreak/>
        <w:t>jinfluwenzaw b’mod determinanti l-kontenut tal-leġiżlazzjoni adottata mil-leġiżlatur tal-Unjoni”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Is-CECAF huwa korp reġjonali tekniku tas-sajd stabbilit bir-Riżoluzzjoni 1/48 tal-1967 tal-FAO skont l-Artikolu VI(2) tal-Kostituzzjoni tal-FAO. Filwaqt li d-deċiżjonijiet tas-CECAF (minn hawn ’il quddiem imsejħin “il-miżuri”) ma jorbtux lill-membri tiegħu, l-atti li s-CECAF jintalab jadotta huma atti li jistgħu jinfluwenzaw b’mod deċiżiv il-kontenut tal-leġiżlazzjoni adottata mil-leġiżlatur tal-Unjoni.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 218(9) tat-Trattat.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tat-Trattat tiddependi b’mod ewlieni fuq l-objettiv u l-kontenut tal-att previst li dwaru tkun qed tittieħed pożizzjoni f’isem l-Unjoni. Jekk l-att previst ikollu żewġ għanijiet jew żewġ komponenti, u jekk wieħed minn dawk l-għanijiet jew minn dawk il-komponenti jkun jista’ jiġi identifikat bħala dak ewlieni, filwaqt li l-ieħor ikun biss wieħed inċidentali, id-deċiżjoni skont l-Artikolu 218(9) tat-Trattat trid tissejjes fuq bażi ġuridika sostantiva waħda, li tkun dik mitluba mill-għan jew mill-komponent ewlieni.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r>
        <w:rPr>
          <w:noProof/>
        </w:rPr>
        <w:t xml:space="preserve">L-objettiv ewlieni u l-kontenut tal-att previst għandhom x’jaqsmu mas-sajd. Ir-Regolament (UE) Nru 1380/2013 jifforma l-bażi ġuridika li tistabbilixxi l-prinċipji li jridu jiddaħħlu f’din il-pożizzjoni. </w:t>
      </w:r>
    </w:p>
    <w:p>
      <w:pPr>
        <w:rPr>
          <w:i/>
          <w:noProof/>
        </w:rPr>
      </w:pPr>
      <w:r>
        <w:rPr>
          <w:noProof/>
        </w:rPr>
        <w:t>Għalhekk, il-bażi ġuridika sostantiva għad-deċiżjoni proposta hija l-Artikolu 43(2) tat-Trattat.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Għalhekk, il-bażi ġuridika tad-deċiżjoni proposta għandha tkun l-Artikolu 43(2) tat-Trattat, flimkien mal-Artikolu 218(9) tiegħu.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fil-Kumitat tas-Sajd għall-Atlantiku Ċentrali tal-Lvant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 (minn hawn ’il quddiem imsejjaħ “it-Trattat”), u b’mod partikulari l-Artikolu 43(2),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L-Unjoni Ewropea hija membru tal-Kumitat tas-Sajd għall-Atlantiku Ċentrali tal-Lvant (is-CECAF), li huwa korp reġjonali tas-sajd tal-Organizzazzjoni tal-Ikel u l-Agrikoltura tan-Nazzjonijiet Uniti (l-FAO) stabbilit skont l-Artikolu VI(2) tal-Kostituzzjoni tal-FAO.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L-Unjoni Ewropea hija membru tal-FAO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it-termini ta’ referenza tal-istatuti riveduti tiegħu, is-CECAF jagħti pariri dwar il-miżuri ta’ ġestjoni (minn hawn ’il quddiem imsejħin “il-miżuri”). Minħabba l-istatus konsultattiv tiegħu, id-deċiżjonijiet tas-CECAF ma jorbtux lill-membri tiegħu.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Waqt is-sessjonijiet tal-Kumitat tiegħu, is-CECAF irid jagħti pariri dwar il-miżuri marbutin mal-konservazzjoni u mal-ġestjoni tar-riżorsi ħajjin tal-baħar.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Huwa xieraq li tiġi stabbilita l-pożizzjoni li trid tittieħed f’isem l-Unjoni bejn l-2019 u l-2023 fis-CECAF, minħabba li s-CECAF jintalab jadotta atti mhux vinkolanti li jistgħu jinfluwenzaw b’mod deċiżiv il-kontenut tal-leġiżlazzjoni adottata mil-leġiżlatur tal-Unjoni. Ħafna mid-Deċiżjonijiet tal-Kunsill li jistabbilixxu l-pożizzjoni tal-Unjoni f’RFMOs li l-Unjoni hija Parti Kontraenti tagħhom iridu jiġu riveduti qabel il-laqgħa annwali tal-2024 ta’ dawk l-RFMOs. Għalhekk, sabiex ikun hemm iktar koerenza bejn il-pożizzjonijiet tal-Unjoni fl-RFMOs kollha u fil-korpi reġjonali kollha tas-sajd, u sabiex ikun armonizzat il-proċess ta’ reviżjoni, jenħtieġ li din id-Deċiżjoni tal-Kunsill tiġi riveduta l-iktar tard qabel kwalunkwe sessjoni tas-CECAF li jista’ jkun hemm fl-2024.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Skont il-Komunikazzjoni Konġunta tar-Rappreżentant Għoli tal-Unjoni għall-Affarijiet Barranin u l-Politika ta’ Sigurtà u tal-Kummissjoni msejħa “Il-governanza internazzjonali tal-oċeani: aġenda għall-futur tal-oċeani tagħna”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u l-Konklużjonijiet tal-Kunsill dwarha</w:t>
      </w:r>
      <w:r>
        <w:rPr>
          <w:rStyle w:val="FootnoteReference"/>
          <w:noProof/>
        </w:rPr>
        <w:footnoteReference w:id="10"/>
      </w:r>
      <w:r>
        <w:rPr>
          <w:noProof/>
        </w:rPr>
        <w:t>, il-promozzjoni ta’ miżuri li jappoġġaw u jtejbu l-effettività tal-</w:t>
      </w:r>
      <w:r>
        <w:rPr>
          <w:noProof/>
        </w:rPr>
        <w:lastRenderedPageBreak/>
        <w:t>organizzazzjonijiet reġjonali tal-ġestjoni tas-sajd u, meta dan ikun rilevanti, li jtejbu l-governanza tagħhom u jsaħħu l-kooperazzjoni f’żoni ewlenin tal-oċeani biex jimtlew il-lakuni fil-governanza reġjonali, hija fundamentali għall-azzjoni tal-Unjoni f’dawn il-fora.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Hekk kif intqal fil-Komunikazzjoni tal-Kummissjoni lill-Parlament Ewropew, lill-Kunsill, lill-Kumitat Ekonomiku u Soċjali Ewropew u lill-Kumitat tar-Reġjuni msejħa “Strateġija Ewropea għall-Plastiks f’Ekonomija Ċirkolari”</w:t>
      </w:r>
      <w:r>
        <w:rPr>
          <w:rStyle w:val="FootnoteReference"/>
          <w:noProof/>
        </w:rPr>
        <w:footnoteReference w:id="11"/>
      </w:r>
      <w:r>
        <w:rPr>
          <w:noProof/>
        </w:rPr>
        <w:t>, jenħtieġ li jittieħdu miżuri speċifiċi biex jitnaqqas il-plastik u t-tniġġis tal-baħar, kif ukoll biex jitnaqqas l-irkaptu tas-sajd li jintilef jew li jiġi abbandunat fil-baħar.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Minħabba li r-riżorsi tas-sajd fiż-żona tas-CECAF qegħdin jevolvu, u minħabba li jeħtieġ li l-pożizzjoni tal-Unjoni tkun tqis l-iżviluppi l-ġodda, fosthom it-tagħrif xjentifiku l-ġdid jew tagħrif rilevanti ieħor li jiġi ppreżentat qabel is-sessjonijiet tas-CECAF jew matulhom, jenħtieġ li jiġu stabbiliti proċeduri biex il-pożizzjoni tal-Unjoni tiġi speċifikata minn sena għall-oħra bejn l-2019 u l-2023 li jkunu skont il-prinċipju tal-kooperazzjoni leali fost l-istituzzjonijiet tal-Unjoni minqux fl-Artikolu 13(2) tat-Trattat dwar l-Unjoni Ewropea,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Il-pożizzjoni li trid tittieħed f’isem l-Unjoni fis-sessjonijiet tal-Kumitat tas-Sajd għall-Atlantiku Ċentrali tal-Lvant (is-CECAF) hija mogħtija fl-Anness 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L-ispeċifikazzjoni minn sena għall-oħra tal-pożizzjoni tal-Unjoni li trid tittieħed fis-sessjonijiet tas-CECAF għandha ssir skont l-Anness II.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Fuq proposta tal-Kummissjoni, il-Kunsill għandu jivvaluta u, meta jkun xieraq, jirrevedi l-pożizzjoni tal-Unjoni stabbilita fl-Anness I, l-iktar tard qabel kwalunkwe sessjoni tas-CECAF li jista’ jkun hemm fl-2024.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tal-25 ta’ Novembru 1991 dwar l-adeżjoni tal-Komunità Ekonomika Ewropea mal-Organizzazzjoni tal-Ikel u l-Agrikoltura tan-Nazzjonijiet Uniti (l-FAO).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tal-11 ta’ Diċembru 2013 dwar il-Politika Komuni tas-Sajd, li jemenda r-Regolamenti tal-Kunsill (KE) Nru 1954/2003 u (KE) Nru 1224/2009 u li jħassar ir-Regolamenti tal-Kunsill (KE) Nru 2371/2002 u (KE) Nru 639/2004 u d-Deċiżjoni tal-Kunsill 2004/585/KE (ĠU L 354, 28.12.2013, p. 22).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KUMM(2011) 424 finali, 13.7.2011.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JOIN(2016) 49 final, 10.11.2016.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7348/1/17 REV 1, 24.3.2017.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COM(2018) 28 final, 16.1.2018.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Il-paragrafi 61 sa 64 tas-Sentenza tal-Qorti tal-Ġustizzja tas-7 ta’ Ottubru 2014 fil-Kawża C-399/12, Il-Ġermanja </w:t>
      </w:r>
      <w:r>
        <w:rPr>
          <w:i/>
        </w:rPr>
        <w:t>vs</w:t>
      </w:r>
      <w:r>
        <w:t xml:space="preserve"> Il-Kunsill (ECLI:EU:C:2014:2258).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tal-25 ta’ Novembru 1991 dwar l-adeżjoni tal-Komunità Ekonomika Ewropea mal-Organizzazzjoni tal-Ikel u l-Agrikoltura tan-Nazzjonijiet Uniti (l-FAO).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JOIN(2016) 49 final, 10.11.2016.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7348/1/17 REV 1, 24.3.2017.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COM(2018) 28 final, 16.1.2018.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7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4"/>
  </w:num>
  <w:num w:numId="6">
    <w:abstractNumId w:val="25"/>
  </w:num>
  <w:num w:numId="7">
    <w:abstractNumId w:val="22"/>
  </w:num>
  <w:num w:numId="8">
    <w:abstractNumId w:val="26"/>
  </w:num>
  <w:num w:numId="9">
    <w:abstractNumId w:val="2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24"/>
  </w:num>
  <w:num w:numId="22">
    <w:abstractNumId w:val="6"/>
  </w:num>
  <w:num w:numId="23">
    <w:abstractNumId w:val="12"/>
  </w:num>
  <w:num w:numId="24">
    <w:abstractNumId w:val="4"/>
  </w:num>
  <w:num w:numId="25">
    <w:abstractNumId w:val="23"/>
  </w:num>
  <w:num w:numId="26">
    <w:abstractNumId w:val="3"/>
  </w:num>
  <w:num w:numId="27">
    <w:abstractNumId w:val="13"/>
  </w:num>
  <w:num w:numId="28">
    <w:abstractNumId w:val="19"/>
  </w:num>
  <w:num w:numId="29">
    <w:abstractNumId w:val="20"/>
  </w:num>
  <w:num w:numId="30">
    <w:abstractNumId w:val="5"/>
  </w:num>
  <w:num w:numId="31">
    <w:abstractNumId w:val="17"/>
  </w:num>
  <w:num w:numId="32">
    <w:abstractNumId w:val="28"/>
  </w:num>
  <w:num w:numId="33">
    <w:abstractNumId w:val="21"/>
  </w:num>
  <w:num w:numId="34">
    <w:abstractNumId w:val="11"/>
  </w:num>
  <w:num w:numId="35">
    <w:abstractNumId w:val="24"/>
  </w:num>
  <w:num w:numId="36">
    <w:abstractNumId w:val="6"/>
  </w:num>
  <w:num w:numId="37">
    <w:abstractNumId w:val="12"/>
  </w:num>
  <w:num w:numId="38">
    <w:abstractNumId w:val="4"/>
  </w:num>
  <w:num w:numId="39">
    <w:abstractNumId w:val="23"/>
  </w:num>
  <w:num w:numId="40">
    <w:abstractNumId w:val="3"/>
  </w:num>
  <w:num w:numId="41">
    <w:abstractNumId w:val="13"/>
  </w:num>
  <w:num w:numId="42">
    <w:abstractNumId w:val="19"/>
  </w:num>
  <w:num w:numId="43">
    <w:abstractNumId w:val="20"/>
  </w:num>
  <w:num w:numId="44">
    <w:abstractNumId w:val="5"/>
  </w:num>
  <w:num w:numId="45">
    <w:abstractNumId w:val="17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1 11:12:2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63FDF81-AAEC-4B7B-84E1-167F406924DE"/>
    <w:docVar w:name="LW_COVERPAGE_TYPE" w:val="1"/>
    <w:docVar w:name="LW_CROSSREFERENCE" w:val="&lt;UNUSED&gt;"/>
    <w:docVar w:name="LW_DocType" w:val="COM"/>
    <w:docVar w:name="LW_EMISSION" w:val="10.7.2019"/>
    <w:docVar w:name="LW_EMISSION_ISODATE" w:val="2019-07-10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l-Kumitat tas-Sajd g\u295?all-Atlantiku \u266?entrali tal-Lvant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mt-M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mt-MT" w:eastAsia="mt-MT"/>
    </w:rPr>
  </w:style>
  <w:style w:type="character" w:customStyle="1" w:styleId="def3">
    <w:name w:val="def3"/>
    <w:basedOn w:val="DefaultParagraphFont"/>
  </w:style>
  <w:style w:type="character" w:customStyle="1" w:styleId="def2">
    <w:name w:val="def2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mt-M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mt-MT" w:eastAsia="mt-MT"/>
    </w:rPr>
  </w:style>
  <w:style w:type="character" w:customStyle="1" w:styleId="def3">
    <w:name w:val="def3"/>
    <w:basedOn w:val="DefaultParagraphFont"/>
  </w:style>
  <w:style w:type="character" w:customStyle="1" w:styleId="def2">
    <w:name w:val="def2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35AD53-45EB-4A12-AE24-DC9F7931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1357</Words>
  <Characters>10247</Characters>
  <Application>Microsoft Office Word</Application>
  <DocSecurity>0</DocSecurity>
  <Lines>173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17</cp:revision>
  <dcterms:created xsi:type="dcterms:W3CDTF">2019-06-25T06:35:00Z</dcterms:created>
  <dcterms:modified xsi:type="dcterms:W3CDTF">2019-07-01T09:12:00Z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