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930EE08-92E8-4A06-8681-F4DEACADB0DD" style="width:450.75pt;height:38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rFonts w:eastAsia="Arial Unicode MS"/>
          <w:noProof/>
        </w:rPr>
      </w:pPr>
      <w:r>
        <w:t>1.</w:t>
      </w:r>
      <w:r>
        <w:tab/>
      </w:r>
      <w:r>
        <w:rPr>
          <w:noProof/>
        </w:rPr>
        <w:t>Ehdotuksen kohde</w:t>
      </w:r>
    </w:p>
    <w:p>
      <w:pPr>
        <w:rPr>
          <w:rFonts w:eastAsia="Arial Unicode MS"/>
          <w:noProof/>
        </w:rPr>
      </w:pPr>
      <w:r>
        <w:rPr>
          <w:noProof/>
        </w:rPr>
        <w:t>Tämä ehdotus koskee päätöstä Itäisen Keski-Atlantin kalastuskomitean (CECAF) istunnoissa vuosina 2019–2023 unionin puolesta otettavan kannan vahvistamisesta, silloin kun tämän elimen on määrä hyväksyä sitomattomia huomautuksia ja toimenpiteitä, jotka koskevat meren elollisten luonnonvarojen hoitoa.</w:t>
      </w:r>
    </w:p>
    <w:p>
      <w:pPr>
        <w:pStyle w:val="ManualHeading1"/>
        <w:rPr>
          <w:noProof/>
        </w:rPr>
      </w:pPr>
      <w:r>
        <w:t>2.</w:t>
      </w:r>
      <w:r>
        <w:tab/>
      </w:r>
      <w:r>
        <w:rPr>
          <w:noProof/>
        </w:rPr>
        <w:t>Ehdotuksen tausta</w:t>
      </w:r>
    </w:p>
    <w:p>
      <w:pPr>
        <w:pStyle w:val="ManualHeading2"/>
        <w:rPr>
          <w:noProof/>
        </w:rPr>
      </w:pPr>
      <w:r>
        <w:t>2.1.</w:t>
      </w:r>
      <w:r>
        <w:tab/>
      </w:r>
      <w:r>
        <w:rPr>
          <w:noProof/>
        </w:rPr>
        <w:t>Yhdistyneiden kansakuntien elintarvike- ja maatalousjärjestö</w:t>
      </w:r>
    </w:p>
    <w:p>
      <w:pPr>
        <w:rPr>
          <w:noProof/>
        </w:rPr>
      </w:pPr>
      <w:r>
        <w:rPr>
          <w:noProof/>
        </w:rPr>
        <w:t xml:space="preserve">Itäisen Keski-Atlantin kalastuskomitea (CECAF) on perustettu Yhdistyneiden kansakuntien elintarvike- ja maatalousjärjestön (FAO) neuvoston päätöslauselmalla 1/48 FAO:n perussäännön VI artiklan (2) mukaisesti. FAO:n pääjohtaja vahvisti CECAF:n perussäännöt 19. syyskuuta 1967, ja niitä muutettiin viimeksi vuonna 2003, erityisesti CECAF:n </w:t>
      </w:r>
      <w:r>
        <w:rPr>
          <w:rStyle w:val="def2"/>
          <w:noProof/>
        </w:rPr>
        <w:t>tarkoituksen, tehtävien ja vastuiden</w:t>
      </w:r>
      <w:r>
        <w:rPr>
          <w:noProof/>
        </w:rPr>
        <w:t xml:space="preserve"> osalta. </w:t>
      </w:r>
    </w:p>
    <w:p>
      <w:r>
        <w:rPr>
          <w:noProof/>
        </w:rPr>
        <w:t>CECAF:n tarkoituksena</w:t>
      </w:r>
      <w:r>
        <w:t xml:space="preserve"> </w:t>
      </w:r>
      <w:r>
        <w:rPr>
          <w:noProof/>
        </w:rPr>
        <w:t xml:space="preserve">on edistää toimivaltaansa kuuluvalla alueella meren elollisten luonnonvarojen kestävää käyttöä kalastuksen ja kalastustoimien asianmukaisen hoidon ja kehittämisen avulla. </w:t>
      </w:r>
      <w:r>
        <w:rPr>
          <w:rStyle w:val="def2"/>
          <w:noProof/>
        </w:rPr>
        <w:t>Komitean työ kattaa kaikki meren elolliset luonnonvarat tällä toimivalta-alueella, joka ulottuu Cap Spartelista Kongojoen suulle.</w:t>
      </w:r>
      <w:r>
        <w:t xml:space="preserve"> </w:t>
      </w:r>
    </w:p>
    <w:p>
      <w:pPr>
        <w:rPr>
          <w:rFonts w:eastAsia="Arial Unicode MS"/>
          <w:noProof/>
        </w:rPr>
      </w:pPr>
      <w:r>
        <w:rPr>
          <w:noProof/>
        </w:rPr>
        <w:t>Euroopan unioni on CECAF:n jäsen</w:t>
      </w:r>
      <w:r>
        <w:rPr>
          <w:rStyle w:val="FootnoteReference"/>
          <w:noProof/>
        </w:rPr>
        <w:footnoteReference w:id="1"/>
      </w:r>
      <w:r>
        <w:rPr>
          <w:noProof/>
        </w:rPr>
        <w:t xml:space="preserve"> samoin kuin Ranska, Kreikka, Italia, Alankomaat, Puola, Romania ja Espanja.</w:t>
      </w:r>
    </w:p>
    <w:p>
      <w:pPr>
        <w:pStyle w:val="ManualHeading2"/>
        <w:rPr>
          <w:noProof/>
        </w:rPr>
      </w:pPr>
      <w:r>
        <w:t>2.2.</w:t>
      </w:r>
      <w:r>
        <w:tab/>
      </w:r>
      <w:r>
        <w:rPr>
          <w:noProof/>
        </w:rPr>
        <w:t>Itäisen Keski-Atlantin kalastuskomitea</w:t>
      </w:r>
    </w:p>
    <w:p>
      <w:pPr>
        <w:rPr>
          <w:rFonts w:eastAsia="Arial Unicode MS"/>
          <w:noProof/>
        </w:rPr>
      </w:pPr>
      <w:r>
        <w:rPr>
          <w:noProof/>
        </w:rPr>
        <w:t>CECAF on neuvoa-antava tekninen ja alueellinen kalastuselin, joka on perustettu FAO:n perussäännön VI artiklan 2 kohdan mukaisesti. CECAF:n sihteeristöä hallinnoi ja rahoittaa FAO. Sen tärkeimpiin tehtäviin kuuluu meren elollisten luonnonvarojen säilyttämiseen ja hoitoon liittyvän tieteellisen tutkimuksen, hallinnoinnin ja toiminnan edistäminen, yhteensovittaminen ja helpottaminen toimivalta-alueellaan. CECAF voi myös antaa jäsenilleen neuvontaa kalastuksen hoidosta, seurannasta, valvonnasta ja tarkkailusta. Lisäksi se pyrkii vahvistamaan tieteellistä perustaa sääntelytoimenpiteille, jotka johtavat meren elollisten luonnonvarojen säilyttämiseen ja hoitoon, sekä antamaan jäsentensä hallituksille neuvontaa niiden hyväksyessä sääntelytoimenpiteitä.</w:t>
      </w:r>
    </w:p>
    <w:p>
      <w:pPr>
        <w:rPr>
          <w:rFonts w:eastAsia="Arial Unicode MS"/>
          <w:noProof/>
        </w:rPr>
      </w:pPr>
      <w:r>
        <w:rPr>
          <w:rStyle w:val="def3"/>
          <w:noProof/>
        </w:rPr>
        <w:t xml:space="preserve">CECAF:n istunnot pidetään yleensä kahden vuoden välein. </w:t>
      </w:r>
      <w:r>
        <w:rPr>
          <w:noProof/>
        </w:rPr>
        <w:t>Jäsenenä unionilla on osallistumis- ja äänioikeus. CECAF:n päätökset tehdään annettujen äänten enemmistöllä, jollei sen työjärjestyksessä toisin määrätä.</w:t>
      </w:r>
    </w:p>
    <w:p>
      <w:pPr>
        <w:pStyle w:val="ManualHeading2"/>
        <w:rPr>
          <w:noProof/>
        </w:rPr>
      </w:pPr>
      <w:r>
        <w:t>2.3.</w:t>
      </w:r>
      <w:r>
        <w:tab/>
      </w:r>
      <w:r>
        <w:rPr>
          <w:noProof/>
        </w:rPr>
        <w:t>Itäisen Keski-Atlantin kalastuskomitean päätökset</w:t>
      </w:r>
    </w:p>
    <w:p>
      <w:pPr>
        <w:rPr>
          <w:rStyle w:val="def3"/>
          <w:rFonts w:eastAsia="Arial Unicode MS"/>
          <w:noProof/>
        </w:rPr>
      </w:pPr>
      <w:r>
        <w:rPr>
          <w:noProof/>
        </w:rPr>
        <w:t>Tarkistettujen perussääntöjensä mukaan CECAF antaa jäsenvaltioiden hallituksille ja toimivaltaisille alueellisille organisaatioille neuvontaa hoitotoimenpiteistä, jäljempänä ’toimenpiteet’. CECAF:n neuvoa-antavan aseman vuoksi sen päätökset eivät sido sen jäseniä.</w:t>
      </w:r>
    </w:p>
    <w:p>
      <w:pPr>
        <w:pStyle w:val="ManualHeading1"/>
        <w:rPr>
          <w:rFonts w:eastAsia="Arial Unicode MS"/>
          <w:noProof/>
        </w:rPr>
      </w:pPr>
      <w:r>
        <w:t>3.</w:t>
      </w:r>
      <w:r>
        <w:tab/>
      </w:r>
      <w:r>
        <w:rPr>
          <w:noProof/>
        </w:rPr>
        <w:t>Unionin puolesta otettava kanta</w:t>
      </w:r>
    </w:p>
    <w:p>
      <w:pPr>
        <w:rPr>
          <w:noProof/>
        </w:rPr>
      </w:pPr>
      <w:r>
        <w:rPr>
          <w:noProof/>
        </w:rPr>
        <w:t xml:space="preserve">Alueellisiin kalastuksenhoitojärjestöihin sovellettavien menettelyjen mukaisesti CECAF:n kaltaisissa teknisissä ja alueellisissa kalastuselimissä unionin puolesta otettava kanta </w:t>
      </w:r>
      <w:r>
        <w:rPr>
          <w:noProof/>
        </w:rPr>
        <w:lastRenderedPageBreak/>
        <w:t>vahvistetaan kaksiportaisella menettelyllä. Unionin kantaa koskevat monivuotiset pääperiaatteet ja suuntaviivat esitetään neuvoston päätöksessä, ja kantaa mukautetaan ennen kutakin vuosikokousta komission epävirallisilla asiakirjoilla, joista keskustellaan neuvoston työryhmässä.</w:t>
      </w:r>
    </w:p>
    <w:p>
      <w:pPr>
        <w:rPr>
          <w:noProof/>
        </w:rPr>
      </w:pPr>
      <w:r>
        <w:rPr>
          <w:noProof/>
        </w:rPr>
        <w:t xml:space="preserve">Tässä päätösehdotuksessa </w:t>
      </w:r>
    </w:p>
    <w:p>
      <w:pPr>
        <w:pStyle w:val="Bullet0"/>
        <w:numPr>
          <w:ilvl w:val="0"/>
          <w:numId w:val="18"/>
        </w:numPr>
        <w:rPr>
          <w:noProof/>
        </w:rPr>
      </w:pPr>
      <w:r>
        <w:rPr>
          <w:noProof/>
        </w:rPr>
        <w:t>esitetään yleiset periaatteet ja suuntaviivat, mutta siinä otetaan mahdollisuuksien mukaan huomioon myös CECAF:n erityispiirteet;</w:t>
      </w:r>
    </w:p>
    <w:p>
      <w:pPr>
        <w:pStyle w:val="Bullet0"/>
        <w:rPr>
          <w:noProof/>
        </w:rPr>
      </w:pPr>
      <w:r>
        <w:rPr>
          <w:noProof/>
        </w:rPr>
        <w:t>esitetään jäsenvaltioiden pyynnön mukaisesti vakiomenettely unionin kannan vahvistamiseksi vuosittain;</w:t>
      </w:r>
    </w:p>
    <w:p>
      <w:pPr>
        <w:pStyle w:val="Bullet0"/>
        <w:rPr>
          <w:noProof/>
        </w:rPr>
      </w:pPr>
      <w:r>
        <w:rPr>
          <w:noProof/>
        </w:rPr>
        <w:t>otetaan huomioon Euroopan parlamentin ja neuvoston asetukseen (EU) N:o 1380/2013</w:t>
      </w:r>
      <w:r>
        <w:rPr>
          <w:rStyle w:val="FootnoteReference"/>
          <w:noProof/>
        </w:rPr>
        <w:footnoteReference w:id="2"/>
      </w:r>
      <w:r>
        <w:rPr>
          <w:noProof/>
        </w:rPr>
        <w:t xml:space="preserve"> perustuvan uuden yhteisen kalastuspolitiikan periaatteet ja suuntaviivat sekä yhteisen kalastuspolitiikan ulkoisesta ulottuvuudesta annetussa komission tiedonannossa</w:t>
      </w:r>
      <w:r>
        <w:rPr>
          <w:rStyle w:val="FootnoteReference"/>
          <w:noProof/>
        </w:rPr>
        <w:footnoteReference w:id="3"/>
      </w:r>
      <w:r>
        <w:rPr>
          <w:noProof/>
        </w:rPr>
        <w:t xml:space="preserve"> esitetyt tavoitteet;</w:t>
      </w:r>
    </w:p>
    <w:p>
      <w:pPr>
        <w:pStyle w:val="Bullet0"/>
        <w:rPr>
          <w:noProof/>
        </w:rPr>
      </w:pPr>
      <w:r>
        <w:rPr>
          <w:noProof/>
        </w:rPr>
        <w:t>otetaan huomioon unionin ulkoasioiden ja turvallisuuspolitiikan korkean edustajan ja komission yhteinen tiedonanto ”Kansainvälinen valtamerten hallinnointi: valtamerten tulevaisuusohjelma”</w:t>
      </w:r>
      <w:r>
        <w:rPr>
          <w:rStyle w:val="FootnoteReference"/>
          <w:noProof/>
        </w:rPr>
        <w:footnoteReference w:id="4"/>
      </w:r>
      <w:r>
        <w:rPr>
          <w:noProof/>
        </w:rPr>
        <w:t xml:space="preserve"> sekä sitä koskevat neuvoston päätelmät</w:t>
      </w:r>
      <w:r>
        <w:rPr>
          <w:rStyle w:val="FootnoteReference"/>
          <w:noProof/>
        </w:rPr>
        <w:footnoteReference w:id="5"/>
      </w:r>
      <w:r>
        <w:rPr>
          <w:noProof/>
        </w:rPr>
        <w:t>; ja</w:t>
      </w:r>
    </w:p>
    <w:p>
      <w:pPr>
        <w:pStyle w:val="Bullet0"/>
        <w:rPr>
          <w:noProof/>
        </w:rPr>
      </w:pPr>
      <w:r>
        <w:rPr>
          <w:noProof/>
        </w:rPr>
        <w:t>otetaan huomioon komission tiedonanto Euroopan parlamentille, neuvostolle, Euroopan talous- ja sosiaalikomitealle ja alueiden komitealle ”EU:n strategia muoveista kiertotaloudessa”</w:t>
      </w:r>
      <w:r>
        <w:rPr>
          <w:rStyle w:val="FootnoteReference"/>
          <w:noProof/>
        </w:rPr>
        <w:footnoteReference w:id="6"/>
      </w:r>
      <w:r>
        <w:rPr>
          <w:noProof/>
        </w:rPr>
        <w:t>.</w:t>
      </w:r>
    </w:p>
    <w:p>
      <w:pPr>
        <w:pStyle w:val="ManualHeading1"/>
        <w:rPr>
          <w:noProof/>
        </w:rPr>
      </w:pPr>
      <w:r>
        <w:t>4.</w:t>
      </w:r>
      <w:r>
        <w:tab/>
      </w:r>
      <w:r>
        <w:rPr>
          <w:noProof/>
        </w:rPr>
        <w:t xml:space="preserve"> Oikeusperusta</w:t>
      </w:r>
    </w:p>
    <w:p>
      <w:pPr>
        <w:pStyle w:val="ManualHeading2"/>
        <w:rPr>
          <w:noProof/>
        </w:rPr>
      </w:pPr>
      <w:r>
        <w:t>4.1.</w:t>
      </w:r>
      <w:r>
        <w:tab/>
      </w:r>
      <w:r>
        <w:rPr>
          <w:noProof/>
        </w:rPr>
        <w:t>Menettelyllinen oikeusperusta</w:t>
      </w:r>
    </w:p>
    <w:p>
      <w:pPr>
        <w:pStyle w:val="ManualHeading3"/>
        <w:rPr>
          <w:noProof/>
        </w:rPr>
      </w:pPr>
      <w:r>
        <w:t>4.1.1.</w:t>
      </w:r>
      <w:r>
        <w:tab/>
      </w:r>
      <w:r>
        <w:rPr>
          <w:noProof/>
        </w:rPr>
        <w:t>Periaatteet</w:t>
      </w:r>
    </w:p>
    <w:p>
      <w:pPr>
        <w:rPr>
          <w:noProof/>
        </w:rPr>
      </w:pPr>
      <w:r>
        <w:rPr>
          <w:noProof/>
        </w:rPr>
        <w:t>Euroopan unionin toiminnasta tehdyn sopimuksen, jäljempänä ’SEUT-sopimus’, 218 artiklan 9 kohdassa määrätään päätöksistä ”sopimuksella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p>
    <w:p>
      <w:pPr>
        <w:rPr>
          <w:noProof/>
        </w:rPr>
      </w:pPr>
      <w:r>
        <w:rPr>
          <w:noProof/>
        </w:rPr>
        <w:t>Ilmaisu ”säädökset, joilla on oikeusvaikutuksia”, kattaa myös säädökset, joilla on oikeusvaikutuksia kyseiseen elimeen sovellettavan kansainvälisen oikeuden nojalla. Se kattaa myös välineet, joilla ei ole sitovaa vaikutusta kansainvälisen oikeuden nojalla mutta jotka ”voivat vaikuttaa ratkaisevasti sen säännöstön sisältöön, jonka unionin lainsäätäjä antaa”</w:t>
      </w:r>
      <w:r>
        <w:rPr>
          <w:rStyle w:val="FootnoteReference"/>
          <w:noProof/>
        </w:rPr>
        <w:footnoteReference w:id="7"/>
      </w:r>
      <w:r>
        <w:rPr>
          <w:noProof/>
        </w:rPr>
        <w:t>.</w:t>
      </w:r>
    </w:p>
    <w:p>
      <w:pPr>
        <w:pStyle w:val="ManualHeading3"/>
        <w:rPr>
          <w:noProof/>
        </w:rPr>
      </w:pPr>
      <w:r>
        <w:t>4.1.2.</w:t>
      </w:r>
      <w:r>
        <w:tab/>
      </w:r>
      <w:r>
        <w:rPr>
          <w:noProof/>
        </w:rPr>
        <w:t>Soveltaminen tässä asiassa</w:t>
      </w:r>
    </w:p>
    <w:p>
      <w:pPr>
        <w:rPr>
          <w:noProof/>
        </w:rPr>
      </w:pPr>
      <w:r>
        <w:rPr>
          <w:noProof/>
        </w:rPr>
        <w:t xml:space="preserve">CECAF on neuvoa-antava tekninen ja alueellinen kalastuselin, joka on perustettu FAO:n perussäännön VI artiklan 2 kohdan mukaisesti vuonna 1967 annetulla FAO:n </w:t>
      </w:r>
      <w:r>
        <w:rPr>
          <w:noProof/>
        </w:rPr>
        <w:lastRenderedPageBreak/>
        <w:t>päätöslauselmalla 1/48. Vaikka CECAF:n päätökset, jäljempänä ’toimenpiteet’, eivät ole sen jäseniä sitovia, CECAF:n hyväksymät asiakirjat ovat säädöksiä, jotka voivat ratkaisevasti vaikuttaa unionin lainsäätäjän hyväksymän lainsäädännön sisältöön.</w:t>
      </w:r>
    </w:p>
    <w:p>
      <w:pPr>
        <w:rPr>
          <w:noProof/>
        </w:rPr>
      </w:pPr>
      <w:r>
        <w:rPr>
          <w:noProof/>
        </w:rPr>
        <w:t>Suunnitellulla säädöksellä ei täydennetä eikä muuteta sopimuksen institutionaalisia rakenteita.</w:t>
      </w:r>
    </w:p>
    <w:p>
      <w:pPr>
        <w:rPr>
          <w:noProof/>
        </w:rPr>
      </w:pPr>
      <w:r>
        <w:rPr>
          <w:noProof/>
        </w:rPr>
        <w:t>Sen vuoksi ehdotetun päätöksen menettelyllinen oikeusperusta on SEUT-sopimuksen 218 artiklan 9 kohta.</w:t>
      </w:r>
    </w:p>
    <w:p>
      <w:pPr>
        <w:pStyle w:val="ManualHeading2"/>
        <w:rPr>
          <w:noProof/>
        </w:rPr>
      </w:pPr>
      <w:r>
        <w:t>4.2.</w:t>
      </w:r>
      <w:r>
        <w:tab/>
      </w:r>
      <w:r>
        <w:rPr>
          <w:noProof/>
        </w:rPr>
        <w:t>Aineellinen oikeusperusta</w:t>
      </w:r>
    </w:p>
    <w:p>
      <w:pPr>
        <w:pStyle w:val="ManualHeading3"/>
        <w:rPr>
          <w:noProof/>
        </w:rPr>
      </w:pPr>
      <w:r>
        <w:t>4.2.1.</w:t>
      </w:r>
      <w:r>
        <w:tab/>
      </w:r>
      <w:r>
        <w:rPr>
          <w:noProof/>
        </w:rPr>
        <w:t>Periaatteet</w:t>
      </w:r>
    </w:p>
    <w:p>
      <w:pPr>
        <w:rPr>
          <w:noProof/>
        </w:rPr>
      </w:pPr>
      <w:r>
        <w:rPr>
          <w:noProof/>
        </w:rPr>
        <w:t>SEUT-sopimuksen 218 artiklan 9 kohdan nojalla annettavan päätöksen aineellinen oikeusperusta määräytyy ensisijaisesti sen suunnitellun säädöksen tavoitteen ja sisällön perusteella, jota unionin puolesta otettava kanta koskee. Jos suunnitellulla säädöksellä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w:t>
      </w:r>
    </w:p>
    <w:p>
      <w:pPr>
        <w:pStyle w:val="ManualHeading3"/>
        <w:rPr>
          <w:noProof/>
        </w:rPr>
      </w:pPr>
      <w:r>
        <w:t>4.2.2.</w:t>
      </w:r>
      <w:r>
        <w:tab/>
      </w:r>
      <w:r>
        <w:rPr>
          <w:noProof/>
        </w:rPr>
        <w:t>Soveltaminen käsillä olevassa asiassa</w:t>
      </w:r>
    </w:p>
    <w:p>
      <w:r>
        <w:rPr>
          <w:noProof/>
        </w:rPr>
        <w:t xml:space="preserve">Suunnitellun säädöksen pääasiallinen tavoite ja sisältö liittyvät kalastukseen. Asetus (EU) N:o 1380/2013 on oikeusperusta, jossa määritellään periaatteet otettavaksi huomioon tässä kannassa. </w:t>
      </w:r>
    </w:p>
    <w:p>
      <w:pPr>
        <w:rPr>
          <w:i/>
          <w:noProof/>
        </w:rPr>
      </w:pPr>
      <w:r>
        <w:rPr>
          <w:noProof/>
        </w:rPr>
        <w:t>Sen vuoksi ehdotetun päätöksen aineellinen oikeusperusta on SEUT-sopimuksen 43 artiklan 2 kohta</w:t>
      </w:r>
      <w:r>
        <w:t>.</w:t>
      </w:r>
    </w:p>
    <w:p>
      <w:pPr>
        <w:pStyle w:val="ManualHeading2"/>
        <w:rPr>
          <w:noProof/>
        </w:rPr>
      </w:pPr>
      <w:r>
        <w:t>4.3.</w:t>
      </w:r>
      <w:r>
        <w:tab/>
      </w:r>
      <w:r>
        <w:rPr>
          <w:noProof/>
        </w:rPr>
        <w:t>Päätelmä</w:t>
      </w:r>
    </w:p>
    <w:p>
      <w:pPr>
        <w:rPr>
          <w:noProof/>
        </w:rPr>
      </w:pPr>
      <w:r>
        <w:rPr>
          <w:noProof/>
        </w:rPr>
        <w:t>Ehdotetun päätöksen oikeusperustana tulisi olla SEUT-sopimuksen 43 artiklan 2 kohta yhdessä SEUT-sopimuksen 218 artiklan 9 kohdan kanssa.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Ehdotus</w:t>
      </w:r>
    </w:p>
    <w:p>
      <w:pPr>
        <w:pStyle w:val="Typedudocument"/>
        <w:rPr>
          <w:noProof/>
        </w:rPr>
      </w:pPr>
      <w:r>
        <w:rPr>
          <w:noProof/>
        </w:rPr>
        <w:t>NEUVOSTON PÄÄTÖS</w:t>
      </w:r>
    </w:p>
    <w:p>
      <w:pPr>
        <w:pStyle w:val="Titreobjet"/>
        <w:rPr>
          <w:noProof/>
        </w:rPr>
      </w:pPr>
      <w:r>
        <w:rPr>
          <w:noProof/>
        </w:rPr>
        <w:t>Itäisen Keski-Atlantin kalastuskomiteassa Euroopan unionin puolesta otettavasta kannasta</w:t>
      </w:r>
    </w:p>
    <w:p>
      <w:pPr>
        <w:pStyle w:val="IntrtEEE"/>
        <w:rPr>
          <w:noProof/>
        </w:rPr>
      </w:pPr>
      <w:r>
        <w:rPr>
          <w:noProof/>
        </w:rPr>
        <w:t>(ETA:n kannalta merkityksellinen teksti)</w:t>
      </w:r>
    </w:p>
    <w:p>
      <w:pPr>
        <w:pStyle w:val="Institutionquiagit"/>
        <w:rPr>
          <w:b/>
          <w:noProof/>
        </w:rPr>
      </w:pPr>
      <w:r>
        <w:rPr>
          <w:b/>
          <w:noProof/>
        </w:rPr>
        <w:t>EUROOPAN UNIONIN NEUVOSTO, joka</w:t>
      </w:r>
    </w:p>
    <w:p>
      <w:pPr>
        <w:rPr>
          <w:noProof/>
        </w:rPr>
      </w:pPr>
      <w:r>
        <w:rPr>
          <w:noProof/>
        </w:rPr>
        <w:t>ottaa huomioon Euroopan unionin toiminnasta tehdyn sopimuksen, jäljempänä ’perussopimus’</w:t>
      </w:r>
      <w:r>
        <w:t>,</w:t>
      </w:r>
      <w:r>
        <w:rPr>
          <w:noProof/>
        </w:rPr>
        <w:t xml:space="preserve"> ja erityisesti sen 43 artiklan 2 kohdan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Euroopan unioni on jäsenenä itäisen Keski-Atlantin kalastuskomiteassa (CECAF), joka on Yhdistyneiden Kansakuntien elintarvike- ja maatalousjärjestön (FAO) perussäännön VI artiklan 2 kohdan mukaisesti perustettu alueellinen kalastuskomitea.</w:t>
      </w:r>
    </w:p>
    <w:p>
      <w:pPr>
        <w:pStyle w:val="ManualConsidrant"/>
        <w:rPr>
          <w:noProof/>
        </w:rPr>
      </w:pPr>
      <w:r>
        <w:t>(2)</w:t>
      </w:r>
      <w:r>
        <w:tab/>
      </w:r>
      <w:r>
        <w:rPr>
          <w:noProof/>
        </w:rPr>
        <w:t>Euroopan unioni on FAO:n jäsen</w:t>
      </w:r>
      <w:r>
        <w:rPr>
          <w:rStyle w:val="FootnoteReference"/>
          <w:noProof/>
        </w:rPr>
        <w:footnoteReference w:id="8"/>
      </w:r>
      <w:r>
        <w:rPr>
          <w:noProof/>
        </w:rPr>
        <w:t>.</w:t>
      </w:r>
    </w:p>
    <w:p>
      <w:pPr>
        <w:pStyle w:val="ManualConsidrant"/>
        <w:rPr>
          <w:noProof/>
        </w:rPr>
      </w:pPr>
      <w:r>
        <w:t>(3)</w:t>
      </w:r>
      <w:r>
        <w:tab/>
      </w:r>
      <w:r>
        <w:rPr>
          <w:noProof/>
        </w:rPr>
        <w:t>Tarkistettujen perussääntöjensä mukaan CECAF antaa neuvontaa hoitotoimenpiteistä, jäljempänä ’toimenpiteet’. CECAF:n neuvoa-antavan aseman vuoksi sen päätökset eivät sido sen jäseniä.</w:t>
      </w:r>
    </w:p>
    <w:p>
      <w:pPr>
        <w:pStyle w:val="ManualConsidrant"/>
        <w:rPr>
          <w:noProof/>
        </w:rPr>
      </w:pPr>
      <w:r>
        <w:t>(4)</w:t>
      </w:r>
      <w:r>
        <w:tab/>
      </w:r>
      <w:r>
        <w:rPr>
          <w:noProof/>
        </w:rPr>
        <w:t>CECAF:n tehtävä on</w:t>
      </w:r>
      <w:r>
        <w:t xml:space="preserve"> </w:t>
      </w:r>
      <w:r>
        <w:rPr>
          <w:noProof/>
        </w:rPr>
        <w:t>komiteaistunnoissaan antaa neuvoa meren elollisten luonnonvarojen säilyttämistä ja hoitoa koskevista toimenpiteistä.</w:t>
      </w:r>
    </w:p>
    <w:p>
      <w:pPr>
        <w:pStyle w:val="ManualConsidrant"/>
        <w:rPr>
          <w:noProof/>
        </w:rPr>
      </w:pPr>
      <w:r>
        <w:t>(5)</w:t>
      </w:r>
      <w:r>
        <w:tab/>
      </w:r>
      <w:r>
        <w:rPr>
          <w:noProof/>
        </w:rPr>
        <w:t>On aiheellista vahvistaa unionin puolesta otettava kanta CECAF:n kokouksissa vuosina 2019–2023 silloin, kun CECAF antaa sitomattomia säädöksiä, jotka voivat vaikuttaa ratkaisevasti sen säännöstön sisältöön, jonka EU:n lainsäätäjä antaa. Suurinta osaa neuvoston päätöksistä, joissa vahvistetaan unionin kanta alueellisissa kalastuksenhoitojärjestöissä, joissa unioni on osapuolena, on määrä tarkistaa ennen alueellisten kalastuksenhoitojärjestöjen vuoden 2024 vuosikokousta. Jotta voidaan parantaa unionin kantojen yhdenmukaisuutta kaikissa alueellisissa kalastuksenhoitojärjestöissä ja alueellisissa kalastuselimissä sekä helpottaa tarkistamisprosessia, tätä nyt annettavaa neuvoston päätöstä olisi tarkistettava viimeistään ennen kuin CECAF mahdollisesti kokoontuu vuonna 2024.</w:t>
      </w:r>
    </w:p>
    <w:p>
      <w:pPr>
        <w:pStyle w:val="ManualConsidrant"/>
        <w:rPr>
          <w:noProof/>
        </w:rPr>
      </w:pPr>
      <w:r>
        <w:t>(6)</w:t>
      </w:r>
      <w:r>
        <w:tab/>
      </w:r>
      <w:r>
        <w:rPr>
          <w:noProof/>
        </w:rPr>
        <w:t>Unionin ulkoasioiden ja turvallisuuspolitiikan korkean edustajan ja komission yhteisessä tiedonannossa ”Kansainvälinen valtamerten hallinnointi: valtamerten tulevaisuusohjelma”</w:t>
      </w:r>
      <w:r>
        <w:rPr>
          <w:rStyle w:val="FootnoteReference"/>
          <w:noProof/>
        </w:rPr>
        <w:footnoteReference w:id="9"/>
      </w:r>
      <w:r>
        <w:rPr>
          <w:noProof/>
        </w:rPr>
        <w:t xml:space="preserve"> ja neuvoston siitä antamissa päätelmissä</w:t>
      </w:r>
      <w:r>
        <w:rPr>
          <w:rStyle w:val="FootnoteReference"/>
          <w:noProof/>
        </w:rPr>
        <w:footnoteReference w:id="10"/>
      </w:r>
      <w:r>
        <w:rPr>
          <w:noProof/>
        </w:rPr>
        <w:t xml:space="preserve"> todetaan, että toimenpiteiden edistäminen alueellisten kalastuksenhoitojärjestöjen tukemiseksi ja </w:t>
      </w:r>
      <w:r>
        <w:rPr>
          <w:noProof/>
        </w:rPr>
        <w:lastRenderedPageBreak/>
        <w:t>niiden tehokkuuden ja tarvittaessa hallinnoinnin parantamiseksi keskeisillä valtamerialueilla on keskeisellä sijalla unionin toiminnassa näillä foorumeilla.</w:t>
      </w:r>
    </w:p>
    <w:p>
      <w:pPr>
        <w:pStyle w:val="ManualConsidrant"/>
        <w:rPr>
          <w:noProof/>
        </w:rPr>
      </w:pPr>
      <w:r>
        <w:t>(7)</w:t>
      </w:r>
      <w:r>
        <w:tab/>
      </w:r>
      <w:r>
        <w:rPr>
          <w:noProof/>
        </w:rPr>
        <w:t>Kuten todetaan komission Euroopan parlamentille, neuvostolle, Euroopan talous- ja sosiaalikomitealle ja alueiden komitealle antamassa tiedonannossa EU:n strategiasta muoveista kiertotaloudessa</w:t>
      </w:r>
      <w:r>
        <w:rPr>
          <w:rStyle w:val="FootnoteReference"/>
          <w:noProof/>
        </w:rPr>
        <w:footnoteReference w:id="11"/>
      </w:r>
      <w:r>
        <w:rPr>
          <w:noProof/>
        </w:rPr>
        <w:t>, tarvitaan erityisiä toimenpiteitä, joilla vähennetään muovijätettä ja merten pilaantumista sekä pyydysten katoamista tai hylkäämistä merellä.</w:t>
      </w:r>
    </w:p>
    <w:p>
      <w:pPr>
        <w:pStyle w:val="ManualConsidrant"/>
        <w:rPr>
          <w:noProof/>
        </w:rPr>
      </w:pPr>
      <w:r>
        <w:t>(8)</w:t>
      </w:r>
      <w:r>
        <w:tab/>
      </w:r>
      <w:r>
        <w:rPr>
          <w:noProof/>
        </w:rPr>
        <w:t>Ottaen huomioon, että CECAF:n alueen kalavarat ovat muutostilassa ja että unionin kannassa on tarpeen ottaa huomioon viimeaikainen kehitys, mukaan lukien ennen CECAF:n istuntoja tai niiden aikana esitetyt uudet tieteelliset ja muut olennaiset tiedot, olisi vuosiksi 2019–2023 vahvistettava Euroopan unionista tehdyn sopimuksen 13 artiklan 2 kohdassa esitetyn unionin toimielinten keskenään tekemän vilpittömän yhteistyön periaatteen mukaisesti menettelyt unionin kannan vuosittain tehtävää tarkennusta varten,</w:t>
      </w:r>
    </w:p>
    <w:p>
      <w:pPr>
        <w:rPr>
          <w:noProof/>
        </w:rPr>
      </w:pPr>
    </w:p>
    <w:p>
      <w:pPr>
        <w:pStyle w:val="Formuledadoption"/>
        <w:rPr>
          <w:noProof/>
        </w:rPr>
      </w:pPr>
      <w:r>
        <w:rPr>
          <w:noProof/>
        </w:rPr>
        <w:t>ON HYVÄKSYNYT TÄMÄN PÄÄTÖKSEN:</w:t>
      </w:r>
    </w:p>
    <w:p>
      <w:pPr>
        <w:pStyle w:val="Titrearticle"/>
        <w:rPr>
          <w:noProof/>
        </w:rPr>
      </w:pPr>
      <w:r>
        <w:rPr>
          <w:noProof/>
        </w:rPr>
        <w:t>1 artikla</w:t>
      </w:r>
    </w:p>
    <w:p>
      <w:pPr>
        <w:rPr>
          <w:noProof/>
        </w:rPr>
      </w:pPr>
      <w:r>
        <w:rPr>
          <w:noProof/>
        </w:rPr>
        <w:t>Itäisen Keski-Atlantin kalastuskomitean (CECAF) istunnoissa unionin puolesta otettava kanta esitetään liitteessä I.</w:t>
      </w:r>
    </w:p>
    <w:p>
      <w:pPr>
        <w:pStyle w:val="Titrearticle"/>
        <w:rPr>
          <w:noProof/>
        </w:rPr>
      </w:pPr>
      <w:r>
        <w:rPr>
          <w:noProof/>
        </w:rPr>
        <w:t>2 artikla</w:t>
      </w:r>
    </w:p>
    <w:p>
      <w:pPr>
        <w:rPr>
          <w:noProof/>
        </w:rPr>
      </w:pPr>
      <w:r>
        <w:rPr>
          <w:noProof/>
        </w:rPr>
        <w:t>CECAF:n kokouksissa otettavan unionin kannan vuosittain tehtävä tarkennus suoritetaan liitteen II mukaisesti.</w:t>
      </w:r>
    </w:p>
    <w:p>
      <w:pPr>
        <w:pStyle w:val="Titrearticle"/>
        <w:rPr>
          <w:noProof/>
        </w:rPr>
      </w:pPr>
      <w:r>
        <w:rPr>
          <w:noProof/>
        </w:rPr>
        <w:t>3 artikla</w:t>
      </w:r>
    </w:p>
    <w:p>
      <w:pPr>
        <w:rPr>
          <w:noProof/>
        </w:rPr>
      </w:pPr>
      <w:r>
        <w:rPr>
          <w:noProof/>
        </w:rPr>
        <w:t>Komission ehdotuksesta neuvosto arvioi ja tarvittaessa tarkistaa liitteessä I esitettyä unionin kantaa viimeistään ennen kuin CECAF kokoontuu vuonna 2024.</w:t>
      </w:r>
    </w:p>
    <w:p>
      <w:pPr>
        <w:pStyle w:val="Titrearticle"/>
        <w:rPr>
          <w:noProof/>
        </w:rPr>
      </w:pPr>
      <w:r>
        <w:rPr>
          <w:noProof/>
        </w:rPr>
        <w:t>4 artikla</w:t>
      </w:r>
    </w:p>
    <w:p>
      <w:pPr>
        <w:rPr>
          <w:noProof/>
        </w:rPr>
      </w:pPr>
      <w:r>
        <w:rPr>
          <w:noProof/>
        </w:rPr>
        <w:t>Tämä päätös on osoitettu komissiolle.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Neuvoston päätös, tehty 25 päivänä marraskuuta 1991, Euroopan talousyhteisön liittymisestä Yhdistyneiden Kansakuntien elintarvike- ja maatalousjärjestöön (FAO).</w:t>
      </w:r>
    </w:p>
  </w:footnote>
  <w:footnote w:id="2">
    <w:p>
      <w:pPr>
        <w:pStyle w:val="FootnoteText"/>
      </w:pPr>
      <w:r>
        <w:rPr>
          <w:rStyle w:val="FootnoteReference"/>
        </w:rPr>
        <w:footnoteRef/>
      </w:r>
      <w:r>
        <w:tab/>
        <w:t>Euroopan parlamentin ja neuvoston asetus (EU) N:o 1380/2013 yhteisestä kalastuspolitiikasta, neuvoston asetusten (EY) N:o 1954/2003 ja (EY) N:o 1224/2009 muuttamisesta sekä neuvoston asetusten (EY) N:o 2371/2002 ja (EY) N:o 639/2004 ja neuvoston päätöksen 2004/585/EY kumoamisesta (EUVL L 354, 28.12.2013, s. 22).</w:t>
      </w:r>
    </w:p>
  </w:footnote>
  <w:footnote w:id="3">
    <w:p>
      <w:pPr>
        <w:pStyle w:val="FootnoteText"/>
        <w:rPr>
          <w:lang w:val="pt-PT"/>
        </w:rPr>
      </w:pPr>
      <w:r>
        <w:rPr>
          <w:rStyle w:val="FootnoteReference"/>
        </w:rPr>
        <w:footnoteRef/>
      </w:r>
      <w:r>
        <w:rPr>
          <w:lang w:val="pt-PT"/>
        </w:rPr>
        <w:tab/>
        <w:t>KOM(2011) 424, 13.7.2011.</w:t>
      </w:r>
    </w:p>
  </w:footnote>
  <w:footnote w:id="4">
    <w:p>
      <w:pPr>
        <w:pStyle w:val="FootnoteText"/>
        <w:rPr>
          <w:lang w:val="pt-PT"/>
        </w:rPr>
      </w:pPr>
      <w:r>
        <w:rPr>
          <w:rStyle w:val="FootnoteReference"/>
        </w:rPr>
        <w:footnoteRef/>
      </w:r>
      <w:r>
        <w:rPr>
          <w:lang w:val="pt-PT"/>
        </w:rPr>
        <w:tab/>
        <w:t>JOIN(2016) 49 final, 10.11.2016.</w:t>
      </w:r>
    </w:p>
  </w:footnote>
  <w:footnote w:id="5">
    <w:p>
      <w:pPr>
        <w:pStyle w:val="FootnoteText"/>
        <w:rPr>
          <w:lang w:val="pt-PT"/>
        </w:rPr>
      </w:pPr>
      <w:r>
        <w:rPr>
          <w:rStyle w:val="FootnoteReference"/>
        </w:rPr>
        <w:footnoteRef/>
      </w:r>
      <w:r>
        <w:rPr>
          <w:lang w:val="pt-PT"/>
        </w:rPr>
        <w:tab/>
        <w:t>7348/1/17 REV 1, 24.3.2017.</w:t>
      </w:r>
    </w:p>
  </w:footnote>
  <w:footnote w:id="6">
    <w:p>
      <w:pPr>
        <w:pStyle w:val="FootnoteText"/>
        <w:rPr>
          <w:lang w:val="pt-PT"/>
        </w:rPr>
      </w:pPr>
      <w:r>
        <w:rPr>
          <w:rStyle w:val="FootnoteReference"/>
        </w:rPr>
        <w:footnoteRef/>
      </w:r>
      <w:r>
        <w:rPr>
          <w:lang w:val="pt-PT"/>
        </w:rPr>
        <w:tab/>
        <w:t>COM(2018) 28 final, 16.1.2018.</w:t>
      </w:r>
    </w:p>
  </w:footnote>
  <w:footnote w:id="7">
    <w:p>
      <w:pPr>
        <w:pStyle w:val="FootnoteText"/>
      </w:pPr>
      <w:r>
        <w:rPr>
          <w:rStyle w:val="FootnoteReference"/>
        </w:rPr>
        <w:footnoteRef/>
      </w:r>
      <w:r>
        <w:tab/>
        <w:t xml:space="preserve">Unionin tuomioistuimen tuomio 7.10.2014, Saksa v. komissio, C-399/12, ECLI:EU:C:2014:2258, 61–64 kohta. </w:t>
      </w:r>
    </w:p>
  </w:footnote>
  <w:footnote w:id="8">
    <w:p>
      <w:pPr>
        <w:pStyle w:val="FootnoteText"/>
      </w:pPr>
      <w:r>
        <w:rPr>
          <w:rStyle w:val="FootnoteReference"/>
        </w:rPr>
        <w:footnoteRef/>
      </w:r>
      <w:r>
        <w:tab/>
        <w:t>Neuvoston päätös, tehty 25 päivänä marraskuuta 1991, Euroopan talousyhteisön liittymisestä Yhdistyneiden Kansakuntien elintarvike- ja maatalousjärjestöön (FAO).</w:t>
      </w:r>
    </w:p>
  </w:footnote>
  <w:footnote w:id="9">
    <w:p>
      <w:pPr>
        <w:pStyle w:val="FootnoteText"/>
        <w:rPr>
          <w:lang w:val="pt-PT"/>
        </w:rPr>
      </w:pPr>
      <w:r>
        <w:rPr>
          <w:rStyle w:val="FootnoteReference"/>
        </w:rPr>
        <w:footnoteRef/>
      </w:r>
      <w:r>
        <w:rPr>
          <w:lang w:val="pt-PT"/>
        </w:rPr>
        <w:tab/>
        <w:t>JOIN(2016) 49 final, 10.11.2016.</w:t>
      </w:r>
    </w:p>
  </w:footnote>
  <w:footnote w:id="10">
    <w:p>
      <w:pPr>
        <w:pStyle w:val="FootnoteText"/>
        <w:rPr>
          <w:lang w:val="pt-PT"/>
        </w:rPr>
      </w:pPr>
      <w:r>
        <w:rPr>
          <w:rStyle w:val="FootnoteReference"/>
        </w:rPr>
        <w:footnoteRef/>
      </w:r>
      <w:r>
        <w:rPr>
          <w:lang w:val="pt-PT"/>
        </w:rPr>
        <w:tab/>
        <w:t>7348/1/17 REV 1, 24.3.2017.</w:t>
      </w:r>
    </w:p>
  </w:footnote>
  <w:footnote w:id="11">
    <w:p>
      <w:pPr>
        <w:pStyle w:val="FootnoteText"/>
        <w:rPr>
          <w:lang w:val="pt-PT"/>
        </w:rPr>
      </w:pPr>
      <w:r>
        <w:rPr>
          <w:rStyle w:val="FootnoteReference"/>
        </w:rPr>
        <w:footnoteRef/>
      </w:r>
      <w:r>
        <w:rPr>
          <w:lang w:val="pt-PT"/>
        </w:rPr>
        <w:tab/>
        <w:t>COM(2018) 28 final, 16.1.2018.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13"/>
    <w:lvlOverride w:ilvl="0">
      <w:startOverride w:val="1"/>
    </w:lvlOverride>
  </w:num>
  <w:num w:numId="19">
    <w:abstractNumId w:val="21"/>
  </w:num>
  <w:num w:numId="20">
    <w:abstractNumId w:val="11"/>
  </w:num>
  <w:num w:numId="21">
    <w:abstractNumId w:val="24"/>
  </w:num>
  <w:num w:numId="22">
    <w:abstractNumId w:val="6"/>
  </w:num>
  <w:num w:numId="23">
    <w:abstractNumId w:val="12"/>
  </w:num>
  <w:num w:numId="24">
    <w:abstractNumId w:val="4"/>
  </w:num>
  <w:num w:numId="25">
    <w:abstractNumId w:val="23"/>
  </w:num>
  <w:num w:numId="26">
    <w:abstractNumId w:val="3"/>
  </w:num>
  <w:num w:numId="27">
    <w:abstractNumId w:val="13"/>
  </w:num>
  <w:num w:numId="28">
    <w:abstractNumId w:val="19"/>
  </w:num>
  <w:num w:numId="29">
    <w:abstractNumId w:val="20"/>
  </w:num>
  <w:num w:numId="30">
    <w:abstractNumId w:val="5"/>
  </w:num>
  <w:num w:numId="31">
    <w:abstractNumId w:val="17"/>
  </w:num>
  <w:num w:numId="32">
    <w:abstractNumId w:val="28"/>
  </w:num>
  <w:num w:numId="33">
    <w:abstractNumId w:val="21"/>
  </w:num>
  <w:num w:numId="34">
    <w:abstractNumId w:val="11"/>
  </w:num>
  <w:num w:numId="35">
    <w:abstractNumId w:val="24"/>
  </w:num>
  <w:num w:numId="36">
    <w:abstractNumId w:val="6"/>
  </w:num>
  <w:num w:numId="37">
    <w:abstractNumId w:val="12"/>
  </w:num>
  <w:num w:numId="38">
    <w:abstractNumId w:val="4"/>
  </w:num>
  <w:num w:numId="39">
    <w:abstractNumId w:val="23"/>
  </w:num>
  <w:num w:numId="40">
    <w:abstractNumId w:val="3"/>
  </w:num>
  <w:num w:numId="41">
    <w:abstractNumId w:val="13"/>
  </w:num>
  <w:num w:numId="42">
    <w:abstractNumId w:val="19"/>
  </w:num>
  <w:num w:numId="43">
    <w:abstractNumId w:val="20"/>
  </w:num>
  <w:num w:numId="44">
    <w:abstractNumId w:val="5"/>
  </w:num>
  <w:num w:numId="45">
    <w:abstractNumId w:val="17"/>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01 11:11:2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930EE08-92E8-4A06-8681-F4DEACADB0DD"/>
    <w:docVar w:name="LW_COVERPAGE_TYPE" w:val="1"/>
    <w:docVar w:name="LW_CROSSREFERENCE" w:val="&lt;UNUSED&gt;"/>
    <w:docVar w:name="LW_DocType" w:val="COM"/>
    <w:docVar w:name="LW_EMISSION" w:val="10.7.2019"/>
    <w:docVar w:name="LW_EMISSION_ISODATE" w:val="2019-07-10"/>
    <w:docVar w:name="LW_EMISSION_LOCATION" w:val="BRX"/>
    <w:docVar w:name="LW_EMISSION_PREFIX" w:val="Bry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Itäisen Keski-Atlantin kalastuskomiteassa Euroopan unionin puolesta otettavasta kannasta"/>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i-FI" w:eastAsia="fi-F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i-FI" w:eastAsia="fi-FI"/>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fi-FI" w:eastAsia="fi-FI"/>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fi-F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fi-FI"/>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fi-FI" w:eastAsia="fi-FI"/>
    </w:rPr>
  </w:style>
  <w:style w:type="character" w:customStyle="1" w:styleId="def3">
    <w:name w:val="def3"/>
    <w:basedOn w:val="DefaultParagraphFont"/>
  </w:style>
  <w:style w:type="character" w:customStyle="1" w:styleId="def2">
    <w:name w:val="def2"/>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i-FI" w:eastAsia="fi-F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i-FI" w:eastAsia="fi-FI"/>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fi-FI" w:eastAsia="fi-FI"/>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fi-F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fi-FI"/>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fi-FI" w:eastAsia="fi-FI"/>
    </w:rPr>
  </w:style>
  <w:style w:type="character" w:customStyle="1" w:styleId="def3">
    <w:name w:val="def3"/>
    <w:basedOn w:val="DefaultParagraphFont"/>
  </w:style>
  <w:style w:type="character" w:customStyle="1" w:styleId="def2">
    <w:name w:val="def2"/>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1799">
      <w:bodyDiv w:val="1"/>
      <w:marLeft w:val="0"/>
      <w:marRight w:val="0"/>
      <w:marTop w:val="0"/>
      <w:marBottom w:val="0"/>
      <w:divBdr>
        <w:top w:val="none" w:sz="0" w:space="0" w:color="auto"/>
        <w:left w:val="none" w:sz="0" w:space="0" w:color="auto"/>
        <w:bottom w:val="none" w:sz="0" w:space="0" w:color="auto"/>
        <w:right w:val="none" w:sz="0" w:space="0" w:color="auto"/>
      </w:divBdr>
    </w:div>
    <w:div w:id="255358719">
      <w:bodyDiv w:val="1"/>
      <w:marLeft w:val="0"/>
      <w:marRight w:val="0"/>
      <w:marTop w:val="0"/>
      <w:marBottom w:val="0"/>
      <w:divBdr>
        <w:top w:val="none" w:sz="0" w:space="0" w:color="auto"/>
        <w:left w:val="none" w:sz="0" w:space="0" w:color="auto"/>
        <w:bottom w:val="none" w:sz="0" w:space="0" w:color="auto"/>
        <w:right w:val="none" w:sz="0" w:space="0" w:color="auto"/>
      </w:divBdr>
    </w:div>
    <w:div w:id="508521585">
      <w:bodyDiv w:val="1"/>
      <w:marLeft w:val="0"/>
      <w:marRight w:val="0"/>
      <w:marTop w:val="0"/>
      <w:marBottom w:val="0"/>
      <w:divBdr>
        <w:top w:val="none" w:sz="0" w:space="0" w:color="auto"/>
        <w:left w:val="none" w:sz="0" w:space="0" w:color="auto"/>
        <w:bottom w:val="none" w:sz="0" w:space="0" w:color="auto"/>
        <w:right w:val="none" w:sz="0" w:space="0" w:color="auto"/>
      </w:divBdr>
    </w:div>
    <w:div w:id="609436219">
      <w:bodyDiv w:val="1"/>
      <w:marLeft w:val="0"/>
      <w:marRight w:val="0"/>
      <w:marTop w:val="0"/>
      <w:marBottom w:val="0"/>
      <w:divBdr>
        <w:top w:val="none" w:sz="0" w:space="0" w:color="auto"/>
        <w:left w:val="none" w:sz="0" w:space="0" w:color="auto"/>
        <w:bottom w:val="none" w:sz="0" w:space="0" w:color="auto"/>
        <w:right w:val="none" w:sz="0" w:space="0" w:color="auto"/>
      </w:divBdr>
    </w:div>
    <w:div w:id="748162930">
      <w:bodyDiv w:val="1"/>
      <w:marLeft w:val="0"/>
      <w:marRight w:val="0"/>
      <w:marTop w:val="0"/>
      <w:marBottom w:val="0"/>
      <w:divBdr>
        <w:top w:val="none" w:sz="0" w:space="0" w:color="auto"/>
        <w:left w:val="none" w:sz="0" w:space="0" w:color="auto"/>
        <w:bottom w:val="none" w:sz="0" w:space="0" w:color="auto"/>
        <w:right w:val="none" w:sz="0" w:space="0" w:color="auto"/>
      </w:divBdr>
    </w:div>
    <w:div w:id="816186323">
      <w:bodyDiv w:val="1"/>
      <w:marLeft w:val="0"/>
      <w:marRight w:val="0"/>
      <w:marTop w:val="0"/>
      <w:marBottom w:val="0"/>
      <w:divBdr>
        <w:top w:val="none" w:sz="0" w:space="0" w:color="auto"/>
        <w:left w:val="none" w:sz="0" w:space="0" w:color="auto"/>
        <w:bottom w:val="none" w:sz="0" w:space="0" w:color="auto"/>
        <w:right w:val="none" w:sz="0" w:space="0" w:color="auto"/>
      </w:divBdr>
    </w:div>
    <w:div w:id="1141072736">
      <w:bodyDiv w:val="1"/>
      <w:marLeft w:val="0"/>
      <w:marRight w:val="0"/>
      <w:marTop w:val="0"/>
      <w:marBottom w:val="0"/>
      <w:divBdr>
        <w:top w:val="none" w:sz="0" w:space="0" w:color="auto"/>
        <w:left w:val="none" w:sz="0" w:space="0" w:color="auto"/>
        <w:bottom w:val="none" w:sz="0" w:space="0" w:color="auto"/>
        <w:right w:val="none" w:sz="0" w:space="0" w:color="auto"/>
      </w:divBdr>
    </w:div>
    <w:div w:id="1289629423">
      <w:bodyDiv w:val="1"/>
      <w:marLeft w:val="0"/>
      <w:marRight w:val="0"/>
      <w:marTop w:val="0"/>
      <w:marBottom w:val="0"/>
      <w:divBdr>
        <w:top w:val="none" w:sz="0" w:space="0" w:color="auto"/>
        <w:left w:val="none" w:sz="0" w:space="0" w:color="auto"/>
        <w:bottom w:val="none" w:sz="0" w:space="0" w:color="auto"/>
        <w:right w:val="none" w:sz="0" w:space="0" w:color="auto"/>
      </w:divBdr>
    </w:div>
    <w:div w:id="1433668880">
      <w:bodyDiv w:val="1"/>
      <w:marLeft w:val="0"/>
      <w:marRight w:val="0"/>
      <w:marTop w:val="0"/>
      <w:marBottom w:val="0"/>
      <w:divBdr>
        <w:top w:val="none" w:sz="0" w:space="0" w:color="auto"/>
        <w:left w:val="none" w:sz="0" w:space="0" w:color="auto"/>
        <w:bottom w:val="none" w:sz="0" w:space="0" w:color="auto"/>
        <w:right w:val="none" w:sz="0" w:space="0" w:color="auto"/>
      </w:divBdr>
    </w:div>
    <w:div w:id="1651638696">
      <w:bodyDiv w:val="1"/>
      <w:marLeft w:val="0"/>
      <w:marRight w:val="0"/>
      <w:marTop w:val="0"/>
      <w:marBottom w:val="0"/>
      <w:divBdr>
        <w:top w:val="none" w:sz="0" w:space="0" w:color="auto"/>
        <w:left w:val="none" w:sz="0" w:space="0" w:color="auto"/>
        <w:bottom w:val="none" w:sz="0" w:space="0" w:color="auto"/>
        <w:right w:val="none" w:sz="0" w:space="0" w:color="auto"/>
      </w:divBdr>
    </w:div>
    <w:div w:id="1717240923">
      <w:bodyDiv w:val="1"/>
      <w:marLeft w:val="0"/>
      <w:marRight w:val="0"/>
      <w:marTop w:val="0"/>
      <w:marBottom w:val="0"/>
      <w:divBdr>
        <w:top w:val="none" w:sz="0" w:space="0" w:color="auto"/>
        <w:left w:val="none" w:sz="0" w:space="0" w:color="auto"/>
        <w:bottom w:val="none" w:sz="0" w:space="0" w:color="auto"/>
        <w:right w:val="none" w:sz="0" w:space="0" w:color="auto"/>
      </w:divBdr>
      <w:divsChild>
        <w:div w:id="2058428013">
          <w:marLeft w:val="0"/>
          <w:marRight w:val="0"/>
          <w:marTop w:val="0"/>
          <w:marBottom w:val="0"/>
          <w:divBdr>
            <w:top w:val="none" w:sz="0" w:space="0" w:color="auto"/>
            <w:left w:val="none" w:sz="0" w:space="0" w:color="auto"/>
            <w:bottom w:val="none" w:sz="0" w:space="0" w:color="auto"/>
            <w:right w:val="none" w:sz="0" w:space="0" w:color="auto"/>
          </w:divBdr>
        </w:div>
        <w:div w:id="1163665231">
          <w:marLeft w:val="0"/>
          <w:marRight w:val="0"/>
          <w:marTop w:val="0"/>
          <w:marBottom w:val="0"/>
          <w:divBdr>
            <w:top w:val="none" w:sz="0" w:space="0" w:color="auto"/>
            <w:left w:val="none" w:sz="0" w:space="0" w:color="auto"/>
            <w:bottom w:val="none" w:sz="0" w:space="0" w:color="auto"/>
            <w:right w:val="none" w:sz="0" w:space="0" w:color="auto"/>
          </w:divBdr>
        </w:div>
        <w:div w:id="715010588">
          <w:marLeft w:val="0"/>
          <w:marRight w:val="0"/>
          <w:marTop w:val="0"/>
          <w:marBottom w:val="0"/>
          <w:divBdr>
            <w:top w:val="none" w:sz="0" w:space="0" w:color="auto"/>
            <w:left w:val="none" w:sz="0" w:space="0" w:color="auto"/>
            <w:bottom w:val="none" w:sz="0" w:space="0" w:color="auto"/>
            <w:right w:val="none" w:sz="0" w:space="0" w:color="auto"/>
          </w:divBdr>
        </w:div>
      </w:divsChild>
    </w:div>
    <w:div w:id="1744795503">
      <w:bodyDiv w:val="1"/>
      <w:marLeft w:val="0"/>
      <w:marRight w:val="0"/>
      <w:marTop w:val="0"/>
      <w:marBottom w:val="0"/>
      <w:divBdr>
        <w:top w:val="none" w:sz="0" w:space="0" w:color="auto"/>
        <w:left w:val="none" w:sz="0" w:space="0" w:color="auto"/>
        <w:bottom w:val="none" w:sz="0" w:space="0" w:color="auto"/>
        <w:right w:val="none" w:sz="0" w:space="0" w:color="auto"/>
      </w:divBdr>
    </w:div>
    <w:div w:id="1759861863">
      <w:bodyDiv w:val="1"/>
      <w:marLeft w:val="0"/>
      <w:marRight w:val="0"/>
      <w:marTop w:val="0"/>
      <w:marBottom w:val="0"/>
      <w:divBdr>
        <w:top w:val="none" w:sz="0" w:space="0" w:color="auto"/>
        <w:left w:val="none" w:sz="0" w:space="0" w:color="auto"/>
        <w:bottom w:val="none" w:sz="0" w:space="0" w:color="auto"/>
        <w:right w:val="none" w:sz="0" w:space="0" w:color="auto"/>
      </w:divBdr>
    </w:div>
    <w:div w:id="1924990696">
      <w:bodyDiv w:val="1"/>
      <w:marLeft w:val="0"/>
      <w:marRight w:val="0"/>
      <w:marTop w:val="0"/>
      <w:marBottom w:val="0"/>
      <w:divBdr>
        <w:top w:val="none" w:sz="0" w:space="0" w:color="auto"/>
        <w:left w:val="none" w:sz="0" w:space="0" w:color="auto"/>
        <w:bottom w:val="none" w:sz="0" w:space="0" w:color="auto"/>
        <w:right w:val="none" w:sz="0" w:space="0" w:color="auto"/>
      </w:divBdr>
    </w:div>
    <w:div w:id="21362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00C22A9-72EB-47ED-853C-C1BDD87B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1132</Words>
  <Characters>9277</Characters>
  <Application>Microsoft Office Word</Application>
  <DocSecurity>0</DocSecurity>
  <Lines>165</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dcterms:created xsi:type="dcterms:W3CDTF">2019-06-25T11:05:00Z</dcterms:created>
  <dcterms:modified xsi:type="dcterms:W3CDTF">2019-07-01T09:11:00Z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