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A908A66-09F6-4081-B519-93E313AE9641" style="width:450pt;height:384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PRILOG 1.</w:t>
      </w:r>
    </w:p>
    <w:p>
      <w:pPr>
        <w:pStyle w:val="Header"/>
        <w:jc w:val="center"/>
        <w:rPr>
          <w:b/>
          <w:noProof/>
        </w:rPr>
      </w:pPr>
      <w:r>
        <w:rPr>
          <w:noProof/>
        </w:rPr>
        <w:t>Stajalište koje u ime Unije treba zauzeti na Odboru za ribarstvo istočnog dijela središnjeg Atlantika (CECAF)</w:t>
      </w:r>
    </w:p>
    <w:p>
      <w:pPr>
        <w:pStyle w:val="Heading1"/>
        <w:numPr>
          <w:ilvl w:val="0"/>
          <w:numId w:val="1"/>
        </w:numPr>
        <w:rPr>
          <w:noProof/>
        </w:rPr>
      </w:pPr>
      <w:r>
        <w:rPr>
          <w:noProof/>
        </w:rPr>
        <w:t>NAČELA</w:t>
      </w:r>
    </w:p>
    <w:p>
      <w:pPr>
        <w:rPr>
          <w:noProof/>
        </w:rPr>
      </w:pPr>
      <w:r>
        <w:rPr>
          <w:noProof/>
        </w:rPr>
        <w:t>Unija u okviru CECAF-a:</w:t>
      </w:r>
    </w:p>
    <w:p>
      <w:pPr>
        <w:pStyle w:val="Point0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djeluje u skladu s ciljevima i načelima Unije utvrđenima u okviru zajedničke ribarstvene politike (ZRP), posebno primjenom predostrožnog pristupa i s pomoću ciljeva povezanih s najvećim održivim prinosom iz članka 2. stavka 2. Uredbe (EU) br. 1380/2013, kako bi se promicala primjena pristupa upravljanju ribarstvom temeljenog na ekosustavu, kako bi se u najvećoj mogućoj mjeri izbjegao i smanjio neželjeni ulov i postupno napustila praksa odbacivanja ulova te kako bi se utjecaj ribolovnih aktivnosti na morske ekosustave i njihova staništa smanjio na najmanju moguću razinu, te promicanjem gospodarski održivog i konkurentnog ribarstva Unije kako bi se osigurao primjeren životni standard za osobe koje ovise o ribolovnim aktivnostima te uzeli u obzir interesi potrošača;</w:t>
      </w:r>
    </w:p>
    <w:p>
      <w:pPr>
        <w:pStyle w:val="Point0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radi na primjerenom uključivanju dionika u pripremnu fazu izrade mjera CECAF-a koje se donose u okviru CECAF-a u skladu s njegovim izmijenjenim statutom;</w:t>
      </w:r>
    </w:p>
    <w:p>
      <w:pPr>
        <w:pStyle w:val="Point0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osigurava usklađenost mjera donesenih u okviru CECAF-a s međunarodnim pravom, a posebno s odredbama Konvencije UN-a o pravu mora iz 1982., Sporazuma UN-a iz 1995. u pogledu očuvanja i upravljanja pograničnim ribljim naseljima i stokovima vrlo migratornih vrsta e Sporazuma o promicanju usklađivanja ribarskih plovila na otvorenom moru s međunarodnim mjerama za očuvanje i gospodarenje iz 1993. i Sporazuma Organizacije za hranu i poljoprivredu o mjerama države luke iz 2009.;</w:t>
      </w:r>
    </w:p>
    <w:p>
      <w:pPr>
        <w:pStyle w:val="Point0"/>
        <w:rPr>
          <w:noProof/>
        </w:rPr>
      </w:pPr>
      <w:r>
        <w:rPr>
          <w:noProof/>
        </w:rPr>
        <w:t>(d)</w:t>
      </w:r>
      <w:r>
        <w:rPr>
          <w:noProof/>
        </w:rPr>
        <w:tab/>
        <w:t>promiče stajališta koja su u skladu s najboljom praksom regionalnih organizacija za upravljanje ribarstvom (RFMO) i regionalnih tijela za ribarstvo na istom području te osigurava promicanje koordinacije između RFMO-a i relevantnih organizacija kao što su podregionalne organizacije za ribarstvo i regionalne konvencije o moru i, ako je primjenjivo, suradnje s globalnim organizacijama u okviru njihovih mandata, po potrebi uključujući mehanizme suradnje među RFMO-ima koji se ne bave tunom slične takozvanom postupku iz Kobea za RFMO-e koji se bave tunom;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(e) </w:t>
      </w:r>
      <w:r>
        <w:rPr>
          <w:noProof/>
        </w:rPr>
        <w:tab/>
        <w:t>nastoji ostvariti usklađenost i sinergiju s politikom koju Unija provodi kao dio svojih bilateralnih odnosa u području ribarstva s trećim zemljama i osigurava usklađenost s drugim politikama Unije, posebno u područjima vanjskih odnosa, zapošljavanja, okoliša, trgovine, razvoja, istraživanja i inovacija;</w:t>
      </w:r>
    </w:p>
    <w:p>
      <w:pPr>
        <w:pStyle w:val="Point0"/>
        <w:rPr>
          <w:noProof/>
          <w:szCs w:val="24"/>
        </w:rPr>
      </w:pPr>
      <w:r>
        <w:rPr>
          <w:noProof/>
        </w:rPr>
        <w:t>(f)</w:t>
      </w:r>
      <w:r>
        <w:rPr>
          <w:noProof/>
        </w:rPr>
        <w:tab/>
        <w:t>osigurava poštovanje međunarodnih obveza Unije;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(g) </w:t>
      </w:r>
      <w:r>
        <w:rPr>
          <w:noProof/>
        </w:rPr>
        <w:tab/>
        <w:t>postupa u skladu sa zaključcima Vijeća od 19. ožujka 2012. o Komunikaciji Komisije o vanjskoj dimenziji ZRP-a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>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(h) </w:t>
      </w:r>
      <w:r>
        <w:rPr>
          <w:noProof/>
        </w:rPr>
        <w:tab/>
        <w:t>nastoji stvoriti jednake uvjete za flotu Unije na području u nadležnosti CECAF-a na temelju istih načela i standarda koji se primjenjuju u okviru zakonodavstva Unije te promicati ujednačenu provedbu tih načela i standarda;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(i) </w:t>
      </w:r>
      <w:r>
        <w:rPr>
          <w:noProof/>
        </w:rPr>
        <w:tab/>
        <w:t xml:space="preserve">postupa u skladu sa Zajedničkom komunikacijom Visokog predstavnika Unije za vanjske poslove i sigurnosnu politiku i Komisije pod nazivom </w:t>
      </w:r>
      <w:r>
        <w:rPr>
          <w:i/>
          <w:noProof/>
        </w:rPr>
        <w:t>Međunarodno upravljanje oceanima: plan za budućnost naših oceana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 zaključcima Vijeća o toj zajedničkoj komunikaciji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te promiče mjere za potporu i povećanje djelotvornosti CECAF-a i, ako je relevantno, poboljšava njegovo upravljanje i rezultate, prije svega pružanjem potpore reformi CECAF-a kako bi postao RFMO u punom smislu, kao doprinos održivom upravljanju oceanima u svim njegovim dimenzijama.</w:t>
      </w:r>
    </w:p>
    <w:p>
      <w:pPr>
        <w:pStyle w:val="Heading1"/>
        <w:rPr>
          <w:noProof/>
        </w:rPr>
      </w:pPr>
      <w:r>
        <w:rPr>
          <w:noProof/>
        </w:rPr>
        <w:t>SMJERNICE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Unija nastoji, prema potrebi, podupirati CECAF u donošenju sljedećih mjera:</w:t>
      </w:r>
    </w:p>
    <w:p>
      <w:pPr>
        <w:pStyle w:val="Point0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mjere za očuvanje i upravljanje živim morskim resursima na području koje je u nadležnosti CECAF-a na temelju najboljih raspoloživih znanstvenih savjeta;</w:t>
      </w:r>
    </w:p>
    <w:p>
      <w:pPr>
        <w:pStyle w:val="Point0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mjere za aktivnosti praćenja, kontrole i nadzora na području koje je u nadležnosti CECAF-a, uključujući sprečavanje nezakonitih, neprijavljenih i nereguliranih (NNN) ribolovnih aktivnosti, odvraćanje od njih i njihovo zaustavljanje;</w:t>
      </w:r>
    </w:p>
    <w:p>
      <w:pPr>
        <w:pStyle w:val="Point0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mjere za što veće smanjenje negativnih posljedica ribolovnih aktivnosti i akvakulture na morsku bioraznolikost i morske ekosustave i njihova staništa, uključujući mjere za smanjenje onečišćenja mora i sprečavanje bacanja plastike u more te smanjenje utjecaja plastike koja se nalazi na moru na morsku bioraznolikost i ekosustave, zaštitne mjere za osjetljive morske ekosustave na području koje je u nadležnosti CECAF-a u skladu s Međunarodnim smjernicama FAO-a za upravljanje dubokomorskim ribolovom na otvorenome moru te mjere za što veće izbjegavanje i smanjenje neželjenih ulova, prije svega osjetljivih morskih vrsta, te za postupno napuštanje prakse odbacivanja ulova;</w:t>
      </w:r>
    </w:p>
    <w:p>
      <w:pPr>
        <w:pStyle w:val="Point0"/>
        <w:rPr>
          <w:noProof/>
        </w:rPr>
      </w:pPr>
      <w:r>
        <w:rPr>
          <w:noProof/>
        </w:rPr>
        <w:t>(d)</w:t>
      </w:r>
      <w:r>
        <w:rPr>
          <w:noProof/>
        </w:rPr>
        <w:tab/>
        <w:t>mjere za smanjenje posljedica ostavljenog, izgubljenog ili na drugi način odbačenog ribolovnog alata u oceanu i olakšavanje pronalaženja i uklanjanja takvog alata;</w:t>
      </w:r>
    </w:p>
    <w:p>
      <w:pPr>
        <w:pStyle w:val="Point0"/>
        <w:rPr>
          <w:noProof/>
        </w:rPr>
      </w:pPr>
      <w:r>
        <w:rPr>
          <w:noProof/>
        </w:rPr>
        <w:t>(e)</w:t>
      </w:r>
      <w:r>
        <w:rPr>
          <w:noProof/>
        </w:rPr>
        <w:tab/>
        <w:t>prema potrebi, zajednički pristup s drugim regionalnim tijelima za ribarstvo i RFMO-ima, prije svega s onima koji su uključeni u upravljanje ribarstvom na istom području;</w:t>
      </w:r>
    </w:p>
    <w:p>
      <w:pPr>
        <w:pStyle w:val="Point0"/>
        <w:rPr>
          <w:noProof/>
        </w:rPr>
      </w:pPr>
      <w:r>
        <w:rPr>
          <w:noProof/>
        </w:rPr>
        <w:t>(f)</w:t>
      </w:r>
      <w:r>
        <w:rPr>
          <w:noProof/>
        </w:rPr>
        <w:tab/>
        <w:t>preporuke, prema potrebi i u mjeri u kojoj je to dopušteno u skladu s relevantnim osnivačkim dokumentima, kojima se potiče provedba Konvencije o radu u ribolovu Međunarodne organizacije rada (ILO);</w:t>
      </w:r>
    </w:p>
    <w:p>
      <w:pPr>
        <w:pStyle w:val="Point0"/>
        <w:rPr>
          <w:noProof/>
        </w:rPr>
      </w:pPr>
      <w:r>
        <w:rPr>
          <w:noProof/>
        </w:rPr>
        <w:t xml:space="preserve">(g) </w:t>
      </w:r>
      <w:r>
        <w:rPr>
          <w:noProof/>
        </w:rPr>
        <w:tab/>
        <w:t xml:space="preserve">dodatne tehničke mjere koje se temelje na savjetima pomoćnih tijela i radnih skupina CECAF-a. 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>PRILOG II.</w:t>
      </w:r>
    </w:p>
    <w:p>
      <w:pPr>
        <w:pStyle w:val="Header"/>
        <w:jc w:val="center"/>
        <w:rPr>
          <w:noProof/>
        </w:rPr>
      </w:pPr>
      <w:r>
        <w:rPr>
          <w:noProof/>
        </w:rPr>
        <w:t>Godišnje usklađivanje stajališta Unije koje treba zauzeti</w:t>
      </w:r>
      <w:r>
        <w:rPr>
          <w:noProof/>
        </w:rPr>
        <w:br/>
        <w:t>na sastancima Odbora za ribarstvo istočnog dijela središnjeg Atlantika</w:t>
      </w:r>
    </w:p>
    <w:p>
      <w:pPr>
        <w:rPr>
          <w:rFonts w:eastAsia="Calibri"/>
          <w:noProof/>
          <w:szCs w:val="20"/>
        </w:rPr>
      </w:pPr>
      <w:r>
        <w:rPr>
          <w:noProof/>
        </w:rPr>
        <w:br/>
        <w:t>Prije svakog sastanka CECAF-a, kad se to tijelo poziva na donošenje odluka koje mogu presudno utjecati na sadržaj propisa koje donosi zakonodavac Unije, poduzimaju se potrebni koraci kako bi se u stajalištu koje treba iznijeti u ime Unije uzele u obzir najnovije znanstvene i druge relevantne informacije dostavljene Komisiji, u skladu s načelima i smjernicama utvrđenima u Prilogu I.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U tu svrhu i na temelju tih informacija Komisija Vijeću ili njegovim pripremnim tijelima pravovremeno prije svakog sastanka CECAF-a dostavlja pisani dokument u kojem su utvrđene pojedinosti predloženog usklađivanja stajališta Unije za raspravu i detaljna argumentacija stajališta koje treba iznijeti u ime Unije.</w:t>
      </w:r>
    </w:p>
    <w:p>
      <w:pPr>
        <w:rPr>
          <w:noProof/>
        </w:rPr>
      </w:pPr>
      <w:r>
        <w:rPr>
          <w:noProof/>
        </w:rPr>
        <w:t>Ako tijekom sastanka CECAF-a nije moguće postići dogovor, uključujući na samom zasjedanju, predmet se upućuje Vijeću ili njegovim pripremnim tijelima kako bi se u stajalištu Unije mogli uzeti u obzir novi elementi.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7087/12 REV 1 ADD 1 COR 1.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JOIN(2016) 49 final od 10.11.2016.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7348/1/17 REV 1 od 24.3.2017.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3FCBB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32E6B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B4A7E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59CCB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CD2F7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7BE20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BF004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EFAE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1 11:15:0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jedlogu"/>
    <w:docVar w:name="LW_ACCOMPAGNANT.CP" w:val="prijedlogu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7A908A66-09F6-4081-B519-93E313AE9641"/>
    <w:docVar w:name="LW_COVERPAGE_TYPE" w:val="1"/>
    <w:docVar w:name="LW_CROSSREFERENCE" w:val="&lt;UNUSED&gt;"/>
    <w:docVar w:name="LW_DocType" w:val="ANNEX"/>
    <w:docVar w:name="LW_EMISSION" w:val="10.7.2019."/>
    <w:docVar w:name="LW_EMISSION_ISODATE" w:val="2019-07-10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u ime Unije treba zauzeti na Odboru za ribarstvo isto\u269?nog dijela sredi\u353?njeg Atlantika  "/>
    <w:docVar w:name="LW_OBJETACTEPRINCIPAL.CP" w:val="o stajali\u353?tu koje u ime Unije treba zauzeti na Odboru za ribarstvo isto\u269?nog dijela sredi\u353?njeg Atlantika 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3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ODLUKE VIJE\u262?A"/>
    <w:docVar w:name="LW_TYPEACTEPRINCIPAL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35943A-9339-4A91-B8C3-CF572B54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894</Words>
  <Characters>5352</Characters>
  <Application>Microsoft Office Word</Application>
  <DocSecurity>0</DocSecurity>
  <Lines>93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HARFORD Fiona (MARE)</dc:creator>
  <cp:lastModifiedBy>WES PDFC Administrator</cp:lastModifiedBy>
  <cp:revision>8</cp:revision>
  <dcterms:created xsi:type="dcterms:W3CDTF">2019-06-25T12:20:00Z</dcterms:created>
  <dcterms:modified xsi:type="dcterms:W3CDTF">2019-07-01T09:15:00Z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