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F6172E00-CEBF-466F-AB63-D27B13D1506D" style="width:450.75pt;height:406.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spacing w:after="240"/>
        <w:jc w:val="center"/>
        <w:rPr>
          <w:b/>
          <w:noProof/>
          <w:u w:val="single"/>
        </w:rPr>
      </w:pPr>
      <w:bookmarkStart w:id="1" w:name="_GoBack"/>
      <w:bookmarkEnd w:id="1"/>
      <w:r>
        <w:rPr>
          <w:b/>
          <w:noProof/>
          <w:u w:val="single"/>
        </w:rPr>
        <w:lastRenderedPageBreak/>
        <w:t>ANNEXE 1</w:t>
      </w:r>
    </w:p>
    <w:p>
      <w:pPr>
        <w:autoSpaceDE w:val="0"/>
        <w:autoSpaceDN w:val="0"/>
        <w:adjustRightInd w:val="0"/>
        <w:jc w:val="center"/>
        <w:rPr>
          <w:b/>
          <w:noProof/>
          <w:szCs w:val="24"/>
        </w:rPr>
      </w:pPr>
      <w:r>
        <w:rPr>
          <w:b/>
          <w:noProof/>
        </w:rPr>
        <w:t>Liste des documents de la Commission</w:t>
      </w:r>
      <w:r>
        <w:rPr>
          <w:b/>
          <w:noProof/>
          <w:szCs w:val="24"/>
        </w:rPr>
        <w:br/>
      </w:r>
      <w:r>
        <w:rPr>
          <w:b/>
          <w:noProof/>
        </w:rPr>
        <w:t>au sujet desquels la Commission a reçu des avis motivés</w:t>
      </w:r>
      <w:r>
        <w:rPr>
          <w:b/>
          <w:noProof/>
          <w:vertAlign w:val="superscript"/>
        </w:rPr>
        <w:footnoteReference w:id="1"/>
      </w:r>
      <w:r>
        <w:rPr>
          <w:b/>
          <w:noProof/>
        </w:rPr>
        <w:t xml:space="preserve"> </w:t>
      </w:r>
      <w:r>
        <w:rPr>
          <w:b/>
          <w:noProof/>
          <w:szCs w:val="24"/>
        </w:rPr>
        <w:br/>
      </w:r>
      <w:r>
        <w:rPr>
          <w:b/>
          <w:noProof/>
        </w:rPr>
        <w:t>de la part des parlements nationaux en 2018 en ce qui concerne le respect du principe de subsidiarité</w:t>
      </w:r>
    </w:p>
    <w:p>
      <w:pPr>
        <w:autoSpaceDE w:val="0"/>
        <w:autoSpaceDN w:val="0"/>
        <w:adjustRightInd w:val="0"/>
        <w:jc w:val="center"/>
        <w:rPr>
          <w:b/>
          <w:noProof/>
          <w:szCs w:val="24"/>
        </w:rPr>
      </w:pPr>
    </w:p>
    <w:tbl>
      <w:tblPr>
        <w:tblW w:w="1058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14"/>
        <w:gridCol w:w="1977"/>
        <w:gridCol w:w="2811"/>
        <w:gridCol w:w="1207"/>
        <w:gridCol w:w="1157"/>
        <w:gridCol w:w="3022"/>
      </w:tblGrid>
      <w:tr>
        <w:trPr>
          <w:cantSplit/>
          <w:tblHeader/>
        </w:trPr>
        <w:tc>
          <w:tcPr>
            <w:tcW w:w="414" w:type="dxa"/>
            <w:tcBorders>
              <w:top w:val="nil"/>
              <w:left w:val="nil"/>
            </w:tcBorders>
            <w:shd w:val="clear" w:color="auto" w:fill="auto"/>
            <w:vAlign w:val="center"/>
          </w:tcPr>
          <w:p>
            <w:pPr>
              <w:jc w:val="center"/>
              <w:rPr>
                <w:noProof/>
                <w:sz w:val="20"/>
              </w:rPr>
            </w:pPr>
          </w:p>
        </w:tc>
        <w:tc>
          <w:tcPr>
            <w:tcW w:w="1977" w:type="dxa"/>
            <w:shd w:val="clear" w:color="auto" w:fill="auto"/>
            <w:vAlign w:val="center"/>
          </w:tcPr>
          <w:p>
            <w:pPr>
              <w:jc w:val="center"/>
              <w:rPr>
                <w:b/>
                <w:noProof/>
                <w:sz w:val="20"/>
              </w:rPr>
            </w:pPr>
            <w:r>
              <w:rPr>
                <w:b/>
                <w:noProof/>
                <w:sz w:val="20"/>
              </w:rPr>
              <w:t>Document de la Commission</w:t>
            </w:r>
          </w:p>
        </w:tc>
        <w:tc>
          <w:tcPr>
            <w:tcW w:w="2811" w:type="dxa"/>
            <w:shd w:val="clear" w:color="auto" w:fill="auto"/>
            <w:vAlign w:val="center"/>
          </w:tcPr>
          <w:p>
            <w:pPr>
              <w:jc w:val="center"/>
              <w:rPr>
                <w:noProof/>
                <w:sz w:val="20"/>
              </w:rPr>
            </w:pPr>
            <w:r>
              <w:rPr>
                <w:b/>
                <w:noProof/>
                <w:sz w:val="20"/>
              </w:rPr>
              <w:t>Intitulé</w:t>
            </w:r>
          </w:p>
        </w:tc>
        <w:tc>
          <w:tcPr>
            <w:tcW w:w="1207" w:type="dxa"/>
            <w:shd w:val="clear" w:color="auto" w:fill="auto"/>
            <w:vAlign w:val="center"/>
          </w:tcPr>
          <w:p>
            <w:pPr>
              <w:jc w:val="center"/>
              <w:rPr>
                <w:b/>
                <w:noProof/>
                <w:sz w:val="20"/>
              </w:rPr>
            </w:pPr>
            <w:r>
              <w:rPr>
                <w:b/>
                <w:noProof/>
                <w:sz w:val="20"/>
              </w:rPr>
              <w:t>Nombre d’avis motivés (protocole nº 2)</w:t>
            </w:r>
          </w:p>
        </w:tc>
        <w:tc>
          <w:tcPr>
            <w:tcW w:w="1157" w:type="dxa"/>
            <w:shd w:val="clear" w:color="auto" w:fill="auto"/>
            <w:vAlign w:val="center"/>
          </w:tcPr>
          <w:p>
            <w:pPr>
              <w:jc w:val="center"/>
              <w:rPr>
                <w:noProof/>
                <w:sz w:val="20"/>
              </w:rPr>
            </w:pPr>
            <w:r>
              <w:rPr>
                <w:b/>
                <w:noProof/>
                <w:sz w:val="20"/>
              </w:rPr>
              <w:t>Nombre de voix (protocole nº 2)</w:t>
            </w:r>
            <w:r>
              <w:rPr>
                <w:noProof/>
                <w:sz w:val="20"/>
                <w:vertAlign w:val="superscript"/>
              </w:rPr>
              <w:footnoteReference w:id="2"/>
            </w:r>
          </w:p>
        </w:tc>
        <w:tc>
          <w:tcPr>
            <w:tcW w:w="3022" w:type="dxa"/>
            <w:shd w:val="clear" w:color="auto" w:fill="auto"/>
            <w:vAlign w:val="center"/>
          </w:tcPr>
          <w:p>
            <w:pPr>
              <w:jc w:val="center"/>
              <w:rPr>
                <w:noProof/>
                <w:sz w:val="20"/>
              </w:rPr>
            </w:pPr>
            <w:r>
              <w:rPr>
                <w:b/>
                <w:noProof/>
                <w:sz w:val="20"/>
              </w:rPr>
              <w:t>Chambre nationale ayant émis un avis motivé</w:t>
            </w:r>
          </w:p>
        </w:tc>
      </w:tr>
      <w:tr>
        <w:trPr>
          <w:cantSplit/>
        </w:trPr>
        <w:tc>
          <w:tcPr>
            <w:tcW w:w="414" w:type="dxa"/>
            <w:shd w:val="clear" w:color="auto" w:fill="auto"/>
          </w:tcPr>
          <w:p>
            <w:pPr>
              <w:jc w:val="left"/>
              <w:rPr>
                <w:noProof/>
                <w:sz w:val="20"/>
              </w:rPr>
            </w:pPr>
            <w:r>
              <w:rPr>
                <w:noProof/>
                <w:sz w:val="20"/>
              </w:rPr>
              <w:t>1</w:t>
            </w:r>
          </w:p>
        </w:tc>
        <w:tc>
          <w:tcPr>
            <w:tcW w:w="1977" w:type="dxa"/>
            <w:shd w:val="clear" w:color="auto" w:fill="auto"/>
          </w:tcPr>
          <w:p>
            <w:pPr>
              <w:jc w:val="left"/>
              <w:rPr>
                <w:noProof/>
                <w:color w:val="000000"/>
                <w:sz w:val="20"/>
              </w:rPr>
            </w:pPr>
            <w:r>
              <w:rPr>
                <w:noProof/>
                <w:color w:val="000000"/>
                <w:sz w:val="20"/>
              </w:rPr>
              <w:t>COM(2018) 147 et COM(2018) 148</w:t>
            </w:r>
          </w:p>
        </w:tc>
        <w:tc>
          <w:tcPr>
            <w:tcW w:w="2811" w:type="dxa"/>
            <w:shd w:val="clear" w:color="auto" w:fill="auto"/>
          </w:tcPr>
          <w:p>
            <w:pPr>
              <w:rPr>
                <w:noProof/>
                <w:color w:val="000000"/>
                <w:sz w:val="20"/>
              </w:rPr>
            </w:pPr>
            <w:r>
              <w:rPr>
                <w:noProof/>
                <w:color w:val="000000"/>
                <w:sz w:val="20"/>
              </w:rPr>
              <w:t>Proposition de directive du Conseil établissant les règles d’</w:t>
            </w:r>
            <w:r>
              <w:rPr>
                <w:b/>
                <w:noProof/>
                <w:color w:val="000000"/>
                <w:sz w:val="20"/>
              </w:rPr>
              <w:t>imposition des sociétés ayant une présence numérique significative</w:t>
            </w:r>
          </w:p>
          <w:p>
            <w:pPr>
              <w:rPr>
                <w:noProof/>
                <w:color w:val="000000"/>
                <w:sz w:val="20"/>
              </w:rPr>
            </w:pPr>
            <w:r>
              <w:rPr>
                <w:noProof/>
                <w:color w:val="000000"/>
                <w:sz w:val="20"/>
              </w:rPr>
              <w:t xml:space="preserve">Proposition de directive du Conseil concernant le système commun de </w:t>
            </w:r>
            <w:r>
              <w:rPr>
                <w:b/>
                <w:noProof/>
                <w:color w:val="000000"/>
                <w:sz w:val="20"/>
              </w:rPr>
              <w:t>taxe sur les services numériques applicable aux produits tirés de la fourniture de certains services numériques</w:t>
            </w:r>
          </w:p>
        </w:tc>
        <w:tc>
          <w:tcPr>
            <w:tcW w:w="1207" w:type="dxa"/>
            <w:shd w:val="clear" w:color="auto" w:fill="auto"/>
          </w:tcPr>
          <w:p>
            <w:pPr>
              <w:jc w:val="center"/>
              <w:rPr>
                <w:noProof/>
                <w:color w:val="000000"/>
                <w:sz w:val="20"/>
              </w:rPr>
            </w:pPr>
            <w:r>
              <w:rPr>
                <w:noProof/>
                <w:color w:val="000000"/>
                <w:sz w:val="20"/>
              </w:rPr>
              <w:t>4</w:t>
            </w:r>
          </w:p>
        </w:tc>
        <w:tc>
          <w:tcPr>
            <w:tcW w:w="1157" w:type="dxa"/>
            <w:shd w:val="clear" w:color="auto" w:fill="auto"/>
          </w:tcPr>
          <w:p>
            <w:pPr>
              <w:jc w:val="center"/>
              <w:rPr>
                <w:noProof/>
                <w:color w:val="000000"/>
                <w:sz w:val="20"/>
              </w:rPr>
            </w:pPr>
            <w:r>
              <w:rPr>
                <w:noProof/>
                <w:color w:val="000000"/>
                <w:sz w:val="20"/>
              </w:rPr>
              <w:t>7</w:t>
            </w:r>
          </w:p>
        </w:tc>
        <w:tc>
          <w:tcPr>
            <w:tcW w:w="3022" w:type="dxa"/>
            <w:tcBorders>
              <w:bottom w:val="single" w:sz="4" w:space="0" w:color="auto"/>
            </w:tcBorders>
            <w:shd w:val="clear" w:color="auto" w:fill="auto"/>
          </w:tcPr>
          <w:p>
            <w:pPr>
              <w:jc w:val="left"/>
              <w:rPr>
                <w:noProof/>
                <w:sz w:val="20"/>
              </w:rPr>
            </w:pPr>
            <w:r>
              <w:rPr>
                <w:i/>
                <w:noProof/>
                <w:color w:val="000000"/>
                <w:sz w:val="20"/>
              </w:rPr>
              <w:t>Folketing</w:t>
            </w:r>
            <w:r>
              <w:rPr>
                <w:noProof/>
                <w:color w:val="000000"/>
                <w:sz w:val="20"/>
              </w:rPr>
              <w:t xml:space="preserve"> danois (2 voix)</w:t>
            </w:r>
            <w:r>
              <w:rPr>
                <w:noProof/>
                <w:sz w:val="20"/>
              </w:rPr>
              <w:t xml:space="preserve"> </w:t>
            </w:r>
          </w:p>
          <w:p>
            <w:pPr>
              <w:jc w:val="left"/>
              <w:rPr>
                <w:i/>
                <w:iCs/>
                <w:noProof/>
                <w:color w:val="000000"/>
                <w:sz w:val="20"/>
              </w:rPr>
            </w:pPr>
          </w:p>
          <w:p>
            <w:pPr>
              <w:jc w:val="left"/>
              <w:rPr>
                <w:noProof/>
                <w:sz w:val="20"/>
              </w:rPr>
            </w:pPr>
            <w:r>
              <w:rPr>
                <w:i/>
                <w:noProof/>
                <w:sz w:val="20"/>
              </w:rPr>
              <w:t>Dáil</w:t>
            </w:r>
            <w:r>
              <w:rPr>
                <w:i/>
                <w:noProof/>
                <w:color w:val="000000"/>
                <w:sz w:val="20"/>
              </w:rPr>
              <w:t xml:space="preserve"> Éireann</w:t>
            </w:r>
            <w:r>
              <w:rPr>
                <w:noProof/>
                <w:color w:val="000000"/>
                <w:sz w:val="20"/>
              </w:rPr>
              <w:t xml:space="preserve"> et </w:t>
            </w:r>
            <w:r>
              <w:rPr>
                <w:i/>
                <w:noProof/>
                <w:color w:val="000000"/>
                <w:sz w:val="20"/>
              </w:rPr>
              <w:t>Seanad Éireann</w:t>
            </w:r>
            <w:r>
              <w:rPr>
                <w:noProof/>
                <w:color w:val="000000"/>
                <w:sz w:val="20"/>
              </w:rPr>
              <w:t xml:space="preserve"> irlandais </w:t>
            </w:r>
            <w:r>
              <w:rPr>
                <w:noProof/>
                <w:sz w:val="20"/>
              </w:rPr>
              <w:t xml:space="preserve">(2 voix) </w:t>
            </w:r>
          </w:p>
          <w:p>
            <w:pPr>
              <w:jc w:val="left"/>
              <w:rPr>
                <w:i/>
                <w:iCs/>
                <w:noProof/>
                <w:color w:val="000000"/>
                <w:sz w:val="20"/>
              </w:rPr>
            </w:pPr>
          </w:p>
          <w:p>
            <w:pPr>
              <w:jc w:val="left"/>
              <w:rPr>
                <w:noProof/>
                <w:sz w:val="20"/>
              </w:rPr>
            </w:pPr>
            <w:r>
              <w:rPr>
                <w:i/>
                <w:noProof/>
                <w:color w:val="000000"/>
                <w:sz w:val="20"/>
              </w:rPr>
              <w:t>Kamra tad-Deputati</w:t>
            </w:r>
            <w:r>
              <w:rPr>
                <w:noProof/>
                <w:color w:val="000000"/>
                <w:sz w:val="20"/>
              </w:rPr>
              <w:t xml:space="preserve"> maltaise (2 voix)</w:t>
            </w:r>
          </w:p>
          <w:p>
            <w:pPr>
              <w:jc w:val="left"/>
              <w:rPr>
                <w:noProof/>
                <w:sz w:val="20"/>
              </w:rPr>
            </w:pPr>
          </w:p>
          <w:p>
            <w:pPr>
              <w:jc w:val="left"/>
              <w:rPr>
                <w:iCs/>
                <w:noProof/>
                <w:color w:val="000000"/>
                <w:sz w:val="20"/>
              </w:rPr>
            </w:pPr>
            <w:r>
              <w:rPr>
                <w:i/>
                <w:noProof/>
                <w:sz w:val="20"/>
              </w:rPr>
              <w:t>Tweede Kamer</w:t>
            </w:r>
            <w:r>
              <w:rPr>
                <w:noProof/>
                <w:sz w:val="20"/>
              </w:rPr>
              <w:t xml:space="preserve"> néerlandaise (1 voix) </w:t>
            </w:r>
          </w:p>
        </w:tc>
      </w:tr>
      <w:tr>
        <w:trPr>
          <w:cantSplit/>
        </w:trPr>
        <w:tc>
          <w:tcPr>
            <w:tcW w:w="414" w:type="dxa"/>
            <w:shd w:val="clear" w:color="auto" w:fill="auto"/>
          </w:tcPr>
          <w:p>
            <w:pPr>
              <w:jc w:val="left"/>
              <w:rPr>
                <w:noProof/>
                <w:sz w:val="20"/>
              </w:rPr>
            </w:pPr>
            <w:r>
              <w:rPr>
                <w:noProof/>
                <w:sz w:val="20"/>
              </w:rPr>
              <w:t>2</w:t>
            </w:r>
          </w:p>
        </w:tc>
        <w:tc>
          <w:tcPr>
            <w:tcW w:w="1977" w:type="dxa"/>
            <w:shd w:val="clear" w:color="auto" w:fill="auto"/>
          </w:tcPr>
          <w:p>
            <w:pPr>
              <w:jc w:val="left"/>
              <w:rPr>
                <w:noProof/>
                <w:color w:val="000000"/>
                <w:sz w:val="20"/>
              </w:rPr>
            </w:pPr>
            <w:r>
              <w:rPr>
                <w:noProof/>
                <w:color w:val="000000"/>
                <w:sz w:val="20"/>
              </w:rPr>
              <w:t>COM(2018) 277</w:t>
            </w:r>
          </w:p>
        </w:tc>
        <w:tc>
          <w:tcPr>
            <w:tcW w:w="2811" w:type="dxa"/>
            <w:shd w:val="clear" w:color="auto" w:fill="auto"/>
          </w:tcPr>
          <w:p>
            <w:pPr>
              <w:rPr>
                <w:noProof/>
                <w:color w:val="000000"/>
                <w:sz w:val="20"/>
              </w:rPr>
            </w:pPr>
            <w:r>
              <w:rPr>
                <w:noProof/>
                <w:color w:val="000000"/>
                <w:sz w:val="20"/>
              </w:rPr>
              <w:t xml:space="preserve">Proposition de règlement du Parlement européen et du Conseil concernant des </w:t>
            </w:r>
            <w:r>
              <w:rPr>
                <w:b/>
                <w:noProof/>
                <w:color w:val="000000"/>
                <w:sz w:val="20"/>
              </w:rPr>
              <w:t>mesures de rationalisation en vue de progresser dans la réalisation du réseau transeuropéen de transport</w:t>
            </w:r>
          </w:p>
        </w:tc>
        <w:tc>
          <w:tcPr>
            <w:tcW w:w="1207" w:type="dxa"/>
            <w:shd w:val="clear" w:color="auto" w:fill="auto"/>
          </w:tcPr>
          <w:p>
            <w:pPr>
              <w:jc w:val="center"/>
              <w:rPr>
                <w:noProof/>
                <w:color w:val="000000"/>
                <w:sz w:val="20"/>
              </w:rPr>
            </w:pPr>
            <w:r>
              <w:rPr>
                <w:noProof/>
                <w:color w:val="000000"/>
                <w:sz w:val="20"/>
              </w:rPr>
              <w:t>4</w:t>
            </w:r>
          </w:p>
        </w:tc>
        <w:tc>
          <w:tcPr>
            <w:tcW w:w="1157" w:type="dxa"/>
            <w:shd w:val="clear" w:color="auto" w:fill="auto"/>
          </w:tcPr>
          <w:p>
            <w:pPr>
              <w:jc w:val="center"/>
              <w:rPr>
                <w:noProof/>
                <w:color w:val="000000"/>
                <w:sz w:val="20"/>
              </w:rPr>
            </w:pPr>
            <w:r>
              <w:rPr>
                <w:noProof/>
                <w:color w:val="000000"/>
                <w:sz w:val="20"/>
              </w:rPr>
              <w:t>6</w:t>
            </w:r>
          </w:p>
        </w:tc>
        <w:tc>
          <w:tcPr>
            <w:tcW w:w="3022" w:type="dxa"/>
            <w:tcBorders>
              <w:bottom w:val="single" w:sz="4" w:space="0" w:color="auto"/>
            </w:tcBorders>
            <w:shd w:val="clear" w:color="auto" w:fill="auto"/>
          </w:tcPr>
          <w:p>
            <w:pPr>
              <w:jc w:val="left"/>
              <w:rPr>
                <w:noProof/>
                <w:sz w:val="20"/>
              </w:rPr>
            </w:pPr>
            <w:r>
              <w:rPr>
                <w:i/>
                <w:noProof/>
                <w:sz w:val="20"/>
              </w:rPr>
              <w:t>Senát</w:t>
            </w:r>
            <w:r>
              <w:rPr>
                <w:noProof/>
                <w:sz w:val="20"/>
              </w:rPr>
              <w:t xml:space="preserve"> tchèque (1 voix)</w:t>
            </w:r>
          </w:p>
          <w:p>
            <w:pPr>
              <w:jc w:val="left"/>
              <w:rPr>
                <w:noProof/>
                <w:sz w:val="20"/>
              </w:rPr>
            </w:pPr>
          </w:p>
          <w:p>
            <w:pPr>
              <w:jc w:val="left"/>
              <w:rPr>
                <w:noProof/>
                <w:sz w:val="20"/>
              </w:rPr>
            </w:pPr>
            <w:r>
              <w:rPr>
                <w:i/>
                <w:noProof/>
                <w:sz w:val="20"/>
              </w:rPr>
              <w:t>Bundestag</w:t>
            </w:r>
            <w:r>
              <w:rPr>
                <w:noProof/>
                <w:sz w:val="20"/>
              </w:rPr>
              <w:t xml:space="preserve"> allemand (1 voix) </w:t>
            </w:r>
          </w:p>
          <w:p>
            <w:pPr>
              <w:jc w:val="left"/>
              <w:rPr>
                <w:noProof/>
                <w:sz w:val="20"/>
              </w:rPr>
            </w:pPr>
          </w:p>
          <w:p>
            <w:pPr>
              <w:jc w:val="left"/>
              <w:rPr>
                <w:noProof/>
                <w:sz w:val="20"/>
              </w:rPr>
            </w:pPr>
            <w:r>
              <w:rPr>
                <w:i/>
                <w:noProof/>
                <w:sz w:val="20"/>
              </w:rPr>
              <w:t>Dáil</w:t>
            </w:r>
            <w:r>
              <w:rPr>
                <w:i/>
                <w:noProof/>
                <w:color w:val="000000"/>
                <w:sz w:val="20"/>
              </w:rPr>
              <w:t xml:space="preserve"> Éireann</w:t>
            </w:r>
            <w:r>
              <w:rPr>
                <w:noProof/>
                <w:color w:val="000000"/>
                <w:sz w:val="20"/>
              </w:rPr>
              <w:t xml:space="preserve"> et </w:t>
            </w:r>
            <w:r>
              <w:rPr>
                <w:i/>
                <w:noProof/>
                <w:color w:val="000000"/>
                <w:sz w:val="20"/>
              </w:rPr>
              <w:t>Seanad Éireann</w:t>
            </w:r>
            <w:r>
              <w:rPr>
                <w:noProof/>
                <w:color w:val="000000"/>
                <w:sz w:val="20"/>
              </w:rPr>
              <w:t xml:space="preserve"> irlandais </w:t>
            </w:r>
            <w:r>
              <w:rPr>
                <w:noProof/>
                <w:sz w:val="20"/>
              </w:rPr>
              <w:t xml:space="preserve">(2 voix) </w:t>
            </w:r>
          </w:p>
          <w:p>
            <w:pPr>
              <w:jc w:val="left"/>
              <w:rPr>
                <w:noProof/>
                <w:sz w:val="20"/>
              </w:rPr>
            </w:pPr>
          </w:p>
          <w:p>
            <w:pPr>
              <w:jc w:val="left"/>
              <w:rPr>
                <w:noProof/>
                <w:sz w:val="20"/>
              </w:rPr>
            </w:pPr>
            <w:r>
              <w:rPr>
                <w:i/>
                <w:noProof/>
                <w:sz w:val="20"/>
              </w:rPr>
              <w:t>Riksdag</w:t>
            </w:r>
            <w:r>
              <w:rPr>
                <w:noProof/>
                <w:sz w:val="20"/>
              </w:rPr>
              <w:t xml:space="preserve"> suédois (2 voix) </w:t>
            </w:r>
          </w:p>
        </w:tc>
      </w:tr>
      <w:tr>
        <w:trPr>
          <w:cantSplit/>
        </w:trPr>
        <w:tc>
          <w:tcPr>
            <w:tcW w:w="414" w:type="dxa"/>
            <w:shd w:val="clear" w:color="auto" w:fill="auto"/>
          </w:tcPr>
          <w:p>
            <w:pPr>
              <w:jc w:val="left"/>
              <w:rPr>
                <w:noProof/>
                <w:sz w:val="20"/>
              </w:rPr>
            </w:pPr>
            <w:r>
              <w:rPr>
                <w:noProof/>
                <w:sz w:val="20"/>
              </w:rPr>
              <w:t>3</w:t>
            </w:r>
          </w:p>
        </w:tc>
        <w:tc>
          <w:tcPr>
            <w:tcW w:w="1977" w:type="dxa"/>
            <w:shd w:val="clear" w:color="auto" w:fill="auto"/>
          </w:tcPr>
          <w:p>
            <w:pPr>
              <w:jc w:val="left"/>
              <w:rPr>
                <w:noProof/>
                <w:color w:val="000000"/>
                <w:sz w:val="20"/>
              </w:rPr>
            </w:pPr>
            <w:r>
              <w:rPr>
                <w:noProof/>
                <w:color w:val="000000"/>
                <w:sz w:val="20"/>
              </w:rPr>
              <w:t>COM(2017) 753</w:t>
            </w:r>
          </w:p>
        </w:tc>
        <w:tc>
          <w:tcPr>
            <w:tcW w:w="2811" w:type="dxa"/>
            <w:shd w:val="clear" w:color="auto" w:fill="auto"/>
          </w:tcPr>
          <w:p>
            <w:pPr>
              <w:rPr>
                <w:noProof/>
                <w:color w:val="000000"/>
                <w:sz w:val="20"/>
              </w:rPr>
            </w:pPr>
            <w:r>
              <w:rPr>
                <w:noProof/>
                <w:color w:val="000000"/>
                <w:sz w:val="20"/>
              </w:rPr>
              <w:t xml:space="preserve">Proposition de directive du Parlement européen et du Conseil relative à la </w:t>
            </w:r>
            <w:r>
              <w:rPr>
                <w:b/>
                <w:noProof/>
                <w:color w:val="000000"/>
                <w:sz w:val="20"/>
              </w:rPr>
              <w:t>qualité des eaux destinées à la consommation humaine</w:t>
            </w:r>
            <w:r>
              <w:rPr>
                <w:noProof/>
                <w:color w:val="000000"/>
                <w:sz w:val="20"/>
              </w:rPr>
              <w:t xml:space="preserve"> (refonte) </w:t>
            </w:r>
          </w:p>
        </w:tc>
        <w:tc>
          <w:tcPr>
            <w:tcW w:w="1207" w:type="dxa"/>
            <w:shd w:val="clear" w:color="auto" w:fill="auto"/>
          </w:tcPr>
          <w:p>
            <w:pPr>
              <w:jc w:val="center"/>
              <w:rPr>
                <w:noProof/>
                <w:color w:val="000000"/>
                <w:sz w:val="20"/>
              </w:rPr>
            </w:pPr>
            <w:r>
              <w:rPr>
                <w:noProof/>
                <w:color w:val="000000"/>
                <w:sz w:val="20"/>
              </w:rPr>
              <w:t>4</w:t>
            </w:r>
          </w:p>
        </w:tc>
        <w:tc>
          <w:tcPr>
            <w:tcW w:w="1157" w:type="dxa"/>
            <w:shd w:val="clear" w:color="auto" w:fill="auto"/>
          </w:tcPr>
          <w:p>
            <w:pPr>
              <w:jc w:val="center"/>
              <w:rPr>
                <w:noProof/>
                <w:color w:val="000000"/>
                <w:sz w:val="20"/>
              </w:rPr>
            </w:pPr>
            <w:r>
              <w:rPr>
                <w:noProof/>
                <w:color w:val="000000"/>
                <w:sz w:val="20"/>
              </w:rPr>
              <w:t>5</w:t>
            </w:r>
          </w:p>
        </w:tc>
        <w:tc>
          <w:tcPr>
            <w:tcW w:w="3022" w:type="dxa"/>
            <w:tcBorders>
              <w:bottom w:val="single" w:sz="4" w:space="0" w:color="auto"/>
            </w:tcBorders>
            <w:shd w:val="clear" w:color="auto" w:fill="auto"/>
          </w:tcPr>
          <w:p>
            <w:pPr>
              <w:jc w:val="left"/>
              <w:rPr>
                <w:noProof/>
                <w:sz w:val="20"/>
              </w:rPr>
            </w:pPr>
            <w:r>
              <w:rPr>
                <w:i/>
                <w:noProof/>
                <w:sz w:val="20"/>
              </w:rPr>
              <w:t>Bundesrat</w:t>
            </w:r>
            <w:r>
              <w:rPr>
                <w:noProof/>
                <w:sz w:val="20"/>
              </w:rPr>
              <w:t xml:space="preserve"> autrichien (1 voix) </w:t>
            </w:r>
          </w:p>
          <w:p>
            <w:pPr>
              <w:jc w:val="left"/>
              <w:rPr>
                <w:noProof/>
                <w:sz w:val="20"/>
              </w:rPr>
            </w:pPr>
          </w:p>
          <w:p>
            <w:pPr>
              <w:jc w:val="left"/>
              <w:rPr>
                <w:noProof/>
                <w:sz w:val="20"/>
              </w:rPr>
            </w:pPr>
            <w:r>
              <w:rPr>
                <w:i/>
                <w:noProof/>
                <w:color w:val="000000"/>
                <w:sz w:val="20"/>
              </w:rPr>
              <w:t>Poslanecká sněmovna</w:t>
            </w:r>
            <w:r>
              <w:rPr>
                <w:noProof/>
                <w:color w:val="000000"/>
                <w:sz w:val="20"/>
              </w:rPr>
              <w:t xml:space="preserve"> tchèque (1 voix)</w:t>
            </w:r>
            <w:r>
              <w:rPr>
                <w:noProof/>
                <w:sz w:val="20"/>
              </w:rPr>
              <w:t xml:space="preserve"> </w:t>
            </w:r>
          </w:p>
          <w:p>
            <w:pPr>
              <w:jc w:val="left"/>
              <w:rPr>
                <w:i/>
                <w:iCs/>
                <w:noProof/>
                <w:color w:val="000000"/>
                <w:sz w:val="20"/>
              </w:rPr>
            </w:pPr>
          </w:p>
          <w:p>
            <w:pPr>
              <w:jc w:val="left"/>
              <w:rPr>
                <w:noProof/>
                <w:sz w:val="20"/>
              </w:rPr>
            </w:pPr>
            <w:r>
              <w:rPr>
                <w:i/>
                <w:noProof/>
                <w:sz w:val="20"/>
              </w:rPr>
              <w:t>Dáil</w:t>
            </w:r>
            <w:r>
              <w:rPr>
                <w:i/>
                <w:noProof/>
                <w:color w:val="000000"/>
                <w:sz w:val="20"/>
              </w:rPr>
              <w:t xml:space="preserve"> Éireann</w:t>
            </w:r>
            <w:r>
              <w:rPr>
                <w:noProof/>
                <w:color w:val="000000"/>
                <w:sz w:val="20"/>
              </w:rPr>
              <w:t xml:space="preserve"> et </w:t>
            </w:r>
            <w:r>
              <w:rPr>
                <w:i/>
                <w:noProof/>
                <w:color w:val="000000"/>
                <w:sz w:val="20"/>
              </w:rPr>
              <w:t>Seanad Éireann</w:t>
            </w:r>
            <w:r>
              <w:rPr>
                <w:noProof/>
                <w:color w:val="000000"/>
                <w:sz w:val="20"/>
              </w:rPr>
              <w:t xml:space="preserve"> irlandais </w:t>
            </w:r>
            <w:r>
              <w:rPr>
                <w:noProof/>
                <w:sz w:val="20"/>
              </w:rPr>
              <w:t xml:space="preserve">(2 voix) </w:t>
            </w:r>
          </w:p>
          <w:p>
            <w:pPr>
              <w:jc w:val="left"/>
              <w:rPr>
                <w:i/>
                <w:iCs/>
                <w:noProof/>
                <w:color w:val="000000"/>
                <w:sz w:val="20"/>
              </w:rPr>
            </w:pPr>
          </w:p>
          <w:p>
            <w:pPr>
              <w:jc w:val="left"/>
              <w:rPr>
                <w:iCs/>
                <w:noProof/>
                <w:color w:val="000000"/>
                <w:sz w:val="20"/>
                <w:lang w:val="en-GB"/>
              </w:rPr>
            </w:pPr>
            <w:r>
              <w:rPr>
                <w:i/>
                <w:noProof/>
                <w:color w:val="000000"/>
                <w:sz w:val="20"/>
                <w:lang w:val="en-GB"/>
              </w:rPr>
              <w:t>House of Commons</w:t>
            </w:r>
            <w:r>
              <w:rPr>
                <w:noProof/>
                <w:color w:val="000000"/>
                <w:sz w:val="20"/>
                <w:lang w:val="en-GB"/>
              </w:rPr>
              <w:t xml:space="preserve"> britannique (1 voix)</w:t>
            </w:r>
            <w:r>
              <w:rPr>
                <w:noProof/>
                <w:sz w:val="20"/>
                <w:lang w:val="en-GB"/>
              </w:rPr>
              <w:t xml:space="preserve"> </w:t>
            </w:r>
          </w:p>
        </w:tc>
      </w:tr>
      <w:tr>
        <w:trPr>
          <w:cantSplit/>
        </w:trPr>
        <w:tc>
          <w:tcPr>
            <w:tcW w:w="414" w:type="dxa"/>
            <w:shd w:val="clear" w:color="auto" w:fill="auto"/>
          </w:tcPr>
          <w:p>
            <w:pPr>
              <w:jc w:val="left"/>
              <w:rPr>
                <w:noProof/>
                <w:sz w:val="20"/>
              </w:rPr>
            </w:pPr>
            <w:r>
              <w:rPr>
                <w:noProof/>
                <w:sz w:val="20"/>
              </w:rPr>
              <w:t>4</w:t>
            </w:r>
          </w:p>
        </w:tc>
        <w:tc>
          <w:tcPr>
            <w:tcW w:w="1977" w:type="dxa"/>
            <w:shd w:val="clear" w:color="auto" w:fill="auto"/>
          </w:tcPr>
          <w:p>
            <w:pPr>
              <w:jc w:val="left"/>
              <w:rPr>
                <w:noProof/>
                <w:color w:val="000000"/>
                <w:sz w:val="20"/>
              </w:rPr>
            </w:pPr>
            <w:r>
              <w:rPr>
                <w:noProof/>
                <w:color w:val="000000"/>
                <w:sz w:val="20"/>
              </w:rPr>
              <w:t>COM(2018) 639</w:t>
            </w:r>
          </w:p>
        </w:tc>
        <w:tc>
          <w:tcPr>
            <w:tcW w:w="2811" w:type="dxa"/>
            <w:shd w:val="clear" w:color="auto" w:fill="auto"/>
          </w:tcPr>
          <w:p>
            <w:pPr>
              <w:rPr>
                <w:noProof/>
                <w:color w:val="000000"/>
                <w:sz w:val="20"/>
              </w:rPr>
            </w:pPr>
            <w:r>
              <w:rPr>
                <w:noProof/>
                <w:color w:val="000000"/>
                <w:sz w:val="20"/>
              </w:rPr>
              <w:t xml:space="preserve">Proposition de directive du Parlement européen et du Conseil </w:t>
            </w:r>
            <w:r>
              <w:rPr>
                <w:b/>
                <w:noProof/>
                <w:color w:val="000000"/>
                <w:sz w:val="20"/>
              </w:rPr>
              <w:t>mettant fin aux changements d’heure saisonniers</w:t>
            </w:r>
            <w:r>
              <w:rPr>
                <w:noProof/>
                <w:color w:val="000000"/>
                <w:sz w:val="20"/>
              </w:rPr>
              <w:t xml:space="preserve"> et abrogeant la directive 2000/84/CE</w:t>
            </w:r>
          </w:p>
        </w:tc>
        <w:tc>
          <w:tcPr>
            <w:tcW w:w="1207" w:type="dxa"/>
            <w:shd w:val="clear" w:color="auto" w:fill="auto"/>
          </w:tcPr>
          <w:p>
            <w:pPr>
              <w:jc w:val="center"/>
              <w:rPr>
                <w:noProof/>
                <w:color w:val="000000"/>
                <w:sz w:val="20"/>
              </w:rPr>
            </w:pPr>
            <w:r>
              <w:rPr>
                <w:noProof/>
                <w:color w:val="000000"/>
                <w:sz w:val="20"/>
              </w:rPr>
              <w:t>3</w:t>
            </w:r>
          </w:p>
        </w:tc>
        <w:tc>
          <w:tcPr>
            <w:tcW w:w="1157" w:type="dxa"/>
            <w:shd w:val="clear" w:color="auto" w:fill="auto"/>
          </w:tcPr>
          <w:p>
            <w:pPr>
              <w:jc w:val="center"/>
              <w:rPr>
                <w:noProof/>
                <w:color w:val="000000"/>
                <w:sz w:val="20"/>
              </w:rPr>
            </w:pPr>
            <w:r>
              <w:rPr>
                <w:noProof/>
                <w:color w:val="000000"/>
                <w:sz w:val="20"/>
              </w:rPr>
              <w:t>4</w:t>
            </w:r>
          </w:p>
        </w:tc>
        <w:tc>
          <w:tcPr>
            <w:tcW w:w="3022" w:type="dxa"/>
            <w:tcBorders>
              <w:bottom w:val="single" w:sz="4" w:space="0" w:color="auto"/>
            </w:tcBorders>
            <w:shd w:val="clear" w:color="auto" w:fill="auto"/>
          </w:tcPr>
          <w:p>
            <w:pPr>
              <w:jc w:val="left"/>
              <w:rPr>
                <w:noProof/>
                <w:sz w:val="20"/>
              </w:rPr>
            </w:pPr>
            <w:r>
              <w:rPr>
                <w:i/>
                <w:noProof/>
                <w:color w:val="000000"/>
                <w:sz w:val="20"/>
              </w:rPr>
              <w:t>Folketing</w:t>
            </w:r>
            <w:r>
              <w:rPr>
                <w:noProof/>
                <w:color w:val="000000"/>
                <w:sz w:val="20"/>
              </w:rPr>
              <w:t xml:space="preserve"> danois (2 voix)</w:t>
            </w:r>
            <w:r>
              <w:rPr>
                <w:noProof/>
                <w:sz w:val="20"/>
              </w:rPr>
              <w:t xml:space="preserve"> </w:t>
            </w:r>
          </w:p>
          <w:p>
            <w:pPr>
              <w:jc w:val="left"/>
              <w:rPr>
                <w:noProof/>
                <w:sz w:val="20"/>
              </w:rPr>
            </w:pPr>
          </w:p>
          <w:p>
            <w:pPr>
              <w:jc w:val="left"/>
              <w:rPr>
                <w:noProof/>
                <w:sz w:val="20"/>
              </w:rPr>
            </w:pPr>
            <w:r>
              <w:rPr>
                <w:i/>
                <w:noProof/>
                <w:color w:val="000000"/>
                <w:sz w:val="20"/>
              </w:rPr>
              <w:t>House of Commons</w:t>
            </w:r>
            <w:r>
              <w:rPr>
                <w:noProof/>
                <w:color w:val="000000"/>
                <w:sz w:val="20"/>
              </w:rPr>
              <w:t xml:space="preserve"> britannique (1 voix)</w:t>
            </w:r>
            <w:r>
              <w:rPr>
                <w:noProof/>
                <w:sz w:val="20"/>
              </w:rPr>
              <w:t xml:space="preserve"> </w:t>
            </w:r>
          </w:p>
          <w:p>
            <w:pPr>
              <w:jc w:val="left"/>
              <w:rPr>
                <w:noProof/>
                <w:sz w:val="20"/>
              </w:rPr>
            </w:pPr>
          </w:p>
          <w:p>
            <w:pPr>
              <w:jc w:val="left"/>
              <w:rPr>
                <w:noProof/>
                <w:sz w:val="20"/>
              </w:rPr>
            </w:pPr>
            <w:r>
              <w:rPr>
                <w:noProof/>
                <w:sz w:val="20"/>
              </w:rPr>
              <w:t xml:space="preserve"> </w:t>
            </w:r>
            <w:r>
              <w:rPr>
                <w:i/>
                <w:noProof/>
                <w:sz w:val="20"/>
              </w:rPr>
              <w:t>House of Lords</w:t>
            </w:r>
            <w:r>
              <w:rPr>
                <w:noProof/>
                <w:sz w:val="20"/>
              </w:rPr>
              <w:t xml:space="preserve"> britannique (1 voix) </w:t>
            </w:r>
          </w:p>
        </w:tc>
      </w:tr>
      <w:tr>
        <w:trPr>
          <w:cantSplit/>
        </w:trPr>
        <w:tc>
          <w:tcPr>
            <w:tcW w:w="414" w:type="dxa"/>
            <w:shd w:val="clear" w:color="auto" w:fill="auto"/>
          </w:tcPr>
          <w:p>
            <w:pPr>
              <w:jc w:val="left"/>
              <w:rPr>
                <w:noProof/>
                <w:sz w:val="20"/>
              </w:rPr>
            </w:pPr>
            <w:r>
              <w:rPr>
                <w:noProof/>
                <w:sz w:val="20"/>
              </w:rPr>
              <w:t>5</w:t>
            </w:r>
          </w:p>
        </w:tc>
        <w:tc>
          <w:tcPr>
            <w:tcW w:w="1977" w:type="dxa"/>
            <w:shd w:val="clear" w:color="auto" w:fill="auto"/>
          </w:tcPr>
          <w:p>
            <w:pPr>
              <w:jc w:val="left"/>
              <w:rPr>
                <w:noProof/>
                <w:color w:val="000000"/>
                <w:sz w:val="20"/>
              </w:rPr>
            </w:pPr>
            <w:r>
              <w:rPr>
                <w:noProof/>
                <w:color w:val="000000"/>
                <w:sz w:val="20"/>
              </w:rPr>
              <w:t>COM(2018) 51</w:t>
            </w:r>
          </w:p>
        </w:tc>
        <w:tc>
          <w:tcPr>
            <w:tcW w:w="2811" w:type="dxa"/>
            <w:shd w:val="clear" w:color="auto" w:fill="auto"/>
          </w:tcPr>
          <w:p>
            <w:pPr>
              <w:rPr>
                <w:noProof/>
                <w:color w:val="000000"/>
                <w:sz w:val="20"/>
              </w:rPr>
            </w:pPr>
            <w:r>
              <w:rPr>
                <w:noProof/>
                <w:color w:val="000000"/>
                <w:sz w:val="20"/>
              </w:rPr>
              <w:t>Proposition de règlement du Parlement européen et du Conseil concernant l’</w:t>
            </w:r>
            <w:r>
              <w:rPr>
                <w:b/>
                <w:noProof/>
                <w:color w:val="000000"/>
                <w:sz w:val="20"/>
              </w:rPr>
              <w:t>évaluation des technologies de la santé</w:t>
            </w:r>
            <w:r>
              <w:rPr>
                <w:noProof/>
                <w:color w:val="000000"/>
                <w:sz w:val="20"/>
              </w:rPr>
              <w:t xml:space="preserve"> et modifiant la directive 2011/24/UE</w:t>
            </w:r>
          </w:p>
        </w:tc>
        <w:tc>
          <w:tcPr>
            <w:tcW w:w="1207" w:type="dxa"/>
            <w:shd w:val="clear" w:color="auto" w:fill="auto"/>
          </w:tcPr>
          <w:p>
            <w:pPr>
              <w:jc w:val="center"/>
              <w:rPr>
                <w:noProof/>
                <w:color w:val="000000"/>
                <w:sz w:val="20"/>
              </w:rPr>
            </w:pPr>
            <w:r>
              <w:rPr>
                <w:noProof/>
                <w:color w:val="000000"/>
                <w:sz w:val="20"/>
              </w:rPr>
              <w:t>3</w:t>
            </w:r>
          </w:p>
        </w:tc>
        <w:tc>
          <w:tcPr>
            <w:tcW w:w="1157" w:type="dxa"/>
            <w:shd w:val="clear" w:color="auto" w:fill="auto"/>
          </w:tcPr>
          <w:p>
            <w:pPr>
              <w:jc w:val="center"/>
              <w:rPr>
                <w:noProof/>
                <w:color w:val="000000"/>
                <w:sz w:val="20"/>
              </w:rPr>
            </w:pPr>
            <w:r>
              <w:rPr>
                <w:noProof/>
                <w:color w:val="000000"/>
                <w:sz w:val="20"/>
              </w:rPr>
              <w:t>3</w:t>
            </w:r>
          </w:p>
        </w:tc>
        <w:tc>
          <w:tcPr>
            <w:tcW w:w="3022" w:type="dxa"/>
            <w:tcBorders>
              <w:bottom w:val="single" w:sz="4" w:space="0" w:color="auto"/>
            </w:tcBorders>
            <w:shd w:val="clear" w:color="auto" w:fill="auto"/>
          </w:tcPr>
          <w:p>
            <w:pPr>
              <w:jc w:val="left"/>
              <w:rPr>
                <w:noProof/>
                <w:sz w:val="20"/>
              </w:rPr>
            </w:pPr>
            <w:r>
              <w:rPr>
                <w:i/>
                <w:noProof/>
                <w:color w:val="000000"/>
                <w:sz w:val="20"/>
              </w:rPr>
              <w:t>Poslanecká sněmovna</w:t>
            </w:r>
            <w:r>
              <w:rPr>
                <w:noProof/>
                <w:color w:val="000000"/>
                <w:sz w:val="20"/>
              </w:rPr>
              <w:t xml:space="preserve"> tchèque (1 voix)</w:t>
            </w:r>
            <w:r>
              <w:rPr>
                <w:noProof/>
                <w:sz w:val="20"/>
              </w:rPr>
              <w:t xml:space="preserve"> </w:t>
            </w:r>
          </w:p>
          <w:p>
            <w:pPr>
              <w:jc w:val="left"/>
              <w:rPr>
                <w:noProof/>
                <w:sz w:val="20"/>
              </w:rPr>
            </w:pPr>
          </w:p>
          <w:p>
            <w:pPr>
              <w:jc w:val="left"/>
              <w:rPr>
                <w:noProof/>
                <w:sz w:val="20"/>
              </w:rPr>
            </w:pPr>
            <w:r>
              <w:rPr>
                <w:i/>
                <w:noProof/>
                <w:sz w:val="20"/>
              </w:rPr>
              <w:t>Bundestag</w:t>
            </w:r>
            <w:r>
              <w:rPr>
                <w:noProof/>
                <w:sz w:val="20"/>
              </w:rPr>
              <w:t xml:space="preserve"> allemand (1 voix) </w:t>
            </w:r>
          </w:p>
          <w:p>
            <w:pPr>
              <w:jc w:val="left"/>
              <w:rPr>
                <w:noProof/>
                <w:sz w:val="20"/>
              </w:rPr>
            </w:pPr>
          </w:p>
          <w:p>
            <w:pPr>
              <w:jc w:val="left"/>
              <w:rPr>
                <w:noProof/>
                <w:sz w:val="20"/>
              </w:rPr>
            </w:pPr>
            <w:r>
              <w:rPr>
                <w:noProof/>
                <w:sz w:val="20"/>
              </w:rPr>
              <w:t xml:space="preserve">Sénat français (1 voix) </w:t>
            </w:r>
          </w:p>
        </w:tc>
      </w:tr>
      <w:tr>
        <w:trPr>
          <w:cantSplit/>
        </w:trPr>
        <w:tc>
          <w:tcPr>
            <w:tcW w:w="414" w:type="dxa"/>
            <w:shd w:val="clear" w:color="auto" w:fill="auto"/>
          </w:tcPr>
          <w:p>
            <w:pPr>
              <w:jc w:val="left"/>
              <w:rPr>
                <w:noProof/>
                <w:sz w:val="20"/>
              </w:rPr>
            </w:pPr>
            <w:r>
              <w:rPr>
                <w:noProof/>
                <w:sz w:val="20"/>
              </w:rPr>
              <w:t>6</w:t>
            </w:r>
          </w:p>
        </w:tc>
        <w:tc>
          <w:tcPr>
            <w:tcW w:w="1977" w:type="dxa"/>
            <w:shd w:val="clear" w:color="auto" w:fill="auto"/>
          </w:tcPr>
          <w:p>
            <w:pPr>
              <w:jc w:val="left"/>
              <w:rPr>
                <w:noProof/>
                <w:color w:val="000000"/>
                <w:sz w:val="20"/>
              </w:rPr>
            </w:pPr>
            <w:r>
              <w:rPr>
                <w:noProof/>
                <w:color w:val="000000"/>
                <w:sz w:val="20"/>
              </w:rPr>
              <w:t xml:space="preserve">COM(2018) 184 et COM(2018) 185 </w:t>
            </w:r>
          </w:p>
        </w:tc>
        <w:tc>
          <w:tcPr>
            <w:tcW w:w="2811" w:type="dxa"/>
            <w:shd w:val="clear" w:color="auto" w:fill="auto"/>
          </w:tcPr>
          <w:p>
            <w:pPr>
              <w:rPr>
                <w:noProof/>
                <w:color w:val="000000"/>
                <w:sz w:val="20"/>
              </w:rPr>
            </w:pPr>
            <w:r>
              <w:rPr>
                <w:noProof/>
                <w:color w:val="000000"/>
                <w:sz w:val="20"/>
              </w:rPr>
              <w:t xml:space="preserve">Proposition de directive du Parlement européen et du Conseil relative aux </w:t>
            </w:r>
            <w:r>
              <w:rPr>
                <w:b/>
                <w:noProof/>
                <w:color w:val="000000"/>
                <w:sz w:val="20"/>
              </w:rPr>
              <w:t>actions représentatives dans le domaine de la protection des intérêts collectifs des consommateurs</w:t>
            </w:r>
            <w:r>
              <w:rPr>
                <w:noProof/>
                <w:color w:val="000000"/>
                <w:sz w:val="20"/>
              </w:rPr>
              <w:t xml:space="preserve">, et abrogeant la directive 2009/22/CE  Proposition de directive du Parlement européen et du Conseil modifiant la directive 93/13/CEE du Conseil du 5 avril 1993, la directive 98/6/CE du Parlement européen et du Conseil, la directive 2005/29/CE du Parlement européen et du Conseil et la directive 2011/83/UE du Parlement européen et du Conseil concernant </w:t>
            </w:r>
            <w:r>
              <w:rPr>
                <w:b/>
                <w:noProof/>
                <w:color w:val="000000"/>
                <w:sz w:val="20"/>
              </w:rPr>
              <w:t>une meilleure application et une modernisation des règles de protection des consommateurs de l’UE</w:t>
            </w:r>
          </w:p>
        </w:tc>
        <w:tc>
          <w:tcPr>
            <w:tcW w:w="1207" w:type="dxa"/>
            <w:shd w:val="clear" w:color="auto" w:fill="auto"/>
          </w:tcPr>
          <w:p>
            <w:pPr>
              <w:jc w:val="center"/>
              <w:rPr>
                <w:noProof/>
                <w:color w:val="000000"/>
                <w:sz w:val="20"/>
              </w:rPr>
            </w:pPr>
            <w:r>
              <w:rPr>
                <w:noProof/>
                <w:color w:val="000000"/>
                <w:sz w:val="20"/>
              </w:rPr>
              <w:t xml:space="preserve"> 3</w:t>
            </w:r>
            <w:r>
              <w:rPr>
                <w:rStyle w:val="FootnoteReference"/>
                <w:noProof/>
                <w:color w:val="000000"/>
                <w:sz w:val="20"/>
              </w:rPr>
              <w:footnoteReference w:id="3"/>
            </w:r>
          </w:p>
        </w:tc>
        <w:tc>
          <w:tcPr>
            <w:tcW w:w="1157" w:type="dxa"/>
            <w:shd w:val="clear" w:color="auto" w:fill="auto"/>
          </w:tcPr>
          <w:p>
            <w:pPr>
              <w:jc w:val="center"/>
              <w:rPr>
                <w:noProof/>
                <w:color w:val="000000"/>
                <w:sz w:val="20"/>
              </w:rPr>
            </w:pPr>
            <w:r>
              <w:rPr>
                <w:noProof/>
                <w:color w:val="000000"/>
                <w:sz w:val="20"/>
              </w:rPr>
              <w:t>3</w:t>
            </w:r>
          </w:p>
        </w:tc>
        <w:tc>
          <w:tcPr>
            <w:tcW w:w="3022" w:type="dxa"/>
            <w:tcBorders>
              <w:bottom w:val="single" w:sz="4" w:space="0" w:color="auto"/>
            </w:tcBorders>
            <w:shd w:val="clear" w:color="auto" w:fill="auto"/>
          </w:tcPr>
          <w:p>
            <w:pPr>
              <w:jc w:val="left"/>
              <w:rPr>
                <w:noProof/>
                <w:sz w:val="20"/>
              </w:rPr>
            </w:pPr>
            <w:r>
              <w:rPr>
                <w:i/>
                <w:noProof/>
                <w:sz w:val="20"/>
              </w:rPr>
              <w:t>Bundesrat</w:t>
            </w:r>
            <w:r>
              <w:rPr>
                <w:noProof/>
                <w:sz w:val="20"/>
              </w:rPr>
              <w:t xml:space="preserve"> autrichien (1 voix) </w:t>
            </w:r>
          </w:p>
          <w:p>
            <w:pPr>
              <w:jc w:val="left"/>
              <w:rPr>
                <w:noProof/>
                <w:sz w:val="20"/>
              </w:rPr>
            </w:pPr>
          </w:p>
          <w:p>
            <w:pPr>
              <w:jc w:val="left"/>
              <w:rPr>
                <w:noProof/>
                <w:sz w:val="20"/>
              </w:rPr>
            </w:pPr>
            <w:r>
              <w:rPr>
                <w:i/>
                <w:noProof/>
                <w:sz w:val="20"/>
              </w:rPr>
              <w:t>Riksdag</w:t>
            </w:r>
            <w:r>
              <w:rPr>
                <w:noProof/>
                <w:sz w:val="20"/>
              </w:rPr>
              <w:t xml:space="preserve"> suédois (2 voix) </w:t>
            </w:r>
          </w:p>
          <w:p>
            <w:pPr>
              <w:jc w:val="left"/>
              <w:rPr>
                <w:noProof/>
                <w:sz w:val="20"/>
              </w:rPr>
            </w:pPr>
            <w:r>
              <w:rPr>
                <w:noProof/>
                <w:sz w:val="20"/>
              </w:rPr>
              <w:t xml:space="preserve"> </w:t>
            </w:r>
          </w:p>
        </w:tc>
      </w:tr>
      <w:tr>
        <w:trPr>
          <w:cantSplit/>
        </w:trPr>
        <w:tc>
          <w:tcPr>
            <w:tcW w:w="414" w:type="dxa"/>
            <w:shd w:val="clear" w:color="auto" w:fill="auto"/>
          </w:tcPr>
          <w:p>
            <w:pPr>
              <w:jc w:val="left"/>
              <w:rPr>
                <w:noProof/>
                <w:sz w:val="20"/>
              </w:rPr>
            </w:pPr>
            <w:r>
              <w:rPr>
                <w:noProof/>
                <w:sz w:val="20"/>
              </w:rPr>
              <w:t>7</w:t>
            </w:r>
          </w:p>
        </w:tc>
        <w:tc>
          <w:tcPr>
            <w:tcW w:w="1977" w:type="dxa"/>
            <w:shd w:val="clear" w:color="auto" w:fill="auto"/>
          </w:tcPr>
          <w:p>
            <w:pPr>
              <w:jc w:val="left"/>
              <w:rPr>
                <w:noProof/>
                <w:color w:val="000000"/>
                <w:sz w:val="20"/>
              </w:rPr>
            </w:pPr>
            <w:r>
              <w:rPr>
                <w:noProof/>
                <w:color w:val="000000"/>
                <w:sz w:val="20"/>
              </w:rPr>
              <w:t>COM(2017) 648</w:t>
            </w:r>
          </w:p>
        </w:tc>
        <w:tc>
          <w:tcPr>
            <w:tcW w:w="2811" w:type="dxa"/>
            <w:shd w:val="clear" w:color="auto" w:fill="auto"/>
          </w:tcPr>
          <w:p>
            <w:pPr>
              <w:rPr>
                <w:noProof/>
                <w:color w:val="000000"/>
                <w:sz w:val="20"/>
              </w:rPr>
            </w:pPr>
            <w:r>
              <w:rPr>
                <w:noProof/>
                <w:color w:val="000000"/>
                <w:sz w:val="20"/>
              </w:rPr>
              <w:t xml:space="preserve">Proposition de directive du Parlement européen et du Conseil modifiant la directive 92/106/CEE relative à l’établissement de </w:t>
            </w:r>
            <w:r>
              <w:rPr>
                <w:b/>
                <w:noProof/>
                <w:color w:val="000000"/>
                <w:sz w:val="20"/>
              </w:rPr>
              <w:t>règles communes pour certains transports combinés de marchandises entre États membres</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i/>
                <w:noProof/>
                <w:color w:val="000000"/>
                <w:sz w:val="20"/>
              </w:rPr>
              <w:t>Riksdag</w:t>
            </w:r>
            <w:r>
              <w:rPr>
                <w:noProof/>
                <w:sz w:val="20"/>
              </w:rPr>
              <w:t xml:space="preserve"> suédois (2 voix) </w:t>
            </w:r>
          </w:p>
          <w:p>
            <w:pPr>
              <w:jc w:val="left"/>
              <w:rPr>
                <w:noProof/>
                <w:sz w:val="20"/>
              </w:rPr>
            </w:pPr>
          </w:p>
        </w:tc>
      </w:tr>
      <w:tr>
        <w:trPr>
          <w:cantSplit/>
        </w:trPr>
        <w:tc>
          <w:tcPr>
            <w:tcW w:w="414" w:type="dxa"/>
            <w:shd w:val="clear" w:color="auto" w:fill="auto"/>
          </w:tcPr>
          <w:p>
            <w:pPr>
              <w:jc w:val="left"/>
              <w:rPr>
                <w:noProof/>
                <w:sz w:val="20"/>
              </w:rPr>
            </w:pPr>
            <w:r>
              <w:rPr>
                <w:noProof/>
                <w:sz w:val="20"/>
              </w:rPr>
              <w:t>8</w:t>
            </w:r>
          </w:p>
        </w:tc>
        <w:tc>
          <w:tcPr>
            <w:tcW w:w="1977" w:type="dxa"/>
            <w:shd w:val="clear" w:color="auto" w:fill="auto"/>
          </w:tcPr>
          <w:p>
            <w:pPr>
              <w:jc w:val="left"/>
              <w:rPr>
                <w:noProof/>
                <w:color w:val="000000"/>
                <w:sz w:val="20"/>
              </w:rPr>
            </w:pPr>
            <w:r>
              <w:rPr>
                <w:noProof/>
                <w:color w:val="000000"/>
                <w:sz w:val="20"/>
              </w:rPr>
              <w:t>COM(2017) 795</w:t>
            </w:r>
          </w:p>
        </w:tc>
        <w:tc>
          <w:tcPr>
            <w:tcW w:w="2811" w:type="dxa"/>
            <w:shd w:val="clear" w:color="auto" w:fill="auto"/>
          </w:tcPr>
          <w:p>
            <w:pPr>
              <w:rPr>
                <w:noProof/>
                <w:color w:val="000000"/>
                <w:sz w:val="20"/>
              </w:rPr>
            </w:pPr>
            <w:r>
              <w:rPr>
                <w:noProof/>
                <w:color w:val="000000"/>
                <w:sz w:val="20"/>
              </w:rPr>
              <w:t xml:space="preserve">Proposition de règlement du Parlement européen et du Conseil établissant des règles et des procédures concernant </w:t>
            </w:r>
            <w:r>
              <w:rPr>
                <w:b/>
                <w:noProof/>
                <w:color w:val="000000"/>
                <w:sz w:val="20"/>
              </w:rPr>
              <w:t>le respect et l’application effective de la législation d’harmonisation de l’Union relative aux produits</w:t>
            </w:r>
            <w:r>
              <w:rPr>
                <w:noProof/>
                <w:color w:val="000000"/>
                <w:sz w:val="20"/>
              </w:rPr>
              <w:t xml:space="preserve"> et modifiant les règlements (UE) n° 305/2011, (UE) n° 528/2012, (UE) 2016/424, (UE) 2016/425, (UE) 2016/426 et (UE) 2017/1369 du Parlement européen et du Conseil, et les directives 2004/42/CE, 2009/48/CE, 2010/35/UE, 2013/29/UE, 2013/53/UE, 2014/28/UE, 2014/29/UE, 2014/30/UE, 2014/31/UE, 2014/32/UE, 2014/33/UE, 2014/34/UE, 2014/35/UE, 2014/53/UE, 2014/68/UE et 2014/90/UE du Parlement européen et du Conseil</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i/>
                <w:noProof/>
                <w:color w:val="000000"/>
                <w:sz w:val="20"/>
              </w:rPr>
              <w:t>Riksdag</w:t>
            </w:r>
            <w:r>
              <w:rPr>
                <w:noProof/>
                <w:sz w:val="20"/>
              </w:rPr>
              <w:t xml:space="preserve"> suédois (2 voix)</w:t>
            </w:r>
          </w:p>
        </w:tc>
      </w:tr>
      <w:tr>
        <w:trPr>
          <w:cantSplit/>
        </w:trPr>
        <w:tc>
          <w:tcPr>
            <w:tcW w:w="414" w:type="dxa"/>
            <w:shd w:val="clear" w:color="auto" w:fill="auto"/>
          </w:tcPr>
          <w:p>
            <w:pPr>
              <w:jc w:val="left"/>
              <w:rPr>
                <w:noProof/>
                <w:sz w:val="20"/>
              </w:rPr>
            </w:pPr>
            <w:r>
              <w:rPr>
                <w:noProof/>
                <w:sz w:val="20"/>
              </w:rPr>
              <w:t>9</w:t>
            </w:r>
          </w:p>
        </w:tc>
        <w:tc>
          <w:tcPr>
            <w:tcW w:w="1977" w:type="dxa"/>
            <w:shd w:val="clear" w:color="auto" w:fill="auto"/>
          </w:tcPr>
          <w:p>
            <w:pPr>
              <w:jc w:val="left"/>
              <w:rPr>
                <w:noProof/>
                <w:color w:val="000000"/>
                <w:sz w:val="20"/>
              </w:rPr>
            </w:pPr>
            <w:r>
              <w:rPr>
                <w:noProof/>
                <w:color w:val="000000"/>
                <w:sz w:val="20"/>
              </w:rPr>
              <w:t>COM(2017) 797</w:t>
            </w:r>
          </w:p>
        </w:tc>
        <w:tc>
          <w:tcPr>
            <w:tcW w:w="2811" w:type="dxa"/>
            <w:shd w:val="clear" w:color="auto" w:fill="auto"/>
          </w:tcPr>
          <w:p>
            <w:pPr>
              <w:rPr>
                <w:noProof/>
                <w:color w:val="000000"/>
                <w:sz w:val="20"/>
              </w:rPr>
            </w:pPr>
            <w:r>
              <w:rPr>
                <w:noProof/>
                <w:color w:val="000000"/>
                <w:sz w:val="20"/>
              </w:rPr>
              <w:t xml:space="preserve">Proposition de directive du Parlement européen et du Conseil relative à des </w:t>
            </w:r>
            <w:r>
              <w:rPr>
                <w:b/>
                <w:noProof/>
                <w:color w:val="000000"/>
                <w:sz w:val="20"/>
              </w:rPr>
              <w:t>conditions de travail transparentes et prévisibles</w:t>
            </w:r>
            <w:r>
              <w:rPr>
                <w:noProof/>
                <w:color w:val="000000"/>
                <w:sz w:val="20"/>
              </w:rPr>
              <w:t xml:space="preserve"> dans l’Union européenne</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i/>
                <w:noProof/>
                <w:color w:val="000000"/>
                <w:sz w:val="20"/>
              </w:rPr>
              <w:t>Riksdag</w:t>
            </w:r>
            <w:r>
              <w:rPr>
                <w:noProof/>
                <w:sz w:val="20"/>
              </w:rPr>
              <w:t xml:space="preserve"> suédois (2 voix)</w:t>
            </w:r>
          </w:p>
        </w:tc>
      </w:tr>
      <w:tr>
        <w:trPr>
          <w:cantSplit/>
        </w:trPr>
        <w:tc>
          <w:tcPr>
            <w:tcW w:w="414" w:type="dxa"/>
            <w:shd w:val="clear" w:color="auto" w:fill="auto"/>
          </w:tcPr>
          <w:p>
            <w:pPr>
              <w:jc w:val="left"/>
              <w:rPr>
                <w:noProof/>
                <w:sz w:val="20"/>
              </w:rPr>
            </w:pPr>
            <w:r>
              <w:rPr>
                <w:noProof/>
                <w:sz w:val="20"/>
              </w:rPr>
              <w:t>10</w:t>
            </w:r>
          </w:p>
        </w:tc>
        <w:tc>
          <w:tcPr>
            <w:tcW w:w="1977" w:type="dxa"/>
            <w:shd w:val="clear" w:color="auto" w:fill="auto"/>
          </w:tcPr>
          <w:p>
            <w:pPr>
              <w:jc w:val="left"/>
              <w:rPr>
                <w:noProof/>
                <w:color w:val="000000"/>
                <w:sz w:val="20"/>
              </w:rPr>
            </w:pPr>
            <w:r>
              <w:rPr>
                <w:noProof/>
                <w:color w:val="000000"/>
                <w:sz w:val="20"/>
              </w:rPr>
              <w:t>COM(2018) 131</w:t>
            </w:r>
          </w:p>
        </w:tc>
        <w:tc>
          <w:tcPr>
            <w:tcW w:w="2811" w:type="dxa"/>
            <w:shd w:val="clear" w:color="auto" w:fill="auto"/>
          </w:tcPr>
          <w:p>
            <w:pPr>
              <w:rPr>
                <w:noProof/>
                <w:color w:val="000000"/>
                <w:sz w:val="20"/>
              </w:rPr>
            </w:pPr>
            <w:r>
              <w:rPr>
                <w:noProof/>
                <w:color w:val="000000"/>
                <w:sz w:val="20"/>
              </w:rPr>
              <w:t>Proposition de règlement du Parlement européen et du Conseil établissant une Autorité européenne du travail</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i/>
                <w:noProof/>
                <w:color w:val="000000"/>
                <w:sz w:val="20"/>
              </w:rPr>
              <w:t>Riksdag</w:t>
            </w:r>
            <w:r>
              <w:rPr>
                <w:noProof/>
                <w:sz w:val="20"/>
              </w:rPr>
              <w:t xml:space="preserve"> suédois (2 voix)</w:t>
            </w:r>
          </w:p>
        </w:tc>
      </w:tr>
      <w:tr>
        <w:trPr>
          <w:cantSplit/>
        </w:trPr>
        <w:tc>
          <w:tcPr>
            <w:tcW w:w="414" w:type="dxa"/>
            <w:shd w:val="clear" w:color="auto" w:fill="auto"/>
          </w:tcPr>
          <w:p>
            <w:pPr>
              <w:jc w:val="left"/>
              <w:rPr>
                <w:noProof/>
                <w:sz w:val="20"/>
              </w:rPr>
            </w:pPr>
            <w:r>
              <w:rPr>
                <w:noProof/>
                <w:sz w:val="20"/>
              </w:rPr>
              <w:t>11</w:t>
            </w:r>
          </w:p>
        </w:tc>
        <w:tc>
          <w:tcPr>
            <w:tcW w:w="1977" w:type="dxa"/>
            <w:shd w:val="clear" w:color="auto" w:fill="auto"/>
          </w:tcPr>
          <w:p>
            <w:pPr>
              <w:jc w:val="left"/>
              <w:rPr>
                <w:noProof/>
                <w:color w:val="000000"/>
                <w:sz w:val="20"/>
              </w:rPr>
            </w:pPr>
            <w:r>
              <w:rPr>
                <w:noProof/>
                <w:color w:val="000000"/>
                <w:sz w:val="20"/>
              </w:rPr>
              <w:t>COM(2018) 173</w:t>
            </w:r>
          </w:p>
        </w:tc>
        <w:tc>
          <w:tcPr>
            <w:tcW w:w="2811" w:type="dxa"/>
            <w:shd w:val="clear" w:color="auto" w:fill="auto"/>
          </w:tcPr>
          <w:p>
            <w:pPr>
              <w:rPr>
                <w:noProof/>
                <w:color w:val="000000"/>
                <w:sz w:val="20"/>
              </w:rPr>
            </w:pPr>
            <w:r>
              <w:rPr>
                <w:noProof/>
                <w:color w:val="000000"/>
                <w:sz w:val="20"/>
              </w:rPr>
              <w:t xml:space="preserve">Proposition de directive du Parlement européen et du Conseil sur les </w:t>
            </w:r>
            <w:r>
              <w:rPr>
                <w:b/>
                <w:noProof/>
                <w:color w:val="000000"/>
                <w:sz w:val="20"/>
              </w:rPr>
              <w:t>pratiques commerciales déloyales dans les relations interentreprises au sein de la chaîne d’approvisionnement alimentaire</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i/>
                <w:noProof/>
                <w:color w:val="000000"/>
                <w:sz w:val="20"/>
              </w:rPr>
              <w:t>Riksdag</w:t>
            </w:r>
            <w:r>
              <w:rPr>
                <w:noProof/>
                <w:sz w:val="20"/>
              </w:rPr>
              <w:t xml:space="preserve"> suédois (2 voix)</w:t>
            </w:r>
          </w:p>
        </w:tc>
      </w:tr>
      <w:tr>
        <w:trPr>
          <w:cantSplit/>
        </w:trPr>
        <w:tc>
          <w:tcPr>
            <w:tcW w:w="414" w:type="dxa"/>
            <w:shd w:val="clear" w:color="auto" w:fill="auto"/>
          </w:tcPr>
          <w:p>
            <w:pPr>
              <w:jc w:val="left"/>
              <w:rPr>
                <w:noProof/>
                <w:sz w:val="20"/>
              </w:rPr>
            </w:pPr>
            <w:r>
              <w:rPr>
                <w:noProof/>
                <w:sz w:val="20"/>
              </w:rPr>
              <w:t>12</w:t>
            </w:r>
          </w:p>
        </w:tc>
        <w:tc>
          <w:tcPr>
            <w:tcW w:w="1977" w:type="dxa"/>
            <w:shd w:val="clear" w:color="auto" w:fill="auto"/>
          </w:tcPr>
          <w:p>
            <w:pPr>
              <w:jc w:val="left"/>
              <w:rPr>
                <w:noProof/>
                <w:color w:val="000000"/>
                <w:sz w:val="20"/>
              </w:rPr>
            </w:pPr>
            <w:r>
              <w:rPr>
                <w:noProof/>
                <w:color w:val="000000"/>
                <w:sz w:val="20"/>
              </w:rPr>
              <w:t>COM(2018) 213</w:t>
            </w:r>
          </w:p>
        </w:tc>
        <w:tc>
          <w:tcPr>
            <w:tcW w:w="2811" w:type="dxa"/>
            <w:shd w:val="clear" w:color="auto" w:fill="auto"/>
          </w:tcPr>
          <w:p>
            <w:pPr>
              <w:rPr>
                <w:noProof/>
                <w:color w:val="000000"/>
                <w:sz w:val="20"/>
              </w:rPr>
            </w:pPr>
            <w:r>
              <w:rPr>
                <w:noProof/>
                <w:color w:val="000000"/>
                <w:sz w:val="20"/>
              </w:rPr>
              <w:t xml:space="preserve">Proposition de directive du Parlement européen et du Conseil fixant les règles </w:t>
            </w:r>
            <w:r>
              <w:rPr>
                <w:b/>
                <w:noProof/>
                <w:color w:val="000000"/>
                <w:sz w:val="20"/>
              </w:rPr>
              <w:t>facilitant l’utilisation d’informations financières et d’autre nature aux fins de la prévention et de la détection de certaines infractions pénales, et des enquêtes et des poursuites en la matière</w:t>
            </w:r>
            <w:r>
              <w:rPr>
                <w:noProof/>
                <w:color w:val="000000"/>
                <w:sz w:val="20"/>
              </w:rPr>
              <w:t>, et abrogeant la décision 2000/642/JAI du Conseil</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shd w:val="clear" w:color="auto" w:fill="auto"/>
          </w:tcPr>
          <w:p>
            <w:pPr>
              <w:jc w:val="left"/>
              <w:rPr>
                <w:noProof/>
                <w:sz w:val="20"/>
              </w:rPr>
            </w:pPr>
            <w:r>
              <w:rPr>
                <w:i/>
                <w:noProof/>
                <w:color w:val="000000"/>
                <w:sz w:val="20"/>
              </w:rPr>
              <w:t>Riksdag</w:t>
            </w:r>
            <w:r>
              <w:rPr>
                <w:noProof/>
                <w:sz w:val="20"/>
              </w:rPr>
              <w:t xml:space="preserve"> suédois (2 voix)</w:t>
            </w:r>
          </w:p>
        </w:tc>
      </w:tr>
      <w:tr>
        <w:trPr>
          <w:cantSplit/>
        </w:trPr>
        <w:tc>
          <w:tcPr>
            <w:tcW w:w="414" w:type="dxa"/>
            <w:shd w:val="clear" w:color="auto" w:fill="auto"/>
          </w:tcPr>
          <w:p>
            <w:pPr>
              <w:jc w:val="left"/>
              <w:rPr>
                <w:noProof/>
                <w:sz w:val="20"/>
              </w:rPr>
            </w:pPr>
            <w:r>
              <w:rPr>
                <w:noProof/>
                <w:sz w:val="20"/>
              </w:rPr>
              <w:t>13</w:t>
            </w:r>
          </w:p>
        </w:tc>
        <w:tc>
          <w:tcPr>
            <w:tcW w:w="1977" w:type="dxa"/>
            <w:shd w:val="clear" w:color="auto" w:fill="auto"/>
          </w:tcPr>
          <w:p>
            <w:pPr>
              <w:jc w:val="left"/>
              <w:rPr>
                <w:noProof/>
                <w:color w:val="000000"/>
                <w:sz w:val="20"/>
              </w:rPr>
            </w:pPr>
            <w:r>
              <w:rPr>
                <w:noProof/>
                <w:color w:val="000000"/>
                <w:sz w:val="20"/>
              </w:rPr>
              <w:t>COM(2018) 274</w:t>
            </w:r>
          </w:p>
        </w:tc>
        <w:tc>
          <w:tcPr>
            <w:tcW w:w="2811" w:type="dxa"/>
            <w:shd w:val="clear" w:color="auto" w:fill="auto"/>
          </w:tcPr>
          <w:p>
            <w:pPr>
              <w:rPr>
                <w:noProof/>
                <w:color w:val="000000"/>
                <w:sz w:val="20"/>
              </w:rPr>
            </w:pPr>
            <w:r>
              <w:rPr>
                <w:noProof/>
                <w:color w:val="000000"/>
                <w:sz w:val="20"/>
              </w:rPr>
              <w:t xml:space="preserve">Proposition de directive du Parlement européen et du Conseil modifiant la directive 2008/96/CE concernant la </w:t>
            </w:r>
            <w:r>
              <w:rPr>
                <w:b/>
                <w:noProof/>
                <w:color w:val="000000"/>
                <w:sz w:val="20"/>
              </w:rPr>
              <w:t>gestion de la sécurité des infrastructures routières</w:t>
            </w:r>
          </w:p>
        </w:tc>
        <w:tc>
          <w:tcPr>
            <w:tcW w:w="1207" w:type="dxa"/>
            <w:shd w:val="clear" w:color="auto" w:fill="auto"/>
          </w:tcPr>
          <w:p>
            <w:pPr>
              <w:jc w:val="center"/>
              <w:rPr>
                <w:noProof/>
                <w:sz w:val="20"/>
              </w:rPr>
            </w:pPr>
            <w:r>
              <w:rPr>
                <w:noProof/>
                <w:sz w:val="20"/>
              </w:rPr>
              <w:t>1</w:t>
            </w:r>
          </w:p>
        </w:tc>
        <w:tc>
          <w:tcPr>
            <w:tcW w:w="1157" w:type="dxa"/>
            <w:shd w:val="clear" w:color="auto" w:fill="auto"/>
          </w:tcPr>
          <w:p>
            <w:pPr>
              <w:jc w:val="center"/>
              <w:rPr>
                <w:noProof/>
                <w:sz w:val="20"/>
              </w:rPr>
            </w:pPr>
            <w:r>
              <w:rPr>
                <w:noProof/>
                <w:sz w:val="20"/>
              </w:rPr>
              <w:t>2</w:t>
            </w:r>
          </w:p>
        </w:tc>
        <w:tc>
          <w:tcPr>
            <w:tcW w:w="3022" w:type="dxa"/>
            <w:shd w:val="clear" w:color="auto" w:fill="auto"/>
          </w:tcPr>
          <w:p>
            <w:pPr>
              <w:jc w:val="left"/>
              <w:rPr>
                <w:noProof/>
                <w:sz w:val="20"/>
              </w:rPr>
            </w:pPr>
            <w:r>
              <w:rPr>
                <w:i/>
                <w:noProof/>
                <w:color w:val="000000"/>
                <w:sz w:val="20"/>
              </w:rPr>
              <w:t>Riksdag</w:t>
            </w:r>
            <w:r>
              <w:rPr>
                <w:noProof/>
                <w:sz w:val="20"/>
              </w:rPr>
              <w:t xml:space="preserve"> suédois (2 voix)</w:t>
            </w:r>
          </w:p>
        </w:tc>
      </w:tr>
      <w:tr>
        <w:trPr>
          <w:cantSplit/>
        </w:trPr>
        <w:tc>
          <w:tcPr>
            <w:tcW w:w="414" w:type="dxa"/>
            <w:shd w:val="clear" w:color="auto" w:fill="auto"/>
          </w:tcPr>
          <w:p>
            <w:pPr>
              <w:jc w:val="left"/>
              <w:rPr>
                <w:noProof/>
                <w:sz w:val="20"/>
              </w:rPr>
            </w:pPr>
            <w:r>
              <w:rPr>
                <w:noProof/>
                <w:sz w:val="20"/>
              </w:rPr>
              <w:t>14</w:t>
            </w:r>
          </w:p>
        </w:tc>
        <w:tc>
          <w:tcPr>
            <w:tcW w:w="1977" w:type="dxa"/>
            <w:shd w:val="clear" w:color="auto" w:fill="auto"/>
          </w:tcPr>
          <w:p>
            <w:pPr>
              <w:jc w:val="left"/>
              <w:rPr>
                <w:noProof/>
                <w:color w:val="000000"/>
                <w:sz w:val="20"/>
              </w:rPr>
            </w:pPr>
            <w:r>
              <w:rPr>
                <w:noProof/>
                <w:color w:val="000000"/>
                <w:sz w:val="20"/>
              </w:rPr>
              <w:t>COM(2018) 325 et COM(2018) 327</w:t>
            </w:r>
          </w:p>
        </w:tc>
        <w:tc>
          <w:tcPr>
            <w:tcW w:w="2811" w:type="dxa"/>
            <w:shd w:val="clear" w:color="auto" w:fill="auto"/>
          </w:tcPr>
          <w:p>
            <w:pPr>
              <w:rPr>
                <w:noProof/>
                <w:color w:val="000000"/>
                <w:sz w:val="20"/>
              </w:rPr>
            </w:pPr>
            <w:r>
              <w:rPr>
                <w:noProof/>
                <w:sz w:val="20"/>
              </w:rPr>
              <w:t xml:space="preserve">Proposition de décision du Conseil relative au </w:t>
            </w:r>
            <w:r>
              <w:rPr>
                <w:b/>
                <w:noProof/>
                <w:sz w:val="20"/>
              </w:rPr>
              <w:t>système des ressources propres</w:t>
            </w:r>
            <w:r>
              <w:rPr>
                <w:noProof/>
                <w:sz w:val="20"/>
              </w:rPr>
              <w:t xml:space="preserve"> de l’Union européenne</w:t>
            </w:r>
            <w:r>
              <w:rPr>
                <w:noProof/>
                <w:sz w:val="20"/>
              </w:rPr>
              <w:br/>
              <w:t xml:space="preserve"> Proposition de règlement du Conseil portant </w:t>
            </w:r>
            <w:r>
              <w:rPr>
                <w:b/>
                <w:noProof/>
                <w:sz w:val="20"/>
              </w:rPr>
              <w:t>mesures d’exécution du système des ressources propres</w:t>
            </w:r>
            <w:r>
              <w:rPr>
                <w:noProof/>
                <w:sz w:val="20"/>
              </w:rPr>
              <w:t xml:space="preserve"> de l’Union européenne</w:t>
            </w:r>
          </w:p>
        </w:tc>
        <w:tc>
          <w:tcPr>
            <w:tcW w:w="1207" w:type="dxa"/>
            <w:shd w:val="clear" w:color="auto" w:fill="auto"/>
          </w:tcPr>
          <w:p>
            <w:pPr>
              <w:jc w:val="center"/>
              <w:rPr>
                <w:noProof/>
                <w:sz w:val="20"/>
              </w:rPr>
            </w:pPr>
            <w:r>
              <w:rPr>
                <w:noProof/>
                <w:sz w:val="20"/>
              </w:rPr>
              <w:t>1</w:t>
            </w:r>
          </w:p>
        </w:tc>
        <w:tc>
          <w:tcPr>
            <w:tcW w:w="1157" w:type="dxa"/>
            <w:shd w:val="clear" w:color="auto" w:fill="auto"/>
          </w:tcPr>
          <w:p>
            <w:pPr>
              <w:jc w:val="center"/>
              <w:rPr>
                <w:noProof/>
                <w:sz w:val="20"/>
              </w:rPr>
            </w:pPr>
            <w:r>
              <w:rPr>
                <w:noProof/>
                <w:sz w:val="20"/>
              </w:rPr>
              <w:t>2</w:t>
            </w:r>
          </w:p>
        </w:tc>
        <w:tc>
          <w:tcPr>
            <w:tcW w:w="3022" w:type="dxa"/>
            <w:shd w:val="clear" w:color="auto" w:fill="auto"/>
          </w:tcPr>
          <w:p>
            <w:pPr>
              <w:jc w:val="left"/>
              <w:rPr>
                <w:noProof/>
                <w:sz w:val="20"/>
              </w:rPr>
            </w:pPr>
            <w:r>
              <w:rPr>
                <w:i/>
                <w:noProof/>
                <w:color w:val="000000"/>
                <w:sz w:val="20"/>
              </w:rPr>
              <w:t>Riksdag</w:t>
            </w:r>
            <w:r>
              <w:rPr>
                <w:noProof/>
                <w:sz w:val="20"/>
              </w:rPr>
              <w:t xml:space="preserve"> suédois (2 voix)</w:t>
            </w:r>
          </w:p>
        </w:tc>
      </w:tr>
      <w:tr>
        <w:trPr>
          <w:cantSplit/>
        </w:trPr>
        <w:tc>
          <w:tcPr>
            <w:tcW w:w="414" w:type="dxa"/>
            <w:shd w:val="clear" w:color="auto" w:fill="auto"/>
          </w:tcPr>
          <w:p>
            <w:pPr>
              <w:jc w:val="left"/>
              <w:rPr>
                <w:noProof/>
                <w:sz w:val="20"/>
              </w:rPr>
            </w:pPr>
            <w:r>
              <w:rPr>
                <w:noProof/>
                <w:sz w:val="20"/>
              </w:rPr>
              <w:t>15</w:t>
            </w:r>
          </w:p>
        </w:tc>
        <w:tc>
          <w:tcPr>
            <w:tcW w:w="1977" w:type="dxa"/>
            <w:shd w:val="clear" w:color="auto" w:fill="auto"/>
          </w:tcPr>
          <w:p>
            <w:pPr>
              <w:jc w:val="left"/>
              <w:rPr>
                <w:noProof/>
                <w:color w:val="000000"/>
                <w:sz w:val="20"/>
              </w:rPr>
            </w:pPr>
            <w:r>
              <w:rPr>
                <w:noProof/>
                <w:color w:val="000000"/>
                <w:sz w:val="20"/>
              </w:rPr>
              <w:t>COM(2018) 373</w:t>
            </w:r>
          </w:p>
        </w:tc>
        <w:tc>
          <w:tcPr>
            <w:tcW w:w="2811" w:type="dxa"/>
            <w:shd w:val="clear" w:color="auto" w:fill="auto"/>
          </w:tcPr>
          <w:p>
            <w:pPr>
              <w:rPr>
                <w:noProof/>
                <w:color w:val="000000"/>
                <w:sz w:val="20"/>
              </w:rPr>
            </w:pPr>
            <w:r>
              <w:rPr>
                <w:noProof/>
                <w:color w:val="000000"/>
                <w:sz w:val="20"/>
              </w:rPr>
              <w:t xml:space="preserve">Proposition de règlement du Parlement européen et du Conseil relatif à la création d’un </w:t>
            </w:r>
            <w:r>
              <w:rPr>
                <w:b/>
                <w:noProof/>
                <w:color w:val="000000"/>
                <w:sz w:val="20"/>
              </w:rPr>
              <w:t>mécanisme visant à lever les obstacles juridiques et administratifs dans un contexte transfrontalier</w:t>
            </w:r>
          </w:p>
        </w:tc>
        <w:tc>
          <w:tcPr>
            <w:tcW w:w="1207" w:type="dxa"/>
            <w:shd w:val="clear" w:color="auto" w:fill="auto"/>
          </w:tcPr>
          <w:p>
            <w:pPr>
              <w:jc w:val="center"/>
              <w:rPr>
                <w:noProof/>
                <w:sz w:val="20"/>
              </w:rPr>
            </w:pPr>
            <w:r>
              <w:rPr>
                <w:noProof/>
                <w:sz w:val="20"/>
              </w:rPr>
              <w:t>1</w:t>
            </w:r>
          </w:p>
        </w:tc>
        <w:tc>
          <w:tcPr>
            <w:tcW w:w="1157" w:type="dxa"/>
            <w:shd w:val="clear" w:color="auto" w:fill="auto"/>
          </w:tcPr>
          <w:p>
            <w:pPr>
              <w:jc w:val="center"/>
              <w:rPr>
                <w:noProof/>
                <w:sz w:val="20"/>
              </w:rPr>
            </w:pPr>
            <w:r>
              <w:rPr>
                <w:noProof/>
                <w:sz w:val="20"/>
              </w:rPr>
              <w:t>2</w:t>
            </w:r>
          </w:p>
        </w:tc>
        <w:tc>
          <w:tcPr>
            <w:tcW w:w="3022" w:type="dxa"/>
            <w:tcBorders>
              <w:bottom w:val="single" w:sz="4" w:space="0" w:color="auto"/>
            </w:tcBorders>
            <w:shd w:val="clear" w:color="auto" w:fill="auto"/>
          </w:tcPr>
          <w:p>
            <w:pPr>
              <w:jc w:val="left"/>
              <w:rPr>
                <w:noProof/>
                <w:sz w:val="20"/>
              </w:rPr>
            </w:pPr>
            <w:r>
              <w:rPr>
                <w:i/>
                <w:noProof/>
                <w:sz w:val="20"/>
              </w:rPr>
              <w:t>Riksdag</w:t>
            </w:r>
            <w:r>
              <w:rPr>
                <w:noProof/>
                <w:sz w:val="20"/>
              </w:rPr>
              <w:t xml:space="preserve"> suédois (2 voix) </w:t>
            </w:r>
          </w:p>
        </w:tc>
      </w:tr>
      <w:tr>
        <w:trPr>
          <w:cantSplit/>
        </w:trPr>
        <w:tc>
          <w:tcPr>
            <w:tcW w:w="414" w:type="dxa"/>
            <w:shd w:val="clear" w:color="auto" w:fill="auto"/>
          </w:tcPr>
          <w:p>
            <w:pPr>
              <w:jc w:val="left"/>
              <w:rPr>
                <w:noProof/>
                <w:sz w:val="20"/>
              </w:rPr>
            </w:pPr>
            <w:r>
              <w:rPr>
                <w:noProof/>
                <w:sz w:val="20"/>
              </w:rPr>
              <w:t>16</w:t>
            </w:r>
          </w:p>
        </w:tc>
        <w:tc>
          <w:tcPr>
            <w:tcW w:w="1977" w:type="dxa"/>
            <w:shd w:val="clear" w:color="auto" w:fill="auto"/>
          </w:tcPr>
          <w:p>
            <w:pPr>
              <w:jc w:val="left"/>
              <w:rPr>
                <w:noProof/>
                <w:color w:val="000000"/>
                <w:sz w:val="20"/>
              </w:rPr>
            </w:pPr>
            <w:r>
              <w:rPr>
                <w:noProof/>
                <w:color w:val="000000"/>
                <w:sz w:val="20"/>
              </w:rPr>
              <w:t>COM(2018) 380</w:t>
            </w:r>
          </w:p>
        </w:tc>
        <w:tc>
          <w:tcPr>
            <w:tcW w:w="2811" w:type="dxa"/>
            <w:shd w:val="clear" w:color="auto" w:fill="auto"/>
          </w:tcPr>
          <w:p>
            <w:pPr>
              <w:rPr>
                <w:noProof/>
                <w:color w:val="000000"/>
                <w:sz w:val="20"/>
              </w:rPr>
            </w:pPr>
            <w:r>
              <w:rPr>
                <w:noProof/>
                <w:color w:val="000000"/>
                <w:sz w:val="20"/>
              </w:rPr>
              <w:t xml:space="preserve">Proposition de règlement du Parlement européen et du Conseil relatif au </w:t>
            </w:r>
            <w:r>
              <w:rPr>
                <w:b/>
                <w:noProof/>
                <w:color w:val="000000"/>
                <w:sz w:val="20"/>
              </w:rPr>
              <w:t>Fonds européen d’ajustement à la mondialisation</w:t>
            </w:r>
            <w:r>
              <w:rPr>
                <w:noProof/>
                <w:color w:val="000000"/>
                <w:sz w:val="20"/>
              </w:rPr>
              <w:t xml:space="preserve"> (FEM)</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i/>
                <w:noProof/>
                <w:color w:val="000000"/>
                <w:sz w:val="20"/>
              </w:rPr>
              <w:t>Riksdag</w:t>
            </w:r>
            <w:r>
              <w:rPr>
                <w:noProof/>
                <w:sz w:val="20"/>
              </w:rPr>
              <w:t xml:space="preserve"> suédois (2 voix)</w:t>
            </w:r>
          </w:p>
        </w:tc>
      </w:tr>
      <w:tr>
        <w:trPr>
          <w:cantSplit/>
        </w:trPr>
        <w:tc>
          <w:tcPr>
            <w:tcW w:w="414" w:type="dxa"/>
            <w:shd w:val="clear" w:color="auto" w:fill="auto"/>
          </w:tcPr>
          <w:p>
            <w:pPr>
              <w:jc w:val="left"/>
              <w:rPr>
                <w:noProof/>
                <w:sz w:val="20"/>
              </w:rPr>
            </w:pPr>
            <w:r>
              <w:rPr>
                <w:noProof/>
                <w:sz w:val="20"/>
              </w:rPr>
              <w:t>17</w:t>
            </w:r>
          </w:p>
        </w:tc>
        <w:tc>
          <w:tcPr>
            <w:tcW w:w="1977" w:type="dxa"/>
            <w:shd w:val="clear" w:color="auto" w:fill="auto"/>
          </w:tcPr>
          <w:p>
            <w:pPr>
              <w:jc w:val="left"/>
              <w:rPr>
                <w:noProof/>
                <w:color w:val="000000"/>
                <w:sz w:val="20"/>
              </w:rPr>
            </w:pPr>
            <w:r>
              <w:rPr>
                <w:noProof/>
                <w:color w:val="000000"/>
                <w:sz w:val="20"/>
              </w:rPr>
              <w:t>COM(2018) 478 et COM(2018) 480</w:t>
            </w:r>
          </w:p>
        </w:tc>
        <w:tc>
          <w:tcPr>
            <w:tcW w:w="2811" w:type="dxa"/>
            <w:shd w:val="clear" w:color="auto" w:fill="auto"/>
          </w:tcPr>
          <w:p>
            <w:pPr>
              <w:rPr>
                <w:noProof/>
                <w:color w:val="000000"/>
                <w:sz w:val="20"/>
              </w:rPr>
            </w:pPr>
            <w:r>
              <w:rPr>
                <w:rStyle w:val="iceouttxt38"/>
                <w:noProof/>
                <w:color w:val="494949"/>
                <w:sz w:val="20"/>
              </w:rPr>
              <w:t>Proposition modifiée de</w:t>
            </w:r>
            <w:r>
              <w:rPr>
                <w:noProof/>
              </w:rPr>
              <w:t xml:space="preserve"> </w:t>
            </w:r>
            <w:r>
              <w:rPr>
                <w:noProof/>
                <w:color w:val="000000"/>
                <w:sz w:val="20"/>
              </w:rPr>
              <w:t>règlement du Parlement européen et du Conseil</w:t>
            </w:r>
            <w:r>
              <w:rPr>
                <w:rStyle w:val="iceouttxt38"/>
                <w:noProof/>
                <w:color w:val="494949"/>
                <w:sz w:val="20"/>
              </w:rPr>
              <w:t xml:space="preserve"> portant établissement d’un </w:t>
            </w:r>
            <w:r>
              <w:rPr>
                <w:rStyle w:val="iceouttxt38"/>
                <w:b/>
                <w:noProof/>
                <w:color w:val="494949"/>
                <w:sz w:val="20"/>
              </w:rPr>
              <w:t>cadre pour l’interopérabilité des systèmes d’information de l’UE (frontières et visas)</w:t>
            </w:r>
            <w:r>
              <w:rPr>
                <w:rStyle w:val="iceouttxt38"/>
                <w:noProof/>
                <w:color w:val="494949"/>
                <w:sz w:val="20"/>
              </w:rPr>
              <w:t xml:space="preserve"> et modifiant la décision 2004/512/CE du Conseil, le règlement (CE) nº 767/2008, la décision 2008/633/JAI du Conseil, le règlement (UE) 2016/399, le règlement (UE) 2017/2226, le règlement (UE) 2018/XX [le règlement ETIAS], le règlement (UE) 2018/XX [le règlement SIS dans le domaine des vérifications aux frontières] et le règlement (UE) 2018/XX [le règlement eu-LISA]</w:t>
            </w:r>
            <w:r>
              <w:rPr>
                <w:noProof/>
              </w:rPr>
              <w:br/>
            </w:r>
            <w:r>
              <w:rPr>
                <w:rStyle w:val="iceouttxt38"/>
                <w:noProof/>
                <w:color w:val="494949"/>
                <w:sz w:val="20"/>
              </w:rPr>
              <w:t xml:space="preserve"> Proposition modifiée de</w:t>
            </w:r>
            <w:r>
              <w:rPr>
                <w:noProof/>
                <w:color w:val="000000"/>
                <w:sz w:val="20"/>
              </w:rPr>
              <w:t xml:space="preserve"> règlement du Parlement européen et du Conseil</w:t>
            </w:r>
            <w:r>
              <w:rPr>
                <w:rStyle w:val="iceouttxt38"/>
                <w:noProof/>
                <w:color w:val="494949"/>
                <w:sz w:val="20"/>
              </w:rPr>
              <w:t xml:space="preserve"> portant établissement d’un </w:t>
            </w:r>
            <w:r>
              <w:rPr>
                <w:rStyle w:val="iceouttxt38"/>
                <w:b/>
                <w:noProof/>
                <w:color w:val="494949"/>
                <w:sz w:val="20"/>
              </w:rPr>
              <w:t>cadre pour l’interopérabilité des systèmes d’information de l’UE (coopération policière et judiciaire, asile et migration)</w:t>
            </w:r>
            <w:r>
              <w:rPr>
                <w:rStyle w:val="iceouttxt38"/>
                <w:noProof/>
                <w:color w:val="494949"/>
                <w:sz w:val="20"/>
              </w:rPr>
              <w:t xml:space="preserve"> et modifiant [le règlement (UE) 2018/XX [le règlement Eurodac],] le règlement (UE) 2018/XX [le règlement SIS dans le domaine répressif], le règlement (UE) 2018/XX [le règlement ECRIS-TCN] et le règlement (UE) 2018/XX [le règlement eu-LISA]</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2</w:t>
            </w:r>
          </w:p>
        </w:tc>
        <w:tc>
          <w:tcPr>
            <w:tcW w:w="3022" w:type="dxa"/>
            <w:tcBorders>
              <w:bottom w:val="single" w:sz="4" w:space="0" w:color="auto"/>
            </w:tcBorders>
            <w:shd w:val="clear" w:color="auto" w:fill="auto"/>
          </w:tcPr>
          <w:p>
            <w:pPr>
              <w:jc w:val="left"/>
              <w:rPr>
                <w:noProof/>
                <w:sz w:val="20"/>
              </w:rPr>
            </w:pPr>
            <w:r>
              <w:rPr>
                <w:i/>
                <w:noProof/>
                <w:sz w:val="20"/>
              </w:rPr>
              <w:t>Dáil</w:t>
            </w:r>
            <w:r>
              <w:rPr>
                <w:i/>
                <w:noProof/>
                <w:color w:val="000000"/>
                <w:sz w:val="20"/>
              </w:rPr>
              <w:t xml:space="preserve"> Éireann</w:t>
            </w:r>
            <w:r>
              <w:rPr>
                <w:noProof/>
                <w:color w:val="000000"/>
                <w:sz w:val="20"/>
              </w:rPr>
              <w:t xml:space="preserve"> et </w:t>
            </w:r>
            <w:r>
              <w:rPr>
                <w:i/>
                <w:noProof/>
                <w:color w:val="000000"/>
                <w:sz w:val="20"/>
              </w:rPr>
              <w:t>Seanad Éireann</w:t>
            </w:r>
            <w:r>
              <w:rPr>
                <w:noProof/>
                <w:color w:val="000000"/>
                <w:sz w:val="20"/>
              </w:rPr>
              <w:t xml:space="preserve"> irlandais </w:t>
            </w:r>
            <w:r>
              <w:rPr>
                <w:noProof/>
                <w:sz w:val="20"/>
              </w:rPr>
              <w:t xml:space="preserve">(2 voix) </w:t>
            </w:r>
          </w:p>
          <w:p>
            <w:pPr>
              <w:jc w:val="left"/>
              <w:rPr>
                <w:noProof/>
                <w:sz w:val="20"/>
              </w:rPr>
            </w:pPr>
          </w:p>
        </w:tc>
      </w:tr>
      <w:tr>
        <w:trPr>
          <w:cantSplit/>
        </w:trPr>
        <w:tc>
          <w:tcPr>
            <w:tcW w:w="414" w:type="dxa"/>
            <w:shd w:val="clear" w:color="auto" w:fill="auto"/>
          </w:tcPr>
          <w:p>
            <w:pPr>
              <w:jc w:val="left"/>
              <w:rPr>
                <w:noProof/>
                <w:sz w:val="20"/>
              </w:rPr>
            </w:pPr>
            <w:r>
              <w:rPr>
                <w:noProof/>
                <w:sz w:val="20"/>
              </w:rPr>
              <w:t>18</w:t>
            </w:r>
          </w:p>
        </w:tc>
        <w:tc>
          <w:tcPr>
            <w:tcW w:w="1977" w:type="dxa"/>
            <w:shd w:val="clear" w:color="auto" w:fill="auto"/>
          </w:tcPr>
          <w:p>
            <w:pPr>
              <w:jc w:val="left"/>
              <w:rPr>
                <w:noProof/>
                <w:color w:val="000000"/>
                <w:sz w:val="20"/>
              </w:rPr>
            </w:pPr>
            <w:r>
              <w:rPr>
                <w:noProof/>
                <w:color w:val="000000"/>
                <w:sz w:val="20"/>
              </w:rPr>
              <w:t>COM(2017) 660</w:t>
            </w:r>
          </w:p>
        </w:tc>
        <w:tc>
          <w:tcPr>
            <w:tcW w:w="2811" w:type="dxa"/>
            <w:shd w:val="clear" w:color="auto" w:fill="auto"/>
          </w:tcPr>
          <w:p>
            <w:pPr>
              <w:rPr>
                <w:noProof/>
                <w:color w:val="000000"/>
                <w:sz w:val="20"/>
              </w:rPr>
            </w:pPr>
            <w:r>
              <w:rPr>
                <w:noProof/>
                <w:color w:val="000000"/>
                <w:sz w:val="20"/>
              </w:rPr>
              <w:t xml:space="preserve">Proposition de directive du Parlement européen et du Conseil modifiant la directive 2009/73/CE concernant des </w:t>
            </w:r>
            <w:r>
              <w:rPr>
                <w:b/>
                <w:noProof/>
                <w:color w:val="000000"/>
                <w:sz w:val="20"/>
              </w:rPr>
              <w:t>règles communes pour le marché intérieur du gaz naturel</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1</w:t>
            </w:r>
          </w:p>
        </w:tc>
        <w:tc>
          <w:tcPr>
            <w:tcW w:w="3022" w:type="dxa"/>
            <w:tcBorders>
              <w:bottom w:val="single" w:sz="4" w:space="0" w:color="auto"/>
            </w:tcBorders>
            <w:shd w:val="clear" w:color="auto" w:fill="auto"/>
          </w:tcPr>
          <w:p>
            <w:pPr>
              <w:jc w:val="left"/>
              <w:rPr>
                <w:noProof/>
                <w:sz w:val="20"/>
              </w:rPr>
            </w:pPr>
            <w:r>
              <w:rPr>
                <w:noProof/>
                <w:sz w:val="20"/>
              </w:rPr>
              <w:t xml:space="preserve">Sénat français (1 voix) </w:t>
            </w:r>
          </w:p>
        </w:tc>
      </w:tr>
      <w:tr>
        <w:trPr>
          <w:cantSplit/>
        </w:trPr>
        <w:tc>
          <w:tcPr>
            <w:tcW w:w="414" w:type="dxa"/>
            <w:shd w:val="clear" w:color="auto" w:fill="auto"/>
          </w:tcPr>
          <w:p>
            <w:pPr>
              <w:jc w:val="left"/>
              <w:rPr>
                <w:noProof/>
                <w:sz w:val="20"/>
              </w:rPr>
            </w:pPr>
            <w:r>
              <w:rPr>
                <w:noProof/>
                <w:sz w:val="20"/>
              </w:rPr>
              <w:t>19</w:t>
            </w:r>
          </w:p>
        </w:tc>
        <w:tc>
          <w:tcPr>
            <w:tcW w:w="1977" w:type="dxa"/>
            <w:shd w:val="clear" w:color="auto" w:fill="auto"/>
          </w:tcPr>
          <w:p>
            <w:pPr>
              <w:jc w:val="left"/>
              <w:rPr>
                <w:noProof/>
                <w:color w:val="000000"/>
                <w:sz w:val="20"/>
              </w:rPr>
            </w:pPr>
            <w:r>
              <w:rPr>
                <w:noProof/>
                <w:color w:val="000000"/>
                <w:sz w:val="20"/>
              </w:rPr>
              <w:t>COM(2017) 772</w:t>
            </w:r>
          </w:p>
        </w:tc>
        <w:tc>
          <w:tcPr>
            <w:tcW w:w="2811" w:type="dxa"/>
            <w:shd w:val="clear" w:color="auto" w:fill="auto"/>
          </w:tcPr>
          <w:p>
            <w:pPr>
              <w:rPr>
                <w:noProof/>
                <w:color w:val="000000"/>
                <w:sz w:val="20"/>
              </w:rPr>
            </w:pPr>
            <w:r>
              <w:rPr>
                <w:noProof/>
                <w:color w:val="000000"/>
                <w:sz w:val="20"/>
              </w:rPr>
              <w:t xml:space="preserve">Proposition de décision du Parlement européen et du Conseil modifiant la décision nº 1313/2013/UE relative au </w:t>
            </w:r>
            <w:r>
              <w:rPr>
                <w:b/>
                <w:noProof/>
                <w:color w:val="000000"/>
                <w:sz w:val="20"/>
              </w:rPr>
              <w:t>mécanisme de protection civile de l’Union</w:t>
            </w:r>
          </w:p>
        </w:tc>
        <w:tc>
          <w:tcPr>
            <w:tcW w:w="1207" w:type="dxa"/>
            <w:shd w:val="clear" w:color="auto" w:fill="auto"/>
          </w:tcPr>
          <w:p>
            <w:pPr>
              <w:jc w:val="center"/>
              <w:rPr>
                <w:noProof/>
                <w:color w:val="000000"/>
                <w:sz w:val="20"/>
              </w:rPr>
            </w:pPr>
            <w:r>
              <w:rPr>
                <w:noProof/>
                <w:color w:val="000000"/>
                <w:sz w:val="20"/>
              </w:rPr>
              <w:t>1</w:t>
            </w:r>
          </w:p>
        </w:tc>
        <w:tc>
          <w:tcPr>
            <w:tcW w:w="1157" w:type="dxa"/>
            <w:shd w:val="clear" w:color="auto" w:fill="auto"/>
          </w:tcPr>
          <w:p>
            <w:pPr>
              <w:jc w:val="center"/>
              <w:rPr>
                <w:noProof/>
                <w:color w:val="000000"/>
                <w:sz w:val="20"/>
              </w:rPr>
            </w:pPr>
            <w:r>
              <w:rPr>
                <w:noProof/>
                <w:color w:val="000000"/>
                <w:sz w:val="20"/>
              </w:rPr>
              <w:t>1</w:t>
            </w:r>
          </w:p>
        </w:tc>
        <w:tc>
          <w:tcPr>
            <w:tcW w:w="3022" w:type="dxa"/>
            <w:shd w:val="clear" w:color="auto" w:fill="auto"/>
          </w:tcPr>
          <w:p>
            <w:pPr>
              <w:jc w:val="left"/>
              <w:rPr>
                <w:noProof/>
                <w:sz w:val="20"/>
              </w:rPr>
            </w:pPr>
            <w:r>
              <w:rPr>
                <w:i/>
                <w:noProof/>
                <w:sz w:val="20"/>
              </w:rPr>
              <w:t>Poslanecká sněmovna</w:t>
            </w:r>
            <w:r>
              <w:rPr>
                <w:noProof/>
                <w:sz w:val="20"/>
              </w:rPr>
              <w:t xml:space="preserve"> tchèque (1 voix)</w:t>
            </w:r>
          </w:p>
        </w:tc>
      </w:tr>
      <w:tr>
        <w:trPr>
          <w:cantSplit/>
        </w:trPr>
        <w:tc>
          <w:tcPr>
            <w:tcW w:w="414" w:type="dxa"/>
            <w:shd w:val="clear" w:color="auto" w:fill="auto"/>
          </w:tcPr>
          <w:p>
            <w:pPr>
              <w:jc w:val="left"/>
              <w:rPr>
                <w:noProof/>
                <w:sz w:val="20"/>
              </w:rPr>
            </w:pPr>
            <w:r>
              <w:rPr>
                <w:noProof/>
                <w:sz w:val="20"/>
              </w:rPr>
              <w:t>20</w:t>
            </w:r>
          </w:p>
        </w:tc>
        <w:tc>
          <w:tcPr>
            <w:tcW w:w="1977" w:type="dxa"/>
            <w:shd w:val="clear" w:color="auto" w:fill="auto"/>
          </w:tcPr>
          <w:p>
            <w:pPr>
              <w:jc w:val="left"/>
              <w:rPr>
                <w:noProof/>
                <w:color w:val="000000"/>
                <w:sz w:val="20"/>
              </w:rPr>
            </w:pPr>
            <w:r>
              <w:rPr>
                <w:noProof/>
                <w:color w:val="000000"/>
                <w:sz w:val="20"/>
              </w:rPr>
              <w:t>COM(2018) 392</w:t>
            </w:r>
          </w:p>
        </w:tc>
        <w:tc>
          <w:tcPr>
            <w:tcW w:w="2811" w:type="dxa"/>
            <w:shd w:val="clear" w:color="auto" w:fill="auto"/>
          </w:tcPr>
          <w:p>
            <w:pPr>
              <w:rPr>
                <w:noProof/>
                <w:color w:val="000000"/>
                <w:sz w:val="20"/>
              </w:rPr>
            </w:pPr>
            <w:r>
              <w:rPr>
                <w:noProof/>
                <w:color w:val="000000"/>
                <w:sz w:val="20"/>
              </w:rPr>
              <w:t xml:space="preserve">Proposition de règlement du Parlement européen et du Conseil établissant des règles régissant l’aide aux </w:t>
            </w:r>
            <w:r>
              <w:rPr>
                <w:b/>
                <w:noProof/>
                <w:color w:val="000000"/>
                <w:sz w:val="20"/>
              </w:rPr>
              <w:t>plans stratégiques devant être établis par les États membres dans le cadre de la politique agricole commune</w:t>
            </w:r>
            <w:r>
              <w:rPr>
                <w:noProof/>
                <w:color w:val="000000"/>
                <w:sz w:val="20"/>
              </w:rPr>
              <w:t xml:space="preserve"> (les «plans stratégiques relevant de la PAC») et financés par le Fonds européen agricole de garantie (FEAGA) et par le Fonds européen agricole pour le développement rural (Feader), et abrogeant le règlement (UE) nº 1305/2013 du Parlement européen et du Conseil et le règlement (UE) nº 1307/2013 du Parlement européen et du Conseil</w:t>
            </w:r>
          </w:p>
        </w:tc>
        <w:tc>
          <w:tcPr>
            <w:tcW w:w="1207" w:type="dxa"/>
            <w:shd w:val="clear" w:color="auto" w:fill="auto"/>
          </w:tcPr>
          <w:p>
            <w:pPr>
              <w:jc w:val="center"/>
              <w:rPr>
                <w:noProof/>
                <w:sz w:val="20"/>
              </w:rPr>
            </w:pPr>
            <w:r>
              <w:rPr>
                <w:noProof/>
                <w:sz w:val="20"/>
              </w:rPr>
              <w:t>1</w:t>
            </w:r>
          </w:p>
        </w:tc>
        <w:tc>
          <w:tcPr>
            <w:tcW w:w="1157" w:type="dxa"/>
            <w:shd w:val="clear" w:color="auto" w:fill="auto"/>
          </w:tcPr>
          <w:p>
            <w:pPr>
              <w:jc w:val="center"/>
              <w:rPr>
                <w:noProof/>
                <w:sz w:val="20"/>
              </w:rPr>
            </w:pPr>
            <w:r>
              <w:rPr>
                <w:noProof/>
                <w:sz w:val="20"/>
              </w:rPr>
              <w:t>1</w:t>
            </w:r>
          </w:p>
        </w:tc>
        <w:tc>
          <w:tcPr>
            <w:tcW w:w="3022" w:type="dxa"/>
            <w:tcBorders>
              <w:bottom w:val="single" w:sz="4" w:space="0" w:color="auto"/>
            </w:tcBorders>
            <w:shd w:val="clear" w:color="auto" w:fill="auto"/>
          </w:tcPr>
          <w:p>
            <w:pPr>
              <w:jc w:val="left"/>
              <w:rPr>
                <w:noProof/>
                <w:sz w:val="20"/>
              </w:rPr>
            </w:pPr>
            <w:r>
              <w:rPr>
                <w:noProof/>
                <w:sz w:val="20"/>
              </w:rPr>
              <w:t xml:space="preserve">Assemblée nationale française (1 voix) </w:t>
            </w:r>
          </w:p>
        </w:tc>
      </w:tr>
      <w:tr>
        <w:trPr>
          <w:cantSplit/>
        </w:trPr>
        <w:tc>
          <w:tcPr>
            <w:tcW w:w="414" w:type="dxa"/>
            <w:shd w:val="clear" w:color="auto" w:fill="auto"/>
          </w:tcPr>
          <w:p>
            <w:pPr>
              <w:jc w:val="left"/>
              <w:rPr>
                <w:noProof/>
                <w:sz w:val="20"/>
              </w:rPr>
            </w:pPr>
            <w:r>
              <w:rPr>
                <w:noProof/>
                <w:sz w:val="20"/>
              </w:rPr>
              <w:t>21</w:t>
            </w:r>
          </w:p>
        </w:tc>
        <w:tc>
          <w:tcPr>
            <w:tcW w:w="1977" w:type="dxa"/>
            <w:shd w:val="clear" w:color="auto" w:fill="auto"/>
          </w:tcPr>
          <w:p>
            <w:pPr>
              <w:jc w:val="left"/>
              <w:rPr>
                <w:noProof/>
                <w:color w:val="000000"/>
                <w:sz w:val="20"/>
              </w:rPr>
            </w:pPr>
            <w:r>
              <w:rPr>
                <w:noProof/>
                <w:color w:val="000000"/>
                <w:sz w:val="20"/>
              </w:rPr>
              <w:t>COM(2018) 633</w:t>
            </w:r>
          </w:p>
        </w:tc>
        <w:tc>
          <w:tcPr>
            <w:tcW w:w="2811" w:type="dxa"/>
            <w:shd w:val="clear" w:color="auto" w:fill="auto"/>
          </w:tcPr>
          <w:p>
            <w:pPr>
              <w:rPr>
                <w:noProof/>
                <w:color w:val="000000"/>
                <w:sz w:val="20"/>
              </w:rPr>
            </w:pPr>
            <w:r>
              <w:rPr>
                <w:noProof/>
                <w:color w:val="000000"/>
                <w:sz w:val="20"/>
              </w:rPr>
              <w:t>Proposition modifiée de règlement du Parlement européen et du Conseil relatif à l’</w:t>
            </w:r>
            <w:r>
              <w:rPr>
                <w:b/>
                <w:noProof/>
                <w:color w:val="000000"/>
                <w:sz w:val="20"/>
              </w:rPr>
              <w:t>Agence de l’Union européenne pour l’asile</w:t>
            </w:r>
            <w:r>
              <w:rPr>
                <w:noProof/>
                <w:color w:val="000000"/>
                <w:sz w:val="20"/>
              </w:rPr>
              <w:t xml:space="preserve"> et abrogeant le règlement (UE) nº 439/2010 - Contribution de la Commission européenne à la réunion des dirigeants à Salzbourg, les 19 et 20 septembre 2018</w:t>
            </w:r>
          </w:p>
        </w:tc>
        <w:tc>
          <w:tcPr>
            <w:tcW w:w="1207" w:type="dxa"/>
            <w:shd w:val="clear" w:color="auto" w:fill="auto"/>
          </w:tcPr>
          <w:p>
            <w:pPr>
              <w:jc w:val="center"/>
              <w:rPr>
                <w:noProof/>
                <w:sz w:val="20"/>
              </w:rPr>
            </w:pPr>
            <w:r>
              <w:rPr>
                <w:noProof/>
                <w:sz w:val="20"/>
              </w:rPr>
              <w:t>1</w:t>
            </w:r>
          </w:p>
        </w:tc>
        <w:tc>
          <w:tcPr>
            <w:tcW w:w="1157" w:type="dxa"/>
            <w:shd w:val="clear" w:color="auto" w:fill="auto"/>
          </w:tcPr>
          <w:p>
            <w:pPr>
              <w:jc w:val="center"/>
              <w:rPr>
                <w:noProof/>
                <w:sz w:val="20"/>
              </w:rPr>
            </w:pPr>
            <w:r>
              <w:rPr>
                <w:noProof/>
                <w:sz w:val="20"/>
              </w:rPr>
              <w:t>1</w:t>
            </w:r>
          </w:p>
        </w:tc>
        <w:tc>
          <w:tcPr>
            <w:tcW w:w="3022" w:type="dxa"/>
            <w:tcBorders>
              <w:bottom w:val="single" w:sz="4" w:space="0" w:color="auto"/>
            </w:tcBorders>
            <w:shd w:val="clear" w:color="auto" w:fill="auto"/>
          </w:tcPr>
          <w:p>
            <w:pPr>
              <w:jc w:val="left"/>
              <w:rPr>
                <w:noProof/>
                <w:sz w:val="20"/>
                <w:lang w:val="it-IT"/>
              </w:rPr>
            </w:pPr>
            <w:r>
              <w:rPr>
                <w:i/>
                <w:noProof/>
                <w:sz w:val="20"/>
                <w:lang w:val="it-IT"/>
              </w:rPr>
              <w:t>Senato della Repubblica</w:t>
            </w:r>
            <w:r>
              <w:rPr>
                <w:noProof/>
                <w:sz w:val="20"/>
                <w:lang w:val="it-IT"/>
              </w:rPr>
              <w:t xml:space="preserve"> italien (1 voix) </w:t>
            </w:r>
          </w:p>
        </w:tc>
      </w:tr>
      <w:tr>
        <w:trPr>
          <w:cantSplit/>
        </w:trPr>
        <w:tc>
          <w:tcPr>
            <w:tcW w:w="414" w:type="dxa"/>
            <w:shd w:val="clear" w:color="auto" w:fill="auto"/>
          </w:tcPr>
          <w:p>
            <w:pPr>
              <w:jc w:val="left"/>
              <w:rPr>
                <w:noProof/>
                <w:sz w:val="20"/>
              </w:rPr>
            </w:pPr>
            <w:r>
              <w:rPr>
                <w:noProof/>
                <w:sz w:val="20"/>
              </w:rPr>
              <w:t>22</w:t>
            </w:r>
          </w:p>
        </w:tc>
        <w:tc>
          <w:tcPr>
            <w:tcW w:w="1977" w:type="dxa"/>
            <w:shd w:val="clear" w:color="auto" w:fill="auto"/>
          </w:tcPr>
          <w:p>
            <w:pPr>
              <w:jc w:val="left"/>
              <w:rPr>
                <w:noProof/>
                <w:color w:val="000000"/>
                <w:sz w:val="20"/>
              </w:rPr>
            </w:pPr>
            <w:r>
              <w:rPr>
                <w:noProof/>
                <w:color w:val="000000"/>
                <w:sz w:val="20"/>
              </w:rPr>
              <w:t>COM(2018) 640</w:t>
            </w:r>
          </w:p>
        </w:tc>
        <w:tc>
          <w:tcPr>
            <w:tcW w:w="2811" w:type="dxa"/>
            <w:shd w:val="clear" w:color="auto" w:fill="auto"/>
          </w:tcPr>
          <w:p>
            <w:pPr>
              <w:rPr>
                <w:noProof/>
                <w:color w:val="000000"/>
                <w:sz w:val="20"/>
              </w:rPr>
            </w:pPr>
            <w:r>
              <w:rPr>
                <w:noProof/>
                <w:color w:val="000000"/>
                <w:sz w:val="20"/>
              </w:rPr>
              <w:t xml:space="preserve">Proposition de règlement du Parlement européen et du Conseil relatif à la </w:t>
            </w:r>
            <w:r>
              <w:rPr>
                <w:b/>
                <w:noProof/>
                <w:color w:val="000000"/>
                <w:sz w:val="20"/>
              </w:rPr>
              <w:t>prévention de la diffusion de contenus à caractère terroriste en ligne</w:t>
            </w:r>
            <w:r>
              <w:rPr>
                <w:noProof/>
                <w:color w:val="000000"/>
                <w:sz w:val="20"/>
              </w:rPr>
              <w:t xml:space="preserve"> - Une contribution de la Commission européenne à la réunion des dirigeants à Salzbourg les 19 et 20 septembre 2018</w:t>
            </w:r>
          </w:p>
        </w:tc>
        <w:tc>
          <w:tcPr>
            <w:tcW w:w="1207" w:type="dxa"/>
            <w:shd w:val="clear" w:color="auto" w:fill="auto"/>
          </w:tcPr>
          <w:p>
            <w:pPr>
              <w:jc w:val="center"/>
              <w:rPr>
                <w:noProof/>
                <w:sz w:val="20"/>
              </w:rPr>
            </w:pPr>
            <w:r>
              <w:rPr>
                <w:noProof/>
                <w:sz w:val="20"/>
              </w:rPr>
              <w:t>1</w:t>
            </w:r>
          </w:p>
        </w:tc>
        <w:tc>
          <w:tcPr>
            <w:tcW w:w="1157" w:type="dxa"/>
            <w:shd w:val="clear" w:color="auto" w:fill="auto"/>
          </w:tcPr>
          <w:p>
            <w:pPr>
              <w:jc w:val="center"/>
              <w:rPr>
                <w:noProof/>
                <w:sz w:val="20"/>
              </w:rPr>
            </w:pPr>
            <w:r>
              <w:rPr>
                <w:noProof/>
                <w:sz w:val="20"/>
              </w:rPr>
              <w:t>1</w:t>
            </w:r>
          </w:p>
        </w:tc>
        <w:tc>
          <w:tcPr>
            <w:tcW w:w="3022" w:type="dxa"/>
            <w:tcBorders>
              <w:bottom w:val="single" w:sz="4" w:space="0" w:color="auto"/>
            </w:tcBorders>
            <w:shd w:val="clear" w:color="auto" w:fill="auto"/>
          </w:tcPr>
          <w:p>
            <w:pPr>
              <w:jc w:val="left"/>
              <w:rPr>
                <w:noProof/>
                <w:sz w:val="20"/>
              </w:rPr>
            </w:pPr>
            <w:r>
              <w:rPr>
                <w:i/>
                <w:noProof/>
                <w:sz w:val="20"/>
              </w:rPr>
              <w:t>Poslanecká sněmovna</w:t>
            </w:r>
            <w:r>
              <w:rPr>
                <w:noProof/>
                <w:sz w:val="20"/>
              </w:rPr>
              <w:t xml:space="preserve"> tchèque (1 voix)</w:t>
            </w:r>
          </w:p>
        </w:tc>
      </w:tr>
      <w:tr>
        <w:trPr>
          <w:cantSplit/>
        </w:trPr>
        <w:tc>
          <w:tcPr>
            <w:tcW w:w="5202" w:type="dxa"/>
            <w:gridSpan w:val="3"/>
            <w:shd w:val="clear" w:color="auto" w:fill="auto"/>
          </w:tcPr>
          <w:p>
            <w:pPr>
              <w:jc w:val="left"/>
              <w:rPr>
                <w:noProof/>
                <w:color w:val="000000"/>
                <w:sz w:val="20"/>
              </w:rPr>
            </w:pPr>
            <w:r>
              <w:rPr>
                <w:b/>
                <w:noProof/>
                <w:sz w:val="20"/>
              </w:rPr>
              <w:t>Nombre TOTAL d’avis motivés reçus</w:t>
            </w:r>
          </w:p>
        </w:tc>
        <w:tc>
          <w:tcPr>
            <w:tcW w:w="1207" w:type="dxa"/>
            <w:tcBorders>
              <w:right w:val="nil"/>
            </w:tcBorders>
            <w:shd w:val="clear" w:color="auto" w:fill="auto"/>
          </w:tcPr>
          <w:p>
            <w:pPr>
              <w:jc w:val="center"/>
              <w:rPr>
                <w:b/>
                <w:noProof/>
                <w:sz w:val="20"/>
              </w:rPr>
            </w:pPr>
            <w:r>
              <w:rPr>
                <w:b/>
                <w:noProof/>
                <w:sz w:val="20"/>
              </w:rPr>
              <w:t>37</w:t>
            </w:r>
          </w:p>
        </w:tc>
        <w:tc>
          <w:tcPr>
            <w:tcW w:w="1157" w:type="dxa"/>
            <w:tcBorders>
              <w:left w:val="nil"/>
              <w:right w:val="nil"/>
            </w:tcBorders>
            <w:shd w:val="clear" w:color="auto" w:fill="auto"/>
          </w:tcPr>
          <w:p>
            <w:pPr>
              <w:jc w:val="center"/>
              <w:rPr>
                <w:noProof/>
                <w:sz w:val="20"/>
              </w:rPr>
            </w:pPr>
          </w:p>
        </w:tc>
        <w:tc>
          <w:tcPr>
            <w:tcW w:w="3022" w:type="dxa"/>
            <w:tcBorders>
              <w:left w:val="nil"/>
              <w:bottom w:val="single" w:sz="4" w:space="0" w:color="auto"/>
            </w:tcBorders>
            <w:shd w:val="clear" w:color="auto" w:fill="auto"/>
          </w:tcPr>
          <w:p>
            <w:pPr>
              <w:jc w:val="left"/>
              <w:rPr>
                <w:noProof/>
                <w:sz w:val="20"/>
              </w:rPr>
            </w:pPr>
          </w:p>
        </w:tc>
      </w:tr>
    </w:tbl>
    <w:p>
      <w:pPr>
        <w:rPr>
          <w:noProof/>
        </w:rPr>
      </w:pPr>
    </w:p>
    <w:p>
      <w:pPr>
        <w:jc w:val="left"/>
        <w:rPr>
          <w:b/>
          <w:noProof/>
          <w:u w:val="single"/>
        </w:rPr>
      </w:pPr>
      <w:r>
        <w:rPr>
          <w:noProof/>
        </w:rPr>
        <w:br w:type="page"/>
      </w:r>
    </w:p>
    <w:p>
      <w:pPr>
        <w:spacing w:after="240"/>
        <w:jc w:val="center"/>
        <w:rPr>
          <w:b/>
          <w:noProof/>
          <w:u w:val="single"/>
        </w:rPr>
      </w:pPr>
      <w:r>
        <w:rPr>
          <w:b/>
          <w:noProof/>
          <w:u w:val="single"/>
        </w:rPr>
        <w:t>ANNEXE 2</w:t>
      </w:r>
    </w:p>
    <w:p>
      <w:pPr>
        <w:spacing w:after="240"/>
        <w:jc w:val="center"/>
        <w:rPr>
          <w:b/>
          <w:noProof/>
        </w:rPr>
      </w:pPr>
      <w:r>
        <w:rPr>
          <w:b/>
          <w:noProof/>
        </w:rPr>
        <w:t>Nombre d’avis reçus par la Commission en 2018 par parlement national/chambre nationale (dialogue politique et mécanisme de contrôle de la subsidiarité)</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9"/>
        <w:gridCol w:w="3609"/>
        <w:gridCol w:w="1660"/>
        <w:gridCol w:w="2364"/>
      </w:tblGrid>
      <w:tr>
        <w:trPr>
          <w:cantSplit/>
          <w:tblHeader/>
        </w:trPr>
        <w:tc>
          <w:tcPr>
            <w:tcW w:w="1909" w:type="dxa"/>
            <w:shd w:val="clear" w:color="auto" w:fill="auto"/>
            <w:vAlign w:val="center"/>
          </w:tcPr>
          <w:p>
            <w:pPr>
              <w:spacing w:before="60" w:after="60"/>
              <w:jc w:val="center"/>
              <w:rPr>
                <w:b/>
                <w:bCs/>
                <w:noProof/>
                <w:color w:val="000000"/>
                <w:sz w:val="20"/>
              </w:rPr>
            </w:pPr>
            <w:r>
              <w:rPr>
                <w:b/>
                <w:noProof/>
                <w:color w:val="000000"/>
                <w:sz w:val="20"/>
              </w:rPr>
              <w:t>État membre</w:t>
            </w:r>
          </w:p>
        </w:tc>
        <w:tc>
          <w:tcPr>
            <w:tcW w:w="3609" w:type="dxa"/>
            <w:shd w:val="clear" w:color="auto" w:fill="auto"/>
            <w:vAlign w:val="center"/>
          </w:tcPr>
          <w:p>
            <w:pPr>
              <w:spacing w:before="60" w:after="60"/>
              <w:jc w:val="center"/>
              <w:rPr>
                <w:b/>
                <w:bCs/>
                <w:noProof/>
                <w:color w:val="000000"/>
                <w:sz w:val="20"/>
              </w:rPr>
            </w:pPr>
            <w:r>
              <w:rPr>
                <w:b/>
                <w:noProof/>
                <w:color w:val="000000"/>
                <w:sz w:val="20"/>
              </w:rPr>
              <w:t>Chambre</w:t>
            </w:r>
          </w:p>
        </w:tc>
        <w:tc>
          <w:tcPr>
            <w:tcW w:w="1660" w:type="dxa"/>
            <w:shd w:val="clear" w:color="auto" w:fill="auto"/>
            <w:vAlign w:val="center"/>
          </w:tcPr>
          <w:p>
            <w:pPr>
              <w:spacing w:before="60" w:after="60"/>
              <w:jc w:val="center"/>
              <w:rPr>
                <w:b/>
                <w:bCs/>
                <w:noProof/>
                <w:color w:val="000000"/>
                <w:sz w:val="20"/>
              </w:rPr>
            </w:pPr>
            <w:r>
              <w:rPr>
                <w:b/>
                <w:noProof/>
                <w:color w:val="000000"/>
                <w:sz w:val="20"/>
              </w:rPr>
              <w:t>Nombre total d’avis</w:t>
            </w:r>
            <w:r>
              <w:rPr>
                <w:rStyle w:val="FootnoteReference"/>
                <w:noProof/>
                <w:sz w:val="20"/>
              </w:rPr>
              <w:footnoteReference w:id="4"/>
            </w:r>
          </w:p>
        </w:tc>
        <w:tc>
          <w:tcPr>
            <w:tcW w:w="2364" w:type="dxa"/>
            <w:shd w:val="clear" w:color="auto" w:fill="auto"/>
            <w:vAlign w:val="center"/>
          </w:tcPr>
          <w:p>
            <w:pPr>
              <w:spacing w:before="60" w:after="60"/>
              <w:jc w:val="center"/>
              <w:rPr>
                <w:b/>
                <w:bCs/>
                <w:noProof/>
                <w:color w:val="000000"/>
                <w:sz w:val="20"/>
              </w:rPr>
            </w:pPr>
            <w:r>
              <w:rPr>
                <w:b/>
                <w:noProof/>
                <w:color w:val="000000"/>
                <w:sz w:val="20"/>
              </w:rPr>
              <w:t xml:space="preserve">Dont avis motivés </w:t>
            </w:r>
            <w:r>
              <w:rPr>
                <w:b/>
                <w:noProof/>
                <w:sz w:val="20"/>
              </w:rPr>
              <w:t>(protocole nº 2)</w:t>
            </w:r>
          </w:p>
        </w:tc>
      </w:tr>
      <w:tr>
        <w:trPr>
          <w:cantSplit/>
        </w:trPr>
        <w:tc>
          <w:tcPr>
            <w:tcW w:w="1909" w:type="dxa"/>
            <w:shd w:val="clear" w:color="auto" w:fill="auto"/>
            <w:vAlign w:val="center"/>
          </w:tcPr>
          <w:p>
            <w:pPr>
              <w:jc w:val="center"/>
              <w:rPr>
                <w:noProof/>
                <w:color w:val="000000"/>
                <w:sz w:val="20"/>
              </w:rPr>
            </w:pPr>
            <w:r>
              <w:rPr>
                <w:noProof/>
                <w:color w:val="000000"/>
                <w:sz w:val="20"/>
              </w:rPr>
              <w:t>Portugal</w:t>
            </w:r>
          </w:p>
        </w:tc>
        <w:tc>
          <w:tcPr>
            <w:tcW w:w="3609" w:type="dxa"/>
            <w:shd w:val="clear" w:color="auto" w:fill="auto"/>
            <w:vAlign w:val="center"/>
          </w:tcPr>
          <w:p>
            <w:pPr>
              <w:jc w:val="center"/>
              <w:rPr>
                <w:i/>
                <w:iCs/>
                <w:noProof/>
                <w:color w:val="000000"/>
                <w:sz w:val="20"/>
              </w:rPr>
            </w:pPr>
            <w:r>
              <w:rPr>
                <w:i/>
                <w:noProof/>
                <w:color w:val="000000"/>
                <w:sz w:val="20"/>
              </w:rPr>
              <w:t>Assembleia da Republica</w:t>
            </w:r>
          </w:p>
        </w:tc>
        <w:tc>
          <w:tcPr>
            <w:tcW w:w="1660" w:type="dxa"/>
            <w:shd w:val="clear" w:color="auto" w:fill="auto"/>
            <w:vAlign w:val="center"/>
          </w:tcPr>
          <w:p>
            <w:pPr>
              <w:jc w:val="center"/>
              <w:rPr>
                <w:noProof/>
                <w:color w:val="000000"/>
                <w:sz w:val="20"/>
              </w:rPr>
            </w:pPr>
            <w:r>
              <w:rPr>
                <w:noProof/>
                <w:color w:val="000000"/>
                <w:sz w:val="20"/>
              </w:rPr>
              <w:t>99</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République tchèque</w:t>
            </w:r>
          </w:p>
        </w:tc>
        <w:tc>
          <w:tcPr>
            <w:tcW w:w="3609" w:type="dxa"/>
            <w:shd w:val="clear" w:color="auto" w:fill="auto"/>
            <w:vAlign w:val="center"/>
          </w:tcPr>
          <w:p>
            <w:pPr>
              <w:jc w:val="center"/>
              <w:rPr>
                <w:i/>
                <w:iCs/>
                <w:noProof/>
                <w:color w:val="000000"/>
                <w:sz w:val="20"/>
              </w:rPr>
            </w:pPr>
            <w:r>
              <w:rPr>
                <w:i/>
                <w:noProof/>
                <w:color w:val="000000"/>
                <w:sz w:val="20"/>
              </w:rPr>
              <w:t>Senát</w:t>
            </w:r>
          </w:p>
        </w:tc>
        <w:tc>
          <w:tcPr>
            <w:tcW w:w="1660" w:type="dxa"/>
            <w:shd w:val="clear" w:color="auto" w:fill="auto"/>
            <w:vAlign w:val="center"/>
          </w:tcPr>
          <w:p>
            <w:pPr>
              <w:jc w:val="center"/>
              <w:rPr>
                <w:noProof/>
                <w:color w:val="000000"/>
                <w:sz w:val="20"/>
              </w:rPr>
            </w:pPr>
            <w:r>
              <w:rPr>
                <w:noProof/>
                <w:color w:val="000000"/>
                <w:sz w:val="20"/>
              </w:rPr>
              <w:t>81</w:t>
            </w:r>
          </w:p>
        </w:tc>
        <w:tc>
          <w:tcPr>
            <w:tcW w:w="2364" w:type="dxa"/>
            <w:shd w:val="clear" w:color="auto" w:fill="auto"/>
            <w:vAlign w:val="center"/>
          </w:tcPr>
          <w:p>
            <w:pPr>
              <w:jc w:val="center"/>
              <w:rPr>
                <w:noProof/>
                <w:color w:val="000000"/>
                <w:sz w:val="20"/>
              </w:rPr>
            </w:pPr>
            <w:r>
              <w:rPr>
                <w:noProof/>
                <w:color w:val="000000"/>
                <w:sz w:val="20"/>
              </w:rPr>
              <w:t>1</w:t>
            </w:r>
          </w:p>
        </w:tc>
      </w:tr>
      <w:tr>
        <w:trPr>
          <w:cantSplit/>
        </w:trPr>
        <w:tc>
          <w:tcPr>
            <w:tcW w:w="1909" w:type="dxa"/>
            <w:shd w:val="clear" w:color="auto" w:fill="auto"/>
            <w:vAlign w:val="center"/>
          </w:tcPr>
          <w:p>
            <w:pPr>
              <w:jc w:val="center"/>
              <w:rPr>
                <w:noProof/>
                <w:color w:val="000000"/>
                <w:sz w:val="20"/>
              </w:rPr>
            </w:pPr>
            <w:r>
              <w:rPr>
                <w:noProof/>
                <w:color w:val="000000"/>
                <w:sz w:val="20"/>
              </w:rPr>
              <w:t>Espagne</w:t>
            </w:r>
          </w:p>
        </w:tc>
        <w:tc>
          <w:tcPr>
            <w:tcW w:w="3609" w:type="dxa"/>
            <w:shd w:val="clear" w:color="auto" w:fill="auto"/>
            <w:vAlign w:val="center"/>
          </w:tcPr>
          <w:p>
            <w:pPr>
              <w:jc w:val="center"/>
              <w:rPr>
                <w:noProof/>
                <w:color w:val="000000"/>
                <w:sz w:val="20"/>
                <w:lang w:val="es-ES"/>
              </w:rPr>
            </w:pPr>
            <w:r>
              <w:rPr>
                <w:i/>
                <w:noProof/>
                <w:color w:val="000000"/>
                <w:sz w:val="20"/>
                <w:lang w:val="es-ES"/>
              </w:rPr>
              <w:t>Las Cortes Generales:</w:t>
            </w:r>
            <w:r>
              <w:rPr>
                <w:noProof/>
                <w:color w:val="000000"/>
                <w:sz w:val="20"/>
                <w:lang w:val="es-ES"/>
              </w:rPr>
              <w:br/>
            </w:r>
            <w:r>
              <w:rPr>
                <w:i/>
                <w:noProof/>
                <w:color w:val="000000"/>
                <w:sz w:val="20"/>
                <w:lang w:val="es-ES"/>
              </w:rPr>
              <w:t>Senado de España</w:t>
            </w:r>
            <w:r>
              <w:rPr>
                <w:noProof/>
                <w:color w:val="000000"/>
                <w:sz w:val="20"/>
                <w:lang w:val="es-ES"/>
              </w:rPr>
              <w:t xml:space="preserve"> et</w:t>
            </w:r>
            <w:r>
              <w:rPr>
                <w:noProof/>
                <w:color w:val="000000"/>
                <w:sz w:val="20"/>
                <w:lang w:val="es-ES"/>
              </w:rPr>
              <w:br/>
            </w:r>
            <w:r>
              <w:rPr>
                <w:i/>
                <w:noProof/>
                <w:color w:val="000000"/>
                <w:sz w:val="20"/>
                <w:lang w:val="es-ES"/>
              </w:rPr>
              <w:t>Congreso de los Diputados</w:t>
            </w:r>
          </w:p>
        </w:tc>
        <w:tc>
          <w:tcPr>
            <w:tcW w:w="1660" w:type="dxa"/>
            <w:shd w:val="clear" w:color="auto" w:fill="auto"/>
            <w:vAlign w:val="center"/>
          </w:tcPr>
          <w:p>
            <w:pPr>
              <w:jc w:val="center"/>
              <w:rPr>
                <w:noProof/>
                <w:color w:val="000000"/>
                <w:sz w:val="20"/>
              </w:rPr>
            </w:pPr>
            <w:r>
              <w:rPr>
                <w:noProof/>
                <w:color w:val="000000"/>
                <w:sz w:val="20"/>
              </w:rPr>
              <w:t>53</w:t>
            </w:r>
            <w:r>
              <w:rPr>
                <w:rStyle w:val="FootnoteReference"/>
                <w:noProof/>
                <w:color w:val="000000"/>
                <w:sz w:val="20"/>
              </w:rPr>
              <w:footnoteReference w:id="5"/>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Allemagne</w:t>
            </w:r>
          </w:p>
        </w:tc>
        <w:tc>
          <w:tcPr>
            <w:tcW w:w="3609" w:type="dxa"/>
            <w:shd w:val="clear" w:color="auto" w:fill="auto"/>
            <w:vAlign w:val="center"/>
          </w:tcPr>
          <w:p>
            <w:pPr>
              <w:jc w:val="center"/>
              <w:rPr>
                <w:i/>
                <w:iCs/>
                <w:noProof/>
                <w:color w:val="000000"/>
                <w:sz w:val="20"/>
              </w:rPr>
            </w:pPr>
            <w:r>
              <w:rPr>
                <w:i/>
                <w:noProof/>
                <w:color w:val="000000"/>
                <w:sz w:val="20"/>
              </w:rPr>
              <w:t>Bundesrat</w:t>
            </w:r>
          </w:p>
        </w:tc>
        <w:tc>
          <w:tcPr>
            <w:tcW w:w="1660" w:type="dxa"/>
            <w:shd w:val="clear" w:color="auto" w:fill="auto"/>
            <w:vAlign w:val="center"/>
          </w:tcPr>
          <w:p>
            <w:pPr>
              <w:jc w:val="center"/>
              <w:rPr>
                <w:noProof/>
                <w:color w:val="000000"/>
                <w:sz w:val="20"/>
              </w:rPr>
            </w:pPr>
            <w:r>
              <w:rPr>
                <w:noProof/>
                <w:color w:val="000000"/>
                <w:sz w:val="20"/>
              </w:rPr>
              <w:t>52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Roumanie</w:t>
            </w:r>
          </w:p>
        </w:tc>
        <w:tc>
          <w:tcPr>
            <w:tcW w:w="3609" w:type="dxa"/>
            <w:shd w:val="clear" w:color="auto" w:fill="auto"/>
            <w:vAlign w:val="center"/>
          </w:tcPr>
          <w:p>
            <w:pPr>
              <w:jc w:val="center"/>
              <w:rPr>
                <w:i/>
                <w:iCs/>
                <w:noProof/>
                <w:color w:val="000000"/>
                <w:sz w:val="20"/>
              </w:rPr>
            </w:pPr>
            <w:r>
              <w:rPr>
                <w:i/>
                <w:noProof/>
                <w:color w:val="000000"/>
                <w:sz w:val="20"/>
              </w:rPr>
              <w:t>Camera Deputaților</w:t>
            </w:r>
          </w:p>
        </w:tc>
        <w:tc>
          <w:tcPr>
            <w:tcW w:w="1660" w:type="dxa"/>
            <w:shd w:val="clear" w:color="auto" w:fill="auto"/>
            <w:vAlign w:val="center"/>
          </w:tcPr>
          <w:p>
            <w:pPr>
              <w:jc w:val="center"/>
              <w:rPr>
                <w:noProof/>
                <w:color w:val="000000"/>
                <w:sz w:val="20"/>
              </w:rPr>
            </w:pPr>
            <w:r>
              <w:rPr>
                <w:noProof/>
                <w:color w:val="000000"/>
                <w:sz w:val="20"/>
              </w:rPr>
              <w:t>48</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Roumanie</w:t>
            </w:r>
          </w:p>
        </w:tc>
        <w:tc>
          <w:tcPr>
            <w:tcW w:w="3609" w:type="dxa"/>
            <w:shd w:val="clear" w:color="auto" w:fill="auto"/>
            <w:vAlign w:val="center"/>
          </w:tcPr>
          <w:p>
            <w:pPr>
              <w:jc w:val="center"/>
              <w:rPr>
                <w:i/>
                <w:iCs/>
                <w:noProof/>
                <w:color w:val="000000"/>
                <w:sz w:val="20"/>
              </w:rPr>
            </w:pPr>
            <w:r>
              <w:rPr>
                <w:i/>
                <w:noProof/>
                <w:color w:val="000000"/>
                <w:sz w:val="20"/>
              </w:rPr>
              <w:t>Senatul</w:t>
            </w:r>
          </w:p>
        </w:tc>
        <w:tc>
          <w:tcPr>
            <w:tcW w:w="1660" w:type="dxa"/>
            <w:shd w:val="clear" w:color="auto" w:fill="auto"/>
            <w:vAlign w:val="center"/>
          </w:tcPr>
          <w:p>
            <w:pPr>
              <w:jc w:val="center"/>
              <w:rPr>
                <w:noProof/>
                <w:color w:val="000000"/>
                <w:sz w:val="20"/>
              </w:rPr>
            </w:pPr>
            <w:r>
              <w:rPr>
                <w:noProof/>
                <w:color w:val="000000"/>
                <w:sz w:val="20"/>
              </w:rPr>
              <w:t>45</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République tchèque</w:t>
            </w:r>
          </w:p>
        </w:tc>
        <w:tc>
          <w:tcPr>
            <w:tcW w:w="3609" w:type="dxa"/>
            <w:shd w:val="clear" w:color="auto" w:fill="auto"/>
            <w:vAlign w:val="center"/>
          </w:tcPr>
          <w:p>
            <w:pPr>
              <w:jc w:val="center"/>
              <w:rPr>
                <w:i/>
                <w:iCs/>
                <w:noProof/>
                <w:color w:val="000000"/>
                <w:sz w:val="20"/>
              </w:rPr>
            </w:pPr>
            <w:r>
              <w:rPr>
                <w:i/>
                <w:noProof/>
                <w:color w:val="000000"/>
                <w:sz w:val="20"/>
              </w:rPr>
              <w:t>Poslanecká sněmovna</w:t>
            </w:r>
          </w:p>
        </w:tc>
        <w:tc>
          <w:tcPr>
            <w:tcW w:w="1660" w:type="dxa"/>
            <w:shd w:val="clear" w:color="auto" w:fill="auto"/>
            <w:vAlign w:val="center"/>
          </w:tcPr>
          <w:p>
            <w:pPr>
              <w:jc w:val="center"/>
              <w:rPr>
                <w:noProof/>
                <w:color w:val="000000"/>
                <w:sz w:val="20"/>
              </w:rPr>
            </w:pPr>
            <w:r>
              <w:rPr>
                <w:noProof/>
                <w:color w:val="000000"/>
                <w:sz w:val="20"/>
              </w:rPr>
              <w:t>37</w:t>
            </w:r>
          </w:p>
        </w:tc>
        <w:tc>
          <w:tcPr>
            <w:tcW w:w="2364" w:type="dxa"/>
            <w:shd w:val="clear" w:color="auto" w:fill="auto"/>
            <w:vAlign w:val="center"/>
          </w:tcPr>
          <w:p>
            <w:pPr>
              <w:jc w:val="center"/>
              <w:rPr>
                <w:noProof/>
                <w:color w:val="000000"/>
                <w:sz w:val="20"/>
              </w:rPr>
            </w:pPr>
            <w:r>
              <w:rPr>
                <w:noProof/>
                <w:color w:val="000000"/>
                <w:sz w:val="20"/>
              </w:rPr>
              <w:t>4</w:t>
            </w:r>
          </w:p>
        </w:tc>
      </w:tr>
      <w:tr>
        <w:trPr>
          <w:cantSplit/>
        </w:trPr>
        <w:tc>
          <w:tcPr>
            <w:tcW w:w="1909" w:type="dxa"/>
            <w:shd w:val="clear" w:color="auto" w:fill="auto"/>
            <w:vAlign w:val="center"/>
          </w:tcPr>
          <w:p>
            <w:pPr>
              <w:jc w:val="center"/>
              <w:rPr>
                <w:noProof/>
                <w:color w:val="000000"/>
                <w:sz w:val="20"/>
              </w:rPr>
            </w:pPr>
            <w:r>
              <w:rPr>
                <w:noProof/>
                <w:color w:val="000000"/>
                <w:sz w:val="20"/>
              </w:rPr>
              <w:t>France</w:t>
            </w:r>
          </w:p>
        </w:tc>
        <w:tc>
          <w:tcPr>
            <w:tcW w:w="3609" w:type="dxa"/>
            <w:shd w:val="clear" w:color="auto" w:fill="auto"/>
            <w:vAlign w:val="center"/>
          </w:tcPr>
          <w:p>
            <w:pPr>
              <w:jc w:val="center"/>
              <w:rPr>
                <w:i/>
                <w:iCs/>
                <w:noProof/>
                <w:color w:val="000000"/>
                <w:sz w:val="20"/>
              </w:rPr>
            </w:pPr>
            <w:r>
              <w:rPr>
                <w:i/>
                <w:noProof/>
                <w:color w:val="000000"/>
                <w:sz w:val="20"/>
              </w:rPr>
              <w:t>Sénat</w:t>
            </w:r>
          </w:p>
        </w:tc>
        <w:tc>
          <w:tcPr>
            <w:tcW w:w="1660" w:type="dxa"/>
            <w:shd w:val="clear" w:color="auto" w:fill="auto"/>
            <w:vAlign w:val="center"/>
          </w:tcPr>
          <w:p>
            <w:pPr>
              <w:jc w:val="center"/>
              <w:rPr>
                <w:noProof/>
                <w:color w:val="000000"/>
                <w:sz w:val="20"/>
              </w:rPr>
            </w:pPr>
            <w:r>
              <w:rPr>
                <w:noProof/>
                <w:color w:val="000000"/>
                <w:sz w:val="20"/>
              </w:rPr>
              <w:t>24</w:t>
            </w:r>
          </w:p>
        </w:tc>
        <w:tc>
          <w:tcPr>
            <w:tcW w:w="2364" w:type="dxa"/>
            <w:shd w:val="clear" w:color="auto" w:fill="auto"/>
            <w:vAlign w:val="center"/>
          </w:tcPr>
          <w:p>
            <w:pPr>
              <w:jc w:val="center"/>
              <w:rPr>
                <w:noProof/>
                <w:color w:val="000000"/>
                <w:sz w:val="20"/>
              </w:rPr>
            </w:pPr>
            <w:r>
              <w:rPr>
                <w:noProof/>
                <w:color w:val="000000"/>
                <w:sz w:val="20"/>
              </w:rPr>
              <w:t>2</w:t>
            </w:r>
          </w:p>
        </w:tc>
      </w:tr>
      <w:tr>
        <w:trPr>
          <w:cantSplit/>
        </w:trPr>
        <w:tc>
          <w:tcPr>
            <w:tcW w:w="1909" w:type="dxa"/>
            <w:shd w:val="clear" w:color="auto" w:fill="auto"/>
            <w:vAlign w:val="center"/>
          </w:tcPr>
          <w:p>
            <w:pPr>
              <w:jc w:val="center"/>
              <w:rPr>
                <w:noProof/>
                <w:color w:val="000000"/>
                <w:sz w:val="20"/>
              </w:rPr>
            </w:pPr>
            <w:r>
              <w:rPr>
                <w:noProof/>
                <w:color w:val="000000"/>
                <w:sz w:val="20"/>
              </w:rPr>
              <w:t>Italie</w:t>
            </w:r>
          </w:p>
        </w:tc>
        <w:tc>
          <w:tcPr>
            <w:tcW w:w="3609" w:type="dxa"/>
            <w:shd w:val="clear" w:color="auto" w:fill="auto"/>
            <w:vAlign w:val="center"/>
          </w:tcPr>
          <w:p>
            <w:pPr>
              <w:jc w:val="center"/>
              <w:rPr>
                <w:i/>
                <w:iCs/>
                <w:noProof/>
                <w:color w:val="000000"/>
                <w:sz w:val="20"/>
              </w:rPr>
            </w:pPr>
            <w:r>
              <w:rPr>
                <w:i/>
                <w:noProof/>
                <w:color w:val="000000"/>
                <w:sz w:val="20"/>
              </w:rPr>
              <w:t>Senato della Repubblica</w:t>
            </w:r>
          </w:p>
        </w:tc>
        <w:tc>
          <w:tcPr>
            <w:tcW w:w="1660" w:type="dxa"/>
            <w:shd w:val="clear" w:color="auto" w:fill="auto"/>
            <w:vAlign w:val="center"/>
          </w:tcPr>
          <w:p>
            <w:pPr>
              <w:jc w:val="center"/>
              <w:rPr>
                <w:noProof/>
                <w:color w:val="000000"/>
                <w:sz w:val="20"/>
              </w:rPr>
            </w:pPr>
            <w:r>
              <w:rPr>
                <w:noProof/>
                <w:color w:val="000000"/>
                <w:sz w:val="20"/>
              </w:rPr>
              <w:t>18</w:t>
            </w:r>
          </w:p>
        </w:tc>
        <w:tc>
          <w:tcPr>
            <w:tcW w:w="2364" w:type="dxa"/>
            <w:shd w:val="clear" w:color="auto" w:fill="auto"/>
            <w:vAlign w:val="center"/>
          </w:tcPr>
          <w:p>
            <w:pPr>
              <w:jc w:val="center"/>
              <w:rPr>
                <w:noProof/>
                <w:color w:val="000000"/>
                <w:sz w:val="20"/>
              </w:rPr>
            </w:pPr>
            <w:r>
              <w:rPr>
                <w:noProof/>
                <w:color w:val="000000"/>
                <w:sz w:val="20"/>
              </w:rPr>
              <w:t>1</w:t>
            </w:r>
          </w:p>
        </w:tc>
      </w:tr>
      <w:tr>
        <w:trPr>
          <w:cantSplit/>
        </w:trPr>
        <w:tc>
          <w:tcPr>
            <w:tcW w:w="1909" w:type="dxa"/>
            <w:shd w:val="clear" w:color="auto" w:fill="auto"/>
            <w:vAlign w:val="center"/>
          </w:tcPr>
          <w:p>
            <w:pPr>
              <w:jc w:val="center"/>
              <w:rPr>
                <w:noProof/>
                <w:color w:val="000000"/>
                <w:sz w:val="20"/>
              </w:rPr>
            </w:pPr>
            <w:r>
              <w:rPr>
                <w:noProof/>
                <w:color w:val="000000"/>
                <w:sz w:val="20"/>
              </w:rPr>
              <w:t>Suède</w:t>
            </w:r>
          </w:p>
        </w:tc>
        <w:tc>
          <w:tcPr>
            <w:tcW w:w="3609" w:type="dxa"/>
            <w:shd w:val="clear" w:color="auto" w:fill="auto"/>
            <w:vAlign w:val="center"/>
          </w:tcPr>
          <w:p>
            <w:pPr>
              <w:jc w:val="center"/>
              <w:rPr>
                <w:noProof/>
                <w:color w:val="000000"/>
                <w:sz w:val="20"/>
              </w:rPr>
            </w:pPr>
            <w:r>
              <w:rPr>
                <w:i/>
                <w:noProof/>
                <w:color w:val="000000"/>
                <w:sz w:val="20"/>
              </w:rPr>
              <w:t>Riksdag</w:t>
            </w:r>
          </w:p>
        </w:tc>
        <w:tc>
          <w:tcPr>
            <w:tcW w:w="1660" w:type="dxa"/>
            <w:shd w:val="clear" w:color="auto" w:fill="auto"/>
            <w:vAlign w:val="center"/>
          </w:tcPr>
          <w:p>
            <w:pPr>
              <w:jc w:val="center"/>
              <w:rPr>
                <w:noProof/>
                <w:color w:val="000000"/>
                <w:sz w:val="20"/>
              </w:rPr>
            </w:pPr>
            <w:r>
              <w:rPr>
                <w:noProof/>
                <w:color w:val="000000"/>
                <w:sz w:val="20"/>
              </w:rPr>
              <w:t>15</w:t>
            </w:r>
          </w:p>
        </w:tc>
        <w:tc>
          <w:tcPr>
            <w:tcW w:w="2364" w:type="dxa"/>
            <w:shd w:val="clear" w:color="auto" w:fill="auto"/>
            <w:vAlign w:val="center"/>
          </w:tcPr>
          <w:p>
            <w:pPr>
              <w:jc w:val="center"/>
              <w:rPr>
                <w:noProof/>
                <w:color w:val="000000"/>
                <w:sz w:val="20"/>
              </w:rPr>
            </w:pPr>
            <w:r>
              <w:rPr>
                <w:noProof/>
                <w:color w:val="000000"/>
                <w:sz w:val="20"/>
              </w:rPr>
              <w:t>12</w:t>
            </w:r>
          </w:p>
        </w:tc>
      </w:tr>
      <w:tr>
        <w:trPr>
          <w:cantSplit/>
        </w:trPr>
        <w:tc>
          <w:tcPr>
            <w:tcW w:w="1909" w:type="dxa"/>
            <w:shd w:val="clear" w:color="auto" w:fill="auto"/>
            <w:vAlign w:val="center"/>
          </w:tcPr>
          <w:p>
            <w:pPr>
              <w:jc w:val="center"/>
              <w:rPr>
                <w:noProof/>
                <w:color w:val="000000"/>
                <w:sz w:val="20"/>
              </w:rPr>
            </w:pPr>
            <w:r>
              <w:rPr>
                <w:noProof/>
                <w:color w:val="000000"/>
                <w:sz w:val="20"/>
              </w:rPr>
              <w:t>Royaume-Uni</w:t>
            </w:r>
          </w:p>
        </w:tc>
        <w:tc>
          <w:tcPr>
            <w:tcW w:w="3609" w:type="dxa"/>
            <w:shd w:val="clear" w:color="auto" w:fill="auto"/>
            <w:vAlign w:val="center"/>
          </w:tcPr>
          <w:p>
            <w:pPr>
              <w:jc w:val="center"/>
              <w:rPr>
                <w:iCs/>
                <w:noProof/>
                <w:color w:val="000000"/>
                <w:sz w:val="20"/>
              </w:rPr>
            </w:pPr>
            <w:r>
              <w:rPr>
                <w:i/>
                <w:noProof/>
                <w:color w:val="000000"/>
                <w:sz w:val="20"/>
              </w:rPr>
              <w:t>House of Lords</w:t>
            </w:r>
          </w:p>
        </w:tc>
        <w:tc>
          <w:tcPr>
            <w:tcW w:w="1660" w:type="dxa"/>
            <w:shd w:val="clear" w:color="auto" w:fill="auto"/>
            <w:vAlign w:val="center"/>
          </w:tcPr>
          <w:p>
            <w:pPr>
              <w:jc w:val="center"/>
              <w:rPr>
                <w:noProof/>
                <w:color w:val="000000"/>
                <w:sz w:val="20"/>
              </w:rPr>
            </w:pPr>
            <w:r>
              <w:rPr>
                <w:noProof/>
                <w:color w:val="000000"/>
                <w:sz w:val="20"/>
              </w:rPr>
              <w:t>14</w:t>
            </w:r>
            <w:r>
              <w:rPr>
                <w:rStyle w:val="FootnoteReference"/>
                <w:noProof/>
                <w:color w:val="000000"/>
                <w:sz w:val="20"/>
              </w:rPr>
              <w:footnoteReference w:id="6"/>
            </w:r>
          </w:p>
        </w:tc>
        <w:tc>
          <w:tcPr>
            <w:tcW w:w="2364" w:type="dxa"/>
            <w:shd w:val="clear" w:color="auto" w:fill="auto"/>
            <w:vAlign w:val="center"/>
          </w:tcPr>
          <w:p>
            <w:pPr>
              <w:jc w:val="center"/>
              <w:rPr>
                <w:noProof/>
                <w:color w:val="000000"/>
                <w:sz w:val="20"/>
              </w:rPr>
            </w:pPr>
            <w:r>
              <w:rPr>
                <w:noProof/>
                <w:color w:val="000000"/>
                <w:sz w:val="20"/>
              </w:rPr>
              <w:t>1</w:t>
            </w:r>
          </w:p>
        </w:tc>
      </w:tr>
      <w:tr>
        <w:trPr>
          <w:cantSplit/>
        </w:trPr>
        <w:tc>
          <w:tcPr>
            <w:tcW w:w="1909" w:type="dxa"/>
            <w:shd w:val="clear" w:color="auto" w:fill="auto"/>
            <w:vAlign w:val="center"/>
          </w:tcPr>
          <w:p>
            <w:pPr>
              <w:jc w:val="center"/>
              <w:rPr>
                <w:noProof/>
                <w:color w:val="000000"/>
                <w:sz w:val="20"/>
              </w:rPr>
            </w:pPr>
            <w:r>
              <w:rPr>
                <w:noProof/>
                <w:color w:val="000000"/>
                <w:sz w:val="20"/>
              </w:rPr>
              <w:t>Italie</w:t>
            </w:r>
          </w:p>
        </w:tc>
        <w:tc>
          <w:tcPr>
            <w:tcW w:w="3609" w:type="dxa"/>
            <w:shd w:val="clear" w:color="auto" w:fill="auto"/>
            <w:vAlign w:val="center"/>
          </w:tcPr>
          <w:p>
            <w:pPr>
              <w:jc w:val="center"/>
              <w:rPr>
                <w:i/>
                <w:iCs/>
                <w:noProof/>
                <w:color w:val="000000"/>
                <w:sz w:val="20"/>
              </w:rPr>
            </w:pPr>
            <w:r>
              <w:rPr>
                <w:i/>
                <w:noProof/>
                <w:color w:val="000000"/>
                <w:sz w:val="20"/>
              </w:rPr>
              <w:t xml:space="preserve">Camera dei Deputati </w:t>
            </w:r>
          </w:p>
        </w:tc>
        <w:tc>
          <w:tcPr>
            <w:tcW w:w="1660" w:type="dxa"/>
            <w:shd w:val="clear" w:color="auto" w:fill="auto"/>
            <w:vAlign w:val="center"/>
          </w:tcPr>
          <w:p>
            <w:pPr>
              <w:jc w:val="center"/>
              <w:rPr>
                <w:noProof/>
                <w:color w:val="000000"/>
                <w:sz w:val="20"/>
              </w:rPr>
            </w:pPr>
            <w:r>
              <w:rPr>
                <w:noProof/>
                <w:color w:val="000000"/>
                <w:sz w:val="20"/>
              </w:rPr>
              <w:t>13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Irlande</w:t>
            </w:r>
          </w:p>
        </w:tc>
        <w:tc>
          <w:tcPr>
            <w:tcW w:w="3609" w:type="dxa"/>
            <w:shd w:val="clear" w:color="auto" w:fill="auto"/>
            <w:vAlign w:val="center"/>
          </w:tcPr>
          <w:p>
            <w:pPr>
              <w:jc w:val="center"/>
              <w:rPr>
                <w:noProof/>
                <w:color w:val="000000"/>
                <w:sz w:val="20"/>
              </w:rPr>
            </w:pPr>
            <w:r>
              <w:rPr>
                <w:noProof/>
                <w:color w:val="000000"/>
                <w:sz w:val="20"/>
              </w:rPr>
              <w:t>Chambres de l’</w:t>
            </w:r>
            <w:r>
              <w:rPr>
                <w:i/>
                <w:noProof/>
                <w:color w:val="000000"/>
                <w:sz w:val="20"/>
              </w:rPr>
              <w:t>Oireachtas</w:t>
            </w:r>
            <w:r>
              <w:rPr>
                <w:noProof/>
                <w:color w:val="000000"/>
                <w:sz w:val="20"/>
              </w:rPr>
              <w:t>:</w:t>
            </w:r>
            <w:r>
              <w:rPr>
                <w:noProof/>
                <w:color w:val="000000"/>
                <w:sz w:val="20"/>
              </w:rPr>
              <w:br/>
            </w:r>
            <w:r>
              <w:rPr>
                <w:i/>
                <w:noProof/>
                <w:color w:val="000000"/>
                <w:sz w:val="20"/>
              </w:rPr>
              <w:t>Dáil</w:t>
            </w:r>
            <w:r>
              <w:rPr>
                <w:noProof/>
                <w:color w:val="000000"/>
                <w:sz w:val="20"/>
              </w:rPr>
              <w:t xml:space="preserve"> et </w:t>
            </w:r>
            <w:r>
              <w:rPr>
                <w:i/>
                <w:noProof/>
                <w:color w:val="000000"/>
                <w:sz w:val="20"/>
              </w:rPr>
              <w:t xml:space="preserve">Seanad Éireann </w:t>
            </w:r>
          </w:p>
        </w:tc>
        <w:tc>
          <w:tcPr>
            <w:tcW w:w="1660" w:type="dxa"/>
            <w:shd w:val="clear" w:color="auto" w:fill="auto"/>
            <w:vAlign w:val="center"/>
          </w:tcPr>
          <w:p>
            <w:pPr>
              <w:jc w:val="center"/>
              <w:rPr>
                <w:noProof/>
                <w:color w:val="000000"/>
                <w:sz w:val="20"/>
              </w:rPr>
            </w:pPr>
            <w:r>
              <w:rPr>
                <w:noProof/>
                <w:color w:val="000000"/>
                <w:sz w:val="20"/>
              </w:rPr>
              <w:t>12</w:t>
            </w:r>
            <w:r>
              <w:rPr>
                <w:rStyle w:val="FootnoteReference"/>
                <w:noProof/>
                <w:color w:val="000000"/>
                <w:sz w:val="20"/>
              </w:rPr>
              <w:footnoteReference w:id="7"/>
            </w:r>
          </w:p>
        </w:tc>
        <w:tc>
          <w:tcPr>
            <w:tcW w:w="2364" w:type="dxa"/>
            <w:shd w:val="clear" w:color="auto" w:fill="auto"/>
            <w:vAlign w:val="center"/>
          </w:tcPr>
          <w:p>
            <w:pPr>
              <w:jc w:val="center"/>
              <w:rPr>
                <w:noProof/>
                <w:color w:val="000000"/>
                <w:sz w:val="20"/>
              </w:rPr>
            </w:pPr>
            <w:r>
              <w:rPr>
                <w:noProof/>
                <w:color w:val="000000"/>
                <w:sz w:val="20"/>
              </w:rPr>
              <w:t>4</w:t>
            </w:r>
          </w:p>
        </w:tc>
      </w:tr>
      <w:tr>
        <w:trPr>
          <w:cantSplit/>
        </w:trPr>
        <w:tc>
          <w:tcPr>
            <w:tcW w:w="1909" w:type="dxa"/>
            <w:shd w:val="clear" w:color="auto" w:fill="auto"/>
            <w:vAlign w:val="center"/>
          </w:tcPr>
          <w:p>
            <w:pPr>
              <w:jc w:val="center"/>
              <w:rPr>
                <w:noProof/>
                <w:color w:val="000000"/>
                <w:sz w:val="20"/>
              </w:rPr>
            </w:pPr>
            <w:r>
              <w:rPr>
                <w:noProof/>
                <w:color w:val="000000"/>
                <w:sz w:val="20"/>
              </w:rPr>
              <w:t>France</w:t>
            </w:r>
          </w:p>
        </w:tc>
        <w:tc>
          <w:tcPr>
            <w:tcW w:w="3609" w:type="dxa"/>
            <w:shd w:val="clear" w:color="auto" w:fill="auto"/>
            <w:vAlign w:val="center"/>
          </w:tcPr>
          <w:p>
            <w:pPr>
              <w:jc w:val="center"/>
              <w:rPr>
                <w:i/>
                <w:iCs/>
                <w:noProof/>
                <w:color w:val="000000"/>
                <w:sz w:val="20"/>
              </w:rPr>
            </w:pPr>
            <w:r>
              <w:rPr>
                <w:i/>
                <w:noProof/>
                <w:color w:val="000000"/>
                <w:sz w:val="20"/>
              </w:rPr>
              <w:t>Assemblée nationale</w:t>
            </w:r>
          </w:p>
        </w:tc>
        <w:tc>
          <w:tcPr>
            <w:tcW w:w="1660" w:type="dxa"/>
            <w:shd w:val="clear" w:color="auto" w:fill="auto"/>
            <w:vAlign w:val="center"/>
          </w:tcPr>
          <w:p>
            <w:pPr>
              <w:jc w:val="center"/>
              <w:rPr>
                <w:noProof/>
                <w:color w:val="000000"/>
                <w:sz w:val="20"/>
              </w:rPr>
            </w:pPr>
            <w:r>
              <w:rPr>
                <w:noProof/>
                <w:color w:val="000000"/>
                <w:sz w:val="20"/>
              </w:rPr>
              <w:t>11</w:t>
            </w:r>
          </w:p>
        </w:tc>
        <w:tc>
          <w:tcPr>
            <w:tcW w:w="2364" w:type="dxa"/>
            <w:shd w:val="clear" w:color="auto" w:fill="auto"/>
            <w:vAlign w:val="center"/>
          </w:tcPr>
          <w:p>
            <w:pPr>
              <w:jc w:val="center"/>
              <w:rPr>
                <w:noProof/>
                <w:color w:val="000000"/>
                <w:sz w:val="20"/>
              </w:rPr>
            </w:pPr>
            <w:r>
              <w:rPr>
                <w:noProof/>
                <w:color w:val="000000"/>
                <w:sz w:val="20"/>
              </w:rPr>
              <w:t>1</w:t>
            </w:r>
          </w:p>
        </w:tc>
      </w:tr>
      <w:tr>
        <w:trPr>
          <w:cantSplit/>
        </w:trPr>
        <w:tc>
          <w:tcPr>
            <w:tcW w:w="1909" w:type="dxa"/>
            <w:shd w:val="clear" w:color="auto" w:fill="auto"/>
            <w:vAlign w:val="center"/>
          </w:tcPr>
          <w:p>
            <w:pPr>
              <w:jc w:val="center"/>
              <w:rPr>
                <w:noProof/>
                <w:color w:val="000000"/>
                <w:sz w:val="20"/>
              </w:rPr>
            </w:pPr>
            <w:r>
              <w:rPr>
                <w:noProof/>
                <w:color w:val="000000"/>
                <w:sz w:val="20"/>
              </w:rPr>
              <w:t>Autriche</w:t>
            </w:r>
          </w:p>
        </w:tc>
        <w:tc>
          <w:tcPr>
            <w:tcW w:w="3609" w:type="dxa"/>
            <w:shd w:val="clear" w:color="auto" w:fill="auto"/>
            <w:vAlign w:val="center"/>
          </w:tcPr>
          <w:p>
            <w:pPr>
              <w:jc w:val="center"/>
              <w:rPr>
                <w:i/>
                <w:iCs/>
                <w:noProof/>
                <w:color w:val="000000"/>
                <w:sz w:val="20"/>
              </w:rPr>
            </w:pPr>
            <w:r>
              <w:rPr>
                <w:i/>
                <w:noProof/>
                <w:color w:val="000000"/>
                <w:sz w:val="20"/>
              </w:rPr>
              <w:t>Bundesrat</w:t>
            </w:r>
          </w:p>
        </w:tc>
        <w:tc>
          <w:tcPr>
            <w:tcW w:w="1660" w:type="dxa"/>
            <w:shd w:val="clear" w:color="auto" w:fill="auto"/>
            <w:vAlign w:val="center"/>
          </w:tcPr>
          <w:p>
            <w:pPr>
              <w:jc w:val="center"/>
              <w:rPr>
                <w:noProof/>
                <w:color w:val="000000"/>
                <w:sz w:val="20"/>
              </w:rPr>
            </w:pPr>
            <w:r>
              <w:rPr>
                <w:noProof/>
                <w:color w:val="000000"/>
                <w:sz w:val="20"/>
              </w:rPr>
              <w:t>10</w:t>
            </w:r>
          </w:p>
        </w:tc>
        <w:tc>
          <w:tcPr>
            <w:tcW w:w="2364" w:type="dxa"/>
            <w:shd w:val="clear" w:color="auto" w:fill="auto"/>
            <w:vAlign w:val="center"/>
          </w:tcPr>
          <w:p>
            <w:pPr>
              <w:jc w:val="center"/>
              <w:rPr>
                <w:noProof/>
                <w:color w:val="000000"/>
                <w:sz w:val="20"/>
              </w:rPr>
            </w:pPr>
            <w:r>
              <w:rPr>
                <w:noProof/>
                <w:color w:val="000000"/>
                <w:sz w:val="20"/>
              </w:rPr>
              <w:t>3</w:t>
            </w:r>
          </w:p>
        </w:tc>
      </w:tr>
      <w:tr>
        <w:trPr>
          <w:cantSplit/>
        </w:trPr>
        <w:tc>
          <w:tcPr>
            <w:tcW w:w="1909" w:type="dxa"/>
            <w:shd w:val="clear" w:color="auto" w:fill="auto"/>
            <w:vAlign w:val="center"/>
          </w:tcPr>
          <w:p>
            <w:pPr>
              <w:jc w:val="center"/>
              <w:rPr>
                <w:noProof/>
                <w:color w:val="000000"/>
                <w:sz w:val="20"/>
              </w:rPr>
            </w:pPr>
            <w:r>
              <w:rPr>
                <w:noProof/>
                <w:color w:val="000000"/>
                <w:sz w:val="20"/>
              </w:rPr>
              <w:t>Pologne</w:t>
            </w:r>
          </w:p>
        </w:tc>
        <w:tc>
          <w:tcPr>
            <w:tcW w:w="3609" w:type="dxa"/>
            <w:shd w:val="clear" w:color="auto" w:fill="auto"/>
            <w:vAlign w:val="center"/>
          </w:tcPr>
          <w:p>
            <w:pPr>
              <w:jc w:val="center"/>
              <w:rPr>
                <w:i/>
                <w:iCs/>
                <w:noProof/>
                <w:color w:val="000000"/>
                <w:sz w:val="20"/>
              </w:rPr>
            </w:pPr>
            <w:r>
              <w:rPr>
                <w:i/>
                <w:noProof/>
                <w:color w:val="000000"/>
                <w:sz w:val="20"/>
              </w:rPr>
              <w:t>Sejm Rzeczypospolitej Polskiej</w:t>
            </w:r>
          </w:p>
        </w:tc>
        <w:tc>
          <w:tcPr>
            <w:tcW w:w="1660" w:type="dxa"/>
            <w:shd w:val="clear" w:color="auto" w:fill="auto"/>
            <w:vAlign w:val="center"/>
          </w:tcPr>
          <w:p>
            <w:pPr>
              <w:jc w:val="center"/>
              <w:rPr>
                <w:noProof/>
                <w:color w:val="000000"/>
                <w:sz w:val="20"/>
              </w:rPr>
            </w:pPr>
            <w:r>
              <w:rPr>
                <w:noProof/>
                <w:color w:val="000000"/>
                <w:sz w:val="20"/>
              </w:rPr>
              <w:t>7</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Pologne</w:t>
            </w:r>
          </w:p>
        </w:tc>
        <w:tc>
          <w:tcPr>
            <w:tcW w:w="3609" w:type="dxa"/>
            <w:shd w:val="clear" w:color="auto" w:fill="auto"/>
            <w:vAlign w:val="center"/>
          </w:tcPr>
          <w:p>
            <w:pPr>
              <w:jc w:val="center"/>
              <w:rPr>
                <w:i/>
                <w:iCs/>
                <w:noProof/>
                <w:color w:val="000000"/>
                <w:sz w:val="20"/>
              </w:rPr>
            </w:pPr>
            <w:r>
              <w:rPr>
                <w:i/>
                <w:noProof/>
                <w:color w:val="000000"/>
                <w:sz w:val="20"/>
              </w:rPr>
              <w:t>Senat Rzeczypospolitej Polskiej</w:t>
            </w:r>
          </w:p>
        </w:tc>
        <w:tc>
          <w:tcPr>
            <w:tcW w:w="1660" w:type="dxa"/>
            <w:shd w:val="clear" w:color="auto" w:fill="auto"/>
            <w:vAlign w:val="center"/>
          </w:tcPr>
          <w:p>
            <w:pPr>
              <w:jc w:val="center"/>
              <w:rPr>
                <w:noProof/>
                <w:color w:val="000000"/>
                <w:sz w:val="20"/>
              </w:rPr>
            </w:pPr>
            <w:r>
              <w:rPr>
                <w:noProof/>
                <w:color w:val="000000"/>
                <w:sz w:val="20"/>
              </w:rPr>
              <w:t>6</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Slovaquie</w:t>
            </w:r>
          </w:p>
        </w:tc>
        <w:tc>
          <w:tcPr>
            <w:tcW w:w="3609" w:type="dxa"/>
            <w:shd w:val="clear" w:color="auto" w:fill="auto"/>
            <w:vAlign w:val="center"/>
          </w:tcPr>
          <w:p>
            <w:pPr>
              <w:jc w:val="center"/>
              <w:rPr>
                <w:i/>
                <w:iCs/>
                <w:noProof/>
                <w:color w:val="000000"/>
                <w:sz w:val="20"/>
              </w:rPr>
            </w:pPr>
            <w:r>
              <w:rPr>
                <w:i/>
                <w:noProof/>
                <w:color w:val="000000"/>
                <w:sz w:val="20"/>
              </w:rPr>
              <w:t>Národná rada</w:t>
            </w:r>
          </w:p>
        </w:tc>
        <w:tc>
          <w:tcPr>
            <w:tcW w:w="1660" w:type="dxa"/>
            <w:shd w:val="clear" w:color="auto" w:fill="auto"/>
            <w:vAlign w:val="center"/>
          </w:tcPr>
          <w:p>
            <w:pPr>
              <w:jc w:val="center"/>
              <w:rPr>
                <w:noProof/>
                <w:color w:val="000000"/>
                <w:sz w:val="20"/>
              </w:rPr>
            </w:pPr>
            <w:r>
              <w:rPr>
                <w:noProof/>
                <w:color w:val="000000"/>
                <w:sz w:val="20"/>
              </w:rPr>
              <w:t>4</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Pays-Bas</w:t>
            </w:r>
          </w:p>
        </w:tc>
        <w:tc>
          <w:tcPr>
            <w:tcW w:w="3609" w:type="dxa"/>
            <w:shd w:val="clear" w:color="auto" w:fill="auto"/>
            <w:vAlign w:val="center"/>
          </w:tcPr>
          <w:p>
            <w:pPr>
              <w:jc w:val="center"/>
              <w:rPr>
                <w:i/>
                <w:iCs/>
                <w:noProof/>
                <w:color w:val="000000"/>
                <w:sz w:val="20"/>
              </w:rPr>
            </w:pPr>
            <w:r>
              <w:rPr>
                <w:i/>
                <w:noProof/>
                <w:color w:val="000000"/>
                <w:sz w:val="20"/>
              </w:rPr>
              <w:t>Tweede Kamer</w:t>
            </w:r>
          </w:p>
        </w:tc>
        <w:tc>
          <w:tcPr>
            <w:tcW w:w="1660" w:type="dxa"/>
            <w:shd w:val="clear" w:color="auto" w:fill="auto"/>
            <w:vAlign w:val="center"/>
          </w:tcPr>
          <w:p>
            <w:pPr>
              <w:jc w:val="center"/>
              <w:rPr>
                <w:noProof/>
                <w:color w:val="000000"/>
                <w:sz w:val="20"/>
              </w:rPr>
            </w:pPr>
            <w:r>
              <w:rPr>
                <w:noProof/>
                <w:color w:val="000000"/>
                <w:sz w:val="20"/>
              </w:rPr>
              <w:t>3</w:t>
            </w:r>
          </w:p>
        </w:tc>
        <w:tc>
          <w:tcPr>
            <w:tcW w:w="2364" w:type="dxa"/>
            <w:shd w:val="clear" w:color="auto" w:fill="auto"/>
            <w:vAlign w:val="center"/>
          </w:tcPr>
          <w:p>
            <w:pPr>
              <w:jc w:val="center"/>
              <w:rPr>
                <w:noProof/>
                <w:color w:val="000000"/>
                <w:sz w:val="20"/>
              </w:rPr>
            </w:pPr>
            <w:r>
              <w:rPr>
                <w:noProof/>
                <w:color w:val="000000"/>
                <w:sz w:val="20"/>
              </w:rPr>
              <w:t>1</w:t>
            </w:r>
          </w:p>
        </w:tc>
      </w:tr>
      <w:tr>
        <w:trPr>
          <w:cantSplit/>
        </w:trPr>
        <w:tc>
          <w:tcPr>
            <w:tcW w:w="1909" w:type="dxa"/>
            <w:shd w:val="clear" w:color="auto" w:fill="auto"/>
            <w:vAlign w:val="center"/>
          </w:tcPr>
          <w:p>
            <w:pPr>
              <w:jc w:val="center"/>
              <w:rPr>
                <w:noProof/>
                <w:color w:val="000000"/>
                <w:sz w:val="20"/>
              </w:rPr>
            </w:pPr>
            <w:r>
              <w:rPr>
                <w:noProof/>
                <w:color w:val="000000"/>
                <w:sz w:val="20"/>
              </w:rPr>
              <w:t>Hongrie</w:t>
            </w:r>
          </w:p>
        </w:tc>
        <w:tc>
          <w:tcPr>
            <w:tcW w:w="3609" w:type="dxa"/>
            <w:shd w:val="clear" w:color="auto" w:fill="auto"/>
            <w:vAlign w:val="center"/>
          </w:tcPr>
          <w:p>
            <w:pPr>
              <w:jc w:val="center"/>
              <w:rPr>
                <w:i/>
                <w:iCs/>
                <w:noProof/>
                <w:color w:val="000000"/>
                <w:sz w:val="20"/>
              </w:rPr>
            </w:pPr>
            <w:r>
              <w:rPr>
                <w:i/>
                <w:noProof/>
                <w:color w:val="000000"/>
                <w:sz w:val="20"/>
              </w:rPr>
              <w:t>Országgyűlés</w:t>
            </w:r>
          </w:p>
        </w:tc>
        <w:tc>
          <w:tcPr>
            <w:tcW w:w="1660" w:type="dxa"/>
            <w:shd w:val="clear" w:color="auto" w:fill="auto"/>
            <w:vAlign w:val="center"/>
          </w:tcPr>
          <w:p>
            <w:pPr>
              <w:jc w:val="center"/>
              <w:rPr>
                <w:noProof/>
                <w:color w:val="000000"/>
                <w:sz w:val="20"/>
              </w:rPr>
            </w:pPr>
            <w:r>
              <w:rPr>
                <w:noProof/>
                <w:color w:val="000000"/>
                <w:sz w:val="20"/>
              </w:rPr>
              <w:t>3</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Danemark</w:t>
            </w:r>
          </w:p>
        </w:tc>
        <w:tc>
          <w:tcPr>
            <w:tcW w:w="3609" w:type="dxa"/>
            <w:shd w:val="clear" w:color="auto" w:fill="auto"/>
            <w:vAlign w:val="center"/>
          </w:tcPr>
          <w:p>
            <w:pPr>
              <w:jc w:val="center"/>
              <w:rPr>
                <w:i/>
                <w:iCs/>
                <w:noProof/>
                <w:color w:val="000000"/>
                <w:sz w:val="20"/>
              </w:rPr>
            </w:pPr>
            <w:r>
              <w:rPr>
                <w:i/>
                <w:noProof/>
                <w:color w:val="000000"/>
                <w:sz w:val="20"/>
              </w:rPr>
              <w:t>Folketing</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2</w:t>
            </w:r>
          </w:p>
        </w:tc>
      </w:tr>
      <w:tr>
        <w:trPr>
          <w:cantSplit/>
        </w:trPr>
        <w:tc>
          <w:tcPr>
            <w:tcW w:w="1909" w:type="dxa"/>
            <w:shd w:val="clear" w:color="auto" w:fill="auto"/>
            <w:vAlign w:val="center"/>
          </w:tcPr>
          <w:p>
            <w:pPr>
              <w:jc w:val="center"/>
              <w:rPr>
                <w:noProof/>
                <w:color w:val="000000"/>
                <w:sz w:val="20"/>
              </w:rPr>
            </w:pPr>
            <w:r>
              <w:rPr>
                <w:noProof/>
                <w:color w:val="000000"/>
                <w:sz w:val="20"/>
              </w:rPr>
              <w:t>Allemagne</w:t>
            </w:r>
          </w:p>
        </w:tc>
        <w:tc>
          <w:tcPr>
            <w:tcW w:w="3609" w:type="dxa"/>
            <w:shd w:val="clear" w:color="auto" w:fill="auto"/>
            <w:vAlign w:val="center"/>
          </w:tcPr>
          <w:p>
            <w:pPr>
              <w:jc w:val="center"/>
              <w:rPr>
                <w:i/>
                <w:iCs/>
                <w:noProof/>
                <w:color w:val="000000"/>
                <w:sz w:val="20"/>
              </w:rPr>
            </w:pPr>
            <w:r>
              <w:rPr>
                <w:i/>
                <w:noProof/>
                <w:color w:val="000000"/>
                <w:sz w:val="20"/>
              </w:rPr>
              <w:t>Bundestag</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2</w:t>
            </w:r>
          </w:p>
        </w:tc>
      </w:tr>
      <w:tr>
        <w:trPr>
          <w:cantSplit/>
        </w:trPr>
        <w:tc>
          <w:tcPr>
            <w:tcW w:w="1909" w:type="dxa"/>
            <w:shd w:val="clear" w:color="auto" w:fill="auto"/>
            <w:vAlign w:val="center"/>
          </w:tcPr>
          <w:p>
            <w:pPr>
              <w:jc w:val="center"/>
              <w:rPr>
                <w:noProof/>
                <w:color w:val="000000"/>
                <w:sz w:val="20"/>
              </w:rPr>
            </w:pPr>
            <w:r>
              <w:rPr>
                <w:noProof/>
                <w:color w:val="000000"/>
                <w:sz w:val="20"/>
              </w:rPr>
              <w:t>Royaume-Uni</w:t>
            </w:r>
          </w:p>
        </w:tc>
        <w:tc>
          <w:tcPr>
            <w:tcW w:w="3609" w:type="dxa"/>
            <w:shd w:val="clear" w:color="auto" w:fill="auto"/>
            <w:vAlign w:val="center"/>
          </w:tcPr>
          <w:p>
            <w:pPr>
              <w:jc w:val="center"/>
              <w:rPr>
                <w:noProof/>
                <w:color w:val="000000"/>
                <w:sz w:val="20"/>
              </w:rPr>
            </w:pPr>
            <w:r>
              <w:rPr>
                <w:i/>
                <w:noProof/>
                <w:color w:val="000000"/>
                <w:sz w:val="20"/>
              </w:rPr>
              <w:t>House of Commons</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2</w:t>
            </w:r>
          </w:p>
        </w:tc>
      </w:tr>
      <w:tr>
        <w:trPr>
          <w:cantSplit/>
        </w:trPr>
        <w:tc>
          <w:tcPr>
            <w:tcW w:w="1909" w:type="dxa"/>
            <w:shd w:val="clear" w:color="auto" w:fill="auto"/>
            <w:vAlign w:val="center"/>
          </w:tcPr>
          <w:p>
            <w:pPr>
              <w:jc w:val="center"/>
              <w:rPr>
                <w:noProof/>
                <w:color w:val="000000"/>
                <w:sz w:val="20"/>
              </w:rPr>
            </w:pPr>
            <w:r>
              <w:rPr>
                <w:noProof/>
                <w:color w:val="000000"/>
                <w:sz w:val="20"/>
              </w:rPr>
              <w:t>Lituanie</w:t>
            </w:r>
          </w:p>
        </w:tc>
        <w:tc>
          <w:tcPr>
            <w:tcW w:w="3609" w:type="dxa"/>
            <w:shd w:val="clear" w:color="auto" w:fill="auto"/>
            <w:vAlign w:val="center"/>
          </w:tcPr>
          <w:p>
            <w:pPr>
              <w:jc w:val="center"/>
              <w:rPr>
                <w:i/>
                <w:iCs/>
                <w:noProof/>
                <w:color w:val="000000"/>
                <w:sz w:val="20"/>
              </w:rPr>
            </w:pPr>
            <w:r>
              <w:rPr>
                <w:i/>
                <w:noProof/>
                <w:color w:val="000000"/>
                <w:sz w:val="20"/>
              </w:rPr>
              <w:t>Seimas</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Pays-Bas</w:t>
            </w:r>
          </w:p>
        </w:tc>
        <w:tc>
          <w:tcPr>
            <w:tcW w:w="3609" w:type="dxa"/>
            <w:shd w:val="clear" w:color="auto" w:fill="auto"/>
            <w:vAlign w:val="center"/>
          </w:tcPr>
          <w:p>
            <w:pPr>
              <w:jc w:val="center"/>
              <w:rPr>
                <w:i/>
                <w:iCs/>
                <w:noProof/>
                <w:color w:val="000000"/>
                <w:sz w:val="20"/>
              </w:rPr>
            </w:pPr>
            <w:r>
              <w:rPr>
                <w:i/>
                <w:noProof/>
                <w:color w:val="000000"/>
                <w:sz w:val="20"/>
              </w:rPr>
              <w:t>Eerste Kamer</w:t>
            </w:r>
          </w:p>
        </w:tc>
        <w:tc>
          <w:tcPr>
            <w:tcW w:w="1660" w:type="dxa"/>
            <w:shd w:val="clear" w:color="auto" w:fill="auto"/>
            <w:vAlign w:val="center"/>
          </w:tcPr>
          <w:p>
            <w:pPr>
              <w:jc w:val="center"/>
              <w:rPr>
                <w:noProof/>
                <w:color w:val="000000"/>
                <w:sz w:val="20"/>
              </w:rPr>
            </w:pPr>
            <w:r>
              <w:rPr>
                <w:noProof/>
                <w:color w:val="000000"/>
                <w:sz w:val="20"/>
              </w:rPr>
              <w:t>2</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Malte</w:t>
            </w:r>
          </w:p>
        </w:tc>
        <w:tc>
          <w:tcPr>
            <w:tcW w:w="3609" w:type="dxa"/>
            <w:shd w:val="clear" w:color="auto" w:fill="auto"/>
            <w:vAlign w:val="center"/>
          </w:tcPr>
          <w:p>
            <w:pPr>
              <w:jc w:val="center"/>
              <w:rPr>
                <w:i/>
                <w:iCs/>
                <w:noProof/>
                <w:color w:val="000000"/>
                <w:sz w:val="20"/>
              </w:rPr>
            </w:pPr>
            <w:r>
              <w:rPr>
                <w:i/>
                <w:noProof/>
                <w:color w:val="000000"/>
                <w:sz w:val="20"/>
              </w:rPr>
              <w:t>Kamra tad-Deputati</w:t>
            </w:r>
          </w:p>
        </w:tc>
        <w:tc>
          <w:tcPr>
            <w:tcW w:w="1660" w:type="dxa"/>
            <w:shd w:val="clear" w:color="auto" w:fill="auto"/>
            <w:vAlign w:val="center"/>
          </w:tcPr>
          <w:p>
            <w:pPr>
              <w:jc w:val="center"/>
              <w:rPr>
                <w:noProof/>
                <w:color w:val="000000"/>
                <w:sz w:val="20"/>
              </w:rPr>
            </w:pPr>
            <w:r>
              <w:rPr>
                <w:noProof/>
                <w:color w:val="000000"/>
                <w:sz w:val="20"/>
              </w:rPr>
              <w:t>1</w:t>
            </w:r>
          </w:p>
        </w:tc>
        <w:tc>
          <w:tcPr>
            <w:tcW w:w="2364" w:type="dxa"/>
            <w:shd w:val="clear" w:color="auto" w:fill="auto"/>
            <w:vAlign w:val="center"/>
          </w:tcPr>
          <w:p>
            <w:pPr>
              <w:jc w:val="center"/>
              <w:rPr>
                <w:noProof/>
                <w:color w:val="000000"/>
                <w:sz w:val="20"/>
              </w:rPr>
            </w:pPr>
            <w:r>
              <w:rPr>
                <w:noProof/>
                <w:color w:val="000000"/>
                <w:sz w:val="20"/>
              </w:rPr>
              <w:t>1</w:t>
            </w:r>
          </w:p>
        </w:tc>
      </w:tr>
      <w:tr>
        <w:trPr>
          <w:cantSplit/>
        </w:trPr>
        <w:tc>
          <w:tcPr>
            <w:tcW w:w="1909" w:type="dxa"/>
            <w:shd w:val="clear" w:color="auto" w:fill="auto"/>
            <w:vAlign w:val="center"/>
          </w:tcPr>
          <w:p>
            <w:pPr>
              <w:jc w:val="center"/>
              <w:rPr>
                <w:noProof/>
                <w:color w:val="000000"/>
                <w:sz w:val="20"/>
              </w:rPr>
            </w:pPr>
            <w:r>
              <w:rPr>
                <w:noProof/>
                <w:color w:val="000000"/>
                <w:sz w:val="20"/>
              </w:rPr>
              <w:t>Belgique</w:t>
            </w:r>
          </w:p>
        </w:tc>
        <w:tc>
          <w:tcPr>
            <w:tcW w:w="3609" w:type="dxa"/>
            <w:shd w:val="clear" w:color="auto" w:fill="auto"/>
            <w:vAlign w:val="center"/>
          </w:tcPr>
          <w:p>
            <w:pPr>
              <w:jc w:val="center"/>
              <w:rPr>
                <w:i/>
                <w:iCs/>
                <w:noProof/>
                <w:color w:val="000000"/>
                <w:sz w:val="20"/>
              </w:rPr>
            </w:pPr>
            <w:r>
              <w:rPr>
                <w:i/>
                <w:noProof/>
                <w:color w:val="000000"/>
                <w:sz w:val="20"/>
              </w:rPr>
              <w:t>Sénat de Belgique / Belgische Senaat</w:t>
            </w:r>
          </w:p>
        </w:tc>
        <w:tc>
          <w:tcPr>
            <w:tcW w:w="1660" w:type="dxa"/>
            <w:shd w:val="clear" w:color="auto" w:fill="auto"/>
            <w:vAlign w:val="center"/>
          </w:tcPr>
          <w:p>
            <w:pPr>
              <w:jc w:val="center"/>
              <w:rPr>
                <w:noProof/>
                <w:color w:val="000000"/>
                <w:sz w:val="20"/>
              </w:rPr>
            </w:pPr>
            <w:r>
              <w:rPr>
                <w:noProof/>
                <w:color w:val="000000"/>
                <w:sz w:val="20"/>
              </w:rPr>
              <w:t>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Belgique</w:t>
            </w:r>
          </w:p>
        </w:tc>
        <w:tc>
          <w:tcPr>
            <w:tcW w:w="3609" w:type="dxa"/>
            <w:shd w:val="clear" w:color="auto" w:fill="auto"/>
            <w:vAlign w:val="center"/>
          </w:tcPr>
          <w:p>
            <w:pPr>
              <w:jc w:val="center"/>
              <w:rPr>
                <w:i/>
                <w:iCs/>
                <w:noProof/>
                <w:color w:val="000000"/>
                <w:sz w:val="20"/>
              </w:rPr>
            </w:pPr>
            <w:r>
              <w:rPr>
                <w:i/>
                <w:noProof/>
                <w:color w:val="000000"/>
                <w:sz w:val="20"/>
              </w:rPr>
              <w:t>Chambre des Représentants de Belgique / Belgische Kamer van volksvertegenwoordigers</w:t>
            </w:r>
          </w:p>
        </w:tc>
        <w:tc>
          <w:tcPr>
            <w:tcW w:w="1660" w:type="dxa"/>
            <w:shd w:val="clear" w:color="auto" w:fill="auto"/>
            <w:vAlign w:val="center"/>
          </w:tcPr>
          <w:p>
            <w:pPr>
              <w:jc w:val="center"/>
              <w:rPr>
                <w:noProof/>
                <w:color w:val="000000"/>
                <w:sz w:val="20"/>
              </w:rPr>
            </w:pPr>
            <w:r>
              <w:rPr>
                <w:noProof/>
                <w:color w:val="000000"/>
                <w:sz w:val="20"/>
              </w:rPr>
              <w:t>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Croatie</w:t>
            </w:r>
          </w:p>
        </w:tc>
        <w:tc>
          <w:tcPr>
            <w:tcW w:w="3609" w:type="dxa"/>
            <w:shd w:val="clear" w:color="auto" w:fill="auto"/>
            <w:vAlign w:val="center"/>
          </w:tcPr>
          <w:p>
            <w:pPr>
              <w:jc w:val="center"/>
              <w:rPr>
                <w:i/>
                <w:iCs/>
                <w:noProof/>
                <w:color w:val="000000"/>
                <w:sz w:val="20"/>
              </w:rPr>
            </w:pPr>
            <w:r>
              <w:rPr>
                <w:i/>
                <w:noProof/>
                <w:color w:val="000000"/>
                <w:sz w:val="20"/>
              </w:rPr>
              <w:t xml:space="preserve">Hrvatski Sabor </w:t>
            </w:r>
          </w:p>
        </w:tc>
        <w:tc>
          <w:tcPr>
            <w:tcW w:w="1660" w:type="dxa"/>
            <w:shd w:val="clear" w:color="auto" w:fill="auto"/>
            <w:vAlign w:val="center"/>
          </w:tcPr>
          <w:p>
            <w:pPr>
              <w:jc w:val="center"/>
              <w:rPr>
                <w:noProof/>
                <w:color w:val="000000"/>
                <w:sz w:val="20"/>
              </w:rPr>
            </w:pPr>
            <w:r>
              <w:rPr>
                <w:noProof/>
                <w:color w:val="000000"/>
                <w:sz w:val="20"/>
              </w:rPr>
              <w:t>1</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Autriche</w:t>
            </w:r>
          </w:p>
        </w:tc>
        <w:tc>
          <w:tcPr>
            <w:tcW w:w="3609" w:type="dxa"/>
            <w:shd w:val="clear" w:color="auto" w:fill="auto"/>
            <w:vAlign w:val="center"/>
          </w:tcPr>
          <w:p>
            <w:pPr>
              <w:jc w:val="center"/>
              <w:rPr>
                <w:i/>
                <w:iCs/>
                <w:noProof/>
                <w:color w:val="000000"/>
                <w:sz w:val="20"/>
              </w:rPr>
            </w:pPr>
            <w:r>
              <w:rPr>
                <w:i/>
                <w:noProof/>
                <w:color w:val="000000"/>
                <w:sz w:val="20"/>
              </w:rPr>
              <w:t>Nationalrat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Bulgarie</w:t>
            </w:r>
          </w:p>
        </w:tc>
        <w:tc>
          <w:tcPr>
            <w:tcW w:w="3609" w:type="dxa"/>
            <w:shd w:val="clear" w:color="auto" w:fill="auto"/>
            <w:vAlign w:val="center"/>
          </w:tcPr>
          <w:p>
            <w:pPr>
              <w:jc w:val="center"/>
              <w:rPr>
                <w:i/>
                <w:iCs/>
                <w:noProof/>
                <w:color w:val="000000"/>
                <w:sz w:val="20"/>
              </w:rPr>
            </w:pPr>
            <w:r>
              <w:rPr>
                <w:i/>
                <w:noProof/>
                <w:color w:val="000000"/>
                <w:sz w:val="20"/>
              </w:rPr>
              <w:t>Narodno Sabranie</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Chypre</w:t>
            </w:r>
          </w:p>
        </w:tc>
        <w:tc>
          <w:tcPr>
            <w:tcW w:w="3609" w:type="dxa"/>
            <w:shd w:val="clear" w:color="auto" w:fill="auto"/>
            <w:vAlign w:val="center"/>
          </w:tcPr>
          <w:p>
            <w:pPr>
              <w:jc w:val="center"/>
              <w:rPr>
                <w:i/>
                <w:iCs/>
                <w:noProof/>
                <w:color w:val="000000"/>
                <w:sz w:val="20"/>
              </w:rPr>
            </w:pPr>
            <w:r>
              <w:rPr>
                <w:i/>
                <w:noProof/>
                <w:color w:val="000000"/>
                <w:sz w:val="20"/>
              </w:rPr>
              <w:t xml:space="preserve">Vouli ton Antiprosopon </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Estonie</w:t>
            </w:r>
          </w:p>
        </w:tc>
        <w:tc>
          <w:tcPr>
            <w:tcW w:w="3609" w:type="dxa"/>
            <w:shd w:val="clear" w:color="auto" w:fill="auto"/>
            <w:vAlign w:val="center"/>
          </w:tcPr>
          <w:p>
            <w:pPr>
              <w:jc w:val="center"/>
              <w:rPr>
                <w:i/>
                <w:iCs/>
                <w:noProof/>
                <w:color w:val="000000"/>
                <w:sz w:val="20"/>
              </w:rPr>
            </w:pPr>
            <w:r>
              <w:rPr>
                <w:i/>
                <w:noProof/>
                <w:color w:val="000000"/>
                <w:sz w:val="20"/>
              </w:rPr>
              <w:t>Riigikogu</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Finlande</w:t>
            </w:r>
          </w:p>
        </w:tc>
        <w:tc>
          <w:tcPr>
            <w:tcW w:w="3609" w:type="dxa"/>
            <w:shd w:val="clear" w:color="auto" w:fill="auto"/>
            <w:vAlign w:val="center"/>
          </w:tcPr>
          <w:p>
            <w:pPr>
              <w:jc w:val="center"/>
              <w:rPr>
                <w:i/>
                <w:iCs/>
                <w:noProof/>
                <w:color w:val="000000"/>
                <w:sz w:val="20"/>
              </w:rPr>
            </w:pPr>
            <w:r>
              <w:rPr>
                <w:i/>
                <w:noProof/>
                <w:color w:val="000000"/>
                <w:sz w:val="20"/>
              </w:rPr>
              <w:t>Eduskunta</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Grèce</w:t>
            </w:r>
          </w:p>
        </w:tc>
        <w:tc>
          <w:tcPr>
            <w:tcW w:w="3609" w:type="dxa"/>
            <w:shd w:val="clear" w:color="auto" w:fill="auto"/>
            <w:vAlign w:val="center"/>
          </w:tcPr>
          <w:p>
            <w:pPr>
              <w:jc w:val="center"/>
              <w:rPr>
                <w:i/>
                <w:iCs/>
                <w:noProof/>
                <w:color w:val="000000"/>
                <w:sz w:val="20"/>
              </w:rPr>
            </w:pPr>
            <w:r>
              <w:rPr>
                <w:i/>
                <w:noProof/>
                <w:color w:val="000000"/>
                <w:sz w:val="20"/>
              </w:rPr>
              <w:t>Vouli ton Ellinon</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Lettonie</w:t>
            </w:r>
          </w:p>
        </w:tc>
        <w:tc>
          <w:tcPr>
            <w:tcW w:w="3609" w:type="dxa"/>
            <w:shd w:val="clear" w:color="auto" w:fill="auto"/>
            <w:vAlign w:val="center"/>
          </w:tcPr>
          <w:p>
            <w:pPr>
              <w:jc w:val="center"/>
              <w:rPr>
                <w:i/>
                <w:iCs/>
                <w:noProof/>
                <w:color w:val="000000"/>
                <w:sz w:val="20"/>
              </w:rPr>
            </w:pPr>
            <w:r>
              <w:rPr>
                <w:i/>
                <w:noProof/>
                <w:color w:val="000000"/>
                <w:sz w:val="20"/>
              </w:rPr>
              <w:t>Saeima</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Luxembourg</w:t>
            </w:r>
          </w:p>
        </w:tc>
        <w:tc>
          <w:tcPr>
            <w:tcW w:w="3609" w:type="dxa"/>
            <w:shd w:val="clear" w:color="auto" w:fill="auto"/>
            <w:vAlign w:val="center"/>
          </w:tcPr>
          <w:p>
            <w:pPr>
              <w:jc w:val="center"/>
              <w:rPr>
                <w:i/>
                <w:iCs/>
                <w:noProof/>
                <w:color w:val="000000"/>
                <w:sz w:val="20"/>
              </w:rPr>
            </w:pPr>
            <w:r>
              <w:rPr>
                <w:i/>
                <w:noProof/>
                <w:color w:val="000000"/>
                <w:sz w:val="20"/>
              </w:rPr>
              <w:t>Chambre des Députés</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Slovénie</w:t>
            </w:r>
          </w:p>
        </w:tc>
        <w:tc>
          <w:tcPr>
            <w:tcW w:w="3609" w:type="dxa"/>
            <w:shd w:val="clear" w:color="auto" w:fill="auto"/>
            <w:vAlign w:val="center"/>
          </w:tcPr>
          <w:p>
            <w:pPr>
              <w:jc w:val="center"/>
              <w:rPr>
                <w:i/>
                <w:iCs/>
                <w:noProof/>
                <w:color w:val="000000"/>
                <w:sz w:val="20"/>
              </w:rPr>
            </w:pPr>
            <w:r>
              <w:rPr>
                <w:i/>
                <w:noProof/>
                <w:color w:val="000000"/>
                <w:sz w:val="20"/>
              </w:rPr>
              <w:t>Državni svet</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1909" w:type="dxa"/>
            <w:shd w:val="clear" w:color="auto" w:fill="auto"/>
            <w:vAlign w:val="center"/>
          </w:tcPr>
          <w:p>
            <w:pPr>
              <w:jc w:val="center"/>
              <w:rPr>
                <w:noProof/>
                <w:color w:val="000000"/>
                <w:sz w:val="20"/>
              </w:rPr>
            </w:pPr>
            <w:r>
              <w:rPr>
                <w:noProof/>
                <w:color w:val="000000"/>
                <w:sz w:val="20"/>
              </w:rPr>
              <w:t>Slovénie</w:t>
            </w:r>
          </w:p>
        </w:tc>
        <w:tc>
          <w:tcPr>
            <w:tcW w:w="3609" w:type="dxa"/>
            <w:shd w:val="clear" w:color="auto" w:fill="auto"/>
            <w:vAlign w:val="center"/>
          </w:tcPr>
          <w:p>
            <w:pPr>
              <w:jc w:val="center"/>
              <w:rPr>
                <w:i/>
                <w:iCs/>
                <w:noProof/>
                <w:color w:val="000000"/>
                <w:sz w:val="20"/>
              </w:rPr>
            </w:pPr>
            <w:r>
              <w:rPr>
                <w:i/>
                <w:noProof/>
                <w:color w:val="000000"/>
                <w:sz w:val="20"/>
              </w:rPr>
              <w:t>Državni zbor</w:t>
            </w:r>
          </w:p>
        </w:tc>
        <w:tc>
          <w:tcPr>
            <w:tcW w:w="1660" w:type="dxa"/>
            <w:shd w:val="clear" w:color="auto" w:fill="auto"/>
            <w:vAlign w:val="center"/>
          </w:tcPr>
          <w:p>
            <w:pPr>
              <w:jc w:val="center"/>
              <w:rPr>
                <w:noProof/>
                <w:color w:val="000000"/>
                <w:sz w:val="20"/>
              </w:rPr>
            </w:pPr>
            <w:r>
              <w:rPr>
                <w:noProof/>
                <w:color w:val="000000"/>
                <w:sz w:val="20"/>
              </w:rPr>
              <w:t>0</w:t>
            </w:r>
          </w:p>
        </w:tc>
        <w:tc>
          <w:tcPr>
            <w:tcW w:w="2364" w:type="dxa"/>
            <w:shd w:val="clear" w:color="auto" w:fill="auto"/>
            <w:vAlign w:val="center"/>
          </w:tcPr>
          <w:p>
            <w:pPr>
              <w:jc w:val="center"/>
              <w:rPr>
                <w:noProof/>
                <w:color w:val="000000"/>
                <w:sz w:val="20"/>
              </w:rPr>
            </w:pPr>
            <w:r>
              <w:rPr>
                <w:noProof/>
                <w:color w:val="000000"/>
                <w:sz w:val="20"/>
              </w:rPr>
              <w:t>0</w:t>
            </w:r>
          </w:p>
        </w:tc>
      </w:tr>
      <w:tr>
        <w:trPr>
          <w:cantSplit/>
        </w:trPr>
        <w:tc>
          <w:tcPr>
            <w:tcW w:w="5518" w:type="dxa"/>
            <w:gridSpan w:val="2"/>
            <w:shd w:val="clear" w:color="auto" w:fill="auto"/>
            <w:vAlign w:val="center"/>
          </w:tcPr>
          <w:p>
            <w:pPr>
              <w:jc w:val="center"/>
              <w:rPr>
                <w:b/>
                <w:noProof/>
                <w:sz w:val="20"/>
              </w:rPr>
            </w:pPr>
            <w:r>
              <w:rPr>
                <w:b/>
                <w:noProof/>
                <w:sz w:val="20"/>
              </w:rPr>
              <w:t>TOTAL</w:t>
            </w:r>
          </w:p>
        </w:tc>
        <w:tc>
          <w:tcPr>
            <w:tcW w:w="1660" w:type="dxa"/>
            <w:shd w:val="clear" w:color="auto" w:fill="auto"/>
          </w:tcPr>
          <w:p>
            <w:pPr>
              <w:jc w:val="center"/>
              <w:rPr>
                <w:b/>
                <w:noProof/>
                <w:sz w:val="20"/>
              </w:rPr>
            </w:pPr>
            <w:r>
              <w:rPr>
                <w:b/>
                <w:noProof/>
                <w:sz w:val="20"/>
              </w:rPr>
              <w:t>569</w:t>
            </w:r>
          </w:p>
        </w:tc>
        <w:tc>
          <w:tcPr>
            <w:tcW w:w="2364" w:type="dxa"/>
            <w:shd w:val="clear" w:color="auto" w:fill="auto"/>
          </w:tcPr>
          <w:p>
            <w:pPr>
              <w:jc w:val="center"/>
              <w:rPr>
                <w:b/>
                <w:noProof/>
                <w:sz w:val="20"/>
              </w:rPr>
            </w:pPr>
            <w:r>
              <w:rPr>
                <w:b/>
                <w:noProof/>
                <w:sz w:val="20"/>
              </w:rPr>
              <w:t>37</w:t>
            </w:r>
          </w:p>
        </w:tc>
      </w:tr>
    </w:tbl>
    <w:p>
      <w:pPr>
        <w:rPr>
          <w:b/>
          <w:noProof/>
          <w:u w:val="single"/>
        </w:rPr>
      </w:pPr>
    </w:p>
    <w:p>
      <w:pPr>
        <w:jc w:val="left"/>
        <w:rPr>
          <w:b/>
          <w:noProof/>
          <w:u w:val="single"/>
        </w:rPr>
      </w:pPr>
      <w:r>
        <w:rPr>
          <w:noProof/>
        </w:rPr>
        <w:br w:type="page"/>
      </w:r>
    </w:p>
    <w:p>
      <w:pPr>
        <w:spacing w:after="240"/>
        <w:jc w:val="center"/>
        <w:rPr>
          <w:b/>
          <w:noProof/>
          <w:u w:val="single"/>
        </w:rPr>
      </w:pPr>
      <w:r>
        <w:rPr>
          <w:b/>
          <w:noProof/>
          <w:u w:val="single"/>
        </w:rPr>
        <w:t>ANNEXE 3</w:t>
      </w:r>
    </w:p>
    <w:p>
      <w:pPr>
        <w:spacing w:after="240"/>
        <w:jc w:val="center"/>
        <w:rPr>
          <w:b/>
          <w:noProof/>
        </w:rPr>
      </w:pPr>
      <w:r>
        <w:rPr>
          <w:b/>
          <w:noProof/>
        </w:rPr>
        <w:t>Documents de la Commission à l’origine du plus grand nombre d’avis</w:t>
      </w:r>
      <w:r>
        <w:rPr>
          <w:rStyle w:val="FootnoteReference"/>
          <w:noProof/>
        </w:rPr>
        <w:footnoteReference w:id="8"/>
      </w:r>
      <w:r>
        <w:rPr>
          <w:b/>
          <w:noProof/>
        </w:rPr>
        <w:t xml:space="preserve"> reçus par la Commission en 2018 (dialogue politique et mécanisme de contrôle de la subsidiarité) </w:t>
      </w:r>
    </w:p>
    <w:tbl>
      <w:tblPr>
        <w:tblW w:w="9679" w:type="dxa"/>
        <w:tblInd w:w="-34" w:type="dxa"/>
        <w:tblCellMar>
          <w:top w:w="57" w:type="dxa"/>
          <w:left w:w="57" w:type="dxa"/>
          <w:bottom w:w="57" w:type="dxa"/>
          <w:right w:w="57" w:type="dxa"/>
        </w:tblCellMar>
        <w:tblLook w:val="04A0" w:firstRow="1" w:lastRow="0" w:firstColumn="1" w:lastColumn="0" w:noHBand="0" w:noVBand="1"/>
      </w:tblPr>
      <w:tblGrid>
        <w:gridCol w:w="534"/>
        <w:gridCol w:w="1883"/>
        <w:gridCol w:w="4343"/>
        <w:gridCol w:w="1164"/>
        <w:gridCol w:w="1755"/>
      </w:tblGrid>
      <w:tr>
        <w:trPr>
          <w:cantSplit/>
          <w:tblHeader/>
        </w:trPr>
        <w:tc>
          <w:tcPr>
            <w:tcW w:w="534" w:type="dxa"/>
            <w:tcBorders>
              <w:top w:val="single" w:sz="4" w:space="0" w:color="auto"/>
              <w:left w:val="single" w:sz="4" w:space="0" w:color="auto"/>
              <w:bottom w:val="single" w:sz="4" w:space="0" w:color="auto"/>
            </w:tcBorders>
            <w:shd w:val="clear" w:color="auto" w:fill="auto"/>
            <w:noWrap/>
            <w:vAlign w:val="center"/>
            <w:hideMark/>
          </w:tcPr>
          <w:p>
            <w:pPr>
              <w:jc w:val="center"/>
              <w:rPr>
                <w:noProof/>
                <w:color w:val="000000"/>
                <w:sz w:val="22"/>
                <w:szCs w:val="22"/>
              </w:rPr>
            </w:pPr>
          </w:p>
        </w:tc>
        <w:tc>
          <w:tcPr>
            <w:tcW w:w="1883" w:type="dxa"/>
            <w:tcBorders>
              <w:top w:val="single" w:sz="4" w:space="0" w:color="auto"/>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Document de la Commission</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Intitulé</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Nombre total d’avis</w:t>
            </w:r>
            <w:r>
              <w:rPr>
                <w:rStyle w:val="FootnoteReference"/>
                <w:b/>
                <w:noProof/>
                <w:color w:val="000000"/>
                <w:sz w:val="22"/>
              </w:rPr>
              <w:footnoteReference w:id="9"/>
            </w:r>
          </w:p>
        </w:tc>
        <w:tc>
          <w:tcPr>
            <w:tcW w:w="1755"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Dont avis motivés (protocole nº 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COM(2018) 51</w:t>
            </w:r>
          </w:p>
        </w:tc>
        <w:tc>
          <w:tcPr>
            <w:tcW w:w="4343" w:type="dxa"/>
            <w:tcBorders>
              <w:top w:val="single" w:sz="4" w:space="0" w:color="auto"/>
              <w:left w:val="nil"/>
              <w:bottom w:val="single" w:sz="4" w:space="0" w:color="auto"/>
              <w:right w:val="single" w:sz="4" w:space="0" w:color="auto"/>
            </w:tcBorders>
            <w:shd w:val="clear" w:color="auto" w:fill="auto"/>
            <w:hideMark/>
          </w:tcPr>
          <w:p>
            <w:pPr>
              <w:rPr>
                <w:noProof/>
                <w:color w:val="000000"/>
                <w:sz w:val="22"/>
                <w:szCs w:val="22"/>
              </w:rPr>
            </w:pPr>
            <w:r>
              <w:rPr>
                <w:noProof/>
                <w:color w:val="000000"/>
                <w:sz w:val="22"/>
              </w:rPr>
              <w:t>Proposition de règlement du Parlement européen et du Conseil concernant l’évaluation des technologies de la santé et modifiant la directive 2011/24/UE</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10</w:t>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3</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COM(2017) 753</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rPr>
              <w:t>Proposition de directive du Parlement européen et du Conseil relative à la qualité des eaux destinées à la consommation humaine (refonte)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COM(2018) 148</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rPr>
              <w:t>Proposition de directive du Conseil concernant le système commun de taxe sur les services numériques applicable aux produits tirés de la fourniture de certains services numériques</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COM(2018) 131</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rPr>
              <w:t>Proposition de règlement du Parlement européen et du Conseil établissant une Autorité européenne du travail</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5</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COM(2018) 173</w:t>
            </w:r>
          </w:p>
        </w:tc>
        <w:tc>
          <w:tcPr>
            <w:tcW w:w="4343" w:type="dxa"/>
            <w:tcBorders>
              <w:top w:val="single" w:sz="4" w:space="0" w:color="auto"/>
              <w:left w:val="nil"/>
              <w:bottom w:val="single" w:sz="4" w:space="0" w:color="auto"/>
              <w:right w:val="single" w:sz="4" w:space="0" w:color="auto"/>
            </w:tcBorders>
            <w:shd w:val="clear" w:color="auto" w:fill="auto"/>
            <w:hideMark/>
          </w:tcPr>
          <w:p>
            <w:pPr>
              <w:rPr>
                <w:noProof/>
                <w:color w:val="000000"/>
                <w:sz w:val="22"/>
                <w:szCs w:val="22"/>
              </w:rPr>
            </w:pPr>
            <w:r>
              <w:rPr>
                <w:noProof/>
                <w:color w:val="000000"/>
                <w:sz w:val="22"/>
              </w:rPr>
              <w:t>Proposition de directive du Parlement européen et du Conseil sur les pratiques commerciales déloyales dans les relations interentreprises au sein de la chaîne d’approvisionnement alimentaire</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6</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COM(2018) 392</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rPr>
              <w:t>Proposition de règlement du Parlement européen et du Conseil établissant des règles régissant l’aide aux plans stratégiques devant être établis par les États membres dans le cadre de la politique agricole commune (les «plans stratégiques relevant de la PAC») et financés par le Fonds européen agricole de garantie (FEAGA) et par le Fonds européen agricole pour le développement rural (Feader), et abrogeant le règlement (UE) nº 1305/2013 du Parlement européen et du Conseil et le règlement (UE) nº 1307/2013 du Parlement européen et du Conseil</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7</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COM(2018) 394</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rPr>
              <w:t>Proposition de règlement du Parlement européen et du Conseil modifiant les règlements (UE) 1308/2013 portant organisation commune des marchés dans le secteur des produits agricoles, (UE) n°°1151/2012 relatif aux systèmes de qualité applicables aux produits agricoles et aux denrées alimentaires, (UE) n° 251/2014 concernant la définition, la description, la présentation, l’étiquetage et la protection des indications géographiques des produits vinicoles aromatisés, (UE) n° 228/2013 portant mesures spécifiques dans le domaine de l’agriculture en faveur des régions ultrapériphériques de l’Union et (UE) n° 229/2013 portant mesures spécifiques dans le domaine de l’agriculture en faveur des îles mineures de la mer Égée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8</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COM(2018) 147</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rPr>
              <w:t>Proposition de directive du Conseil établissant les règles d’imposition des sociétés ayant une présence numérique significative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9</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COM(2018) 277</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rPr>
              <w:t>Proposition de règlement du Parlement européen et du Conseil concernant des mesures de rationalisation en vue de progresser dans la réalisation du réseau transeuropéen de transport</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10</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COM(2018) 640</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rPr>
              <w:t>Proposition de règlement du Parlement européen et du Conseil relatif à la prévention de la diffusion de contenus à caractère terroriste en ligne - Une contribution de la Commission européenne à la réunion des dirigeants à Salzbourg les 19 et 20 septembre 2018</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11</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COM(2018) 367</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rPr>
              <w:t>Proposition de règlement du Parlement européen et du Conseil établissant «Erasmus»,</w:t>
            </w:r>
            <w:r>
              <w:rPr>
                <w:noProof/>
                <w:sz w:val="22"/>
              </w:rPr>
              <w:t xml:space="preserve"> le programme de l’Union pour l’éducation, la formation, la jeunesse et le sport, et abrogeant le règlement (UE) nº 1288/2013</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COM(2018) 393</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rPr>
              <w:t>Proposition de règlement du Parlement européen et du Conseil relatif au financement, à la gestion et au suivi de la politique agricole commune et abrogeant le règlement (UE) nº 1306/2013</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COM(2018) 476</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rPr>
              <w:t>Proposition de règlement du Parlement européen et du Conseil établissant le Fonds européen de la défense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COM(2017) 824</w:t>
            </w:r>
          </w:p>
        </w:tc>
        <w:tc>
          <w:tcPr>
            <w:tcW w:w="4343" w:type="dxa"/>
            <w:tcBorders>
              <w:top w:val="single" w:sz="4" w:space="0" w:color="auto"/>
              <w:left w:val="nil"/>
              <w:bottom w:val="single" w:sz="4" w:space="0" w:color="auto"/>
              <w:right w:val="single" w:sz="4" w:space="0" w:color="auto"/>
            </w:tcBorders>
            <w:shd w:val="clear" w:color="auto" w:fill="auto"/>
          </w:tcPr>
          <w:p>
            <w:pPr>
              <w:rPr>
                <w:noProof/>
                <w:color w:val="000000"/>
                <w:sz w:val="22"/>
                <w:szCs w:val="22"/>
              </w:rPr>
            </w:pPr>
            <w:r>
              <w:rPr>
                <w:noProof/>
                <w:color w:val="000000"/>
                <w:sz w:val="22"/>
              </w:rPr>
              <w:t>Proposition de directive du Conseil établissant des dispositions en vue du renforcement de la responsabilité budgétaire et de l’orientation budgétaire à moyen terme dans les États membres</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bl>
    <w:p>
      <w:pPr>
        <w:rPr>
          <w:b/>
          <w:noProof/>
        </w:rPr>
      </w:pPr>
    </w:p>
    <w:sectPr>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6" w:h="16838" w:code="9"/>
      <w:pgMar w:top="1134" w:right="1440" w:bottom="1134" w:left="1440" w:header="425"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38148"/>
      <w:docPartObj>
        <w:docPartGallery w:val="Page Numbers (Bottom of Page)"/>
        <w:docPartUnique/>
      </w:docPartObj>
    </w:sdtPr>
    <w:sdtEndPr>
      <w:rPr>
        <w:noProof/>
      </w:rPr>
    </w:sdtEndPr>
    <w:sdtContent>
      <w:p>
        <w:pPr>
          <w:pStyle w:val="Footer"/>
          <w:jc w:val="cente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1</w:t>
        </w:r>
        <w:r>
          <w:rPr>
            <w:rFonts w:ascii="Times New Roman" w:hAnsi="Times New Roman"/>
            <w:noProof/>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tabs>
          <w:tab w:val="left" w:pos="284"/>
        </w:tabs>
        <w:ind w:left="284" w:hanging="284"/>
        <w:rPr>
          <w:rFonts w:asciiTheme="majorBidi" w:hAnsiTheme="majorBidi" w:cstheme="majorBidi"/>
        </w:rPr>
      </w:pPr>
      <w:r>
        <w:rPr>
          <w:rStyle w:val="FootnoteReference"/>
        </w:rPr>
        <w:footnoteRef/>
      </w:r>
      <w:r>
        <w:rPr>
          <w:rFonts w:asciiTheme="majorBidi" w:hAnsiTheme="majorBidi" w:cstheme="majorBidi"/>
        </w:rPr>
        <w:t xml:space="preserve"> </w:t>
      </w:r>
      <w:r>
        <w:tab/>
      </w:r>
      <w:r>
        <w:rPr>
          <w:rFonts w:asciiTheme="majorBidi" w:hAnsiTheme="majorBidi" w:cstheme="majorBidi"/>
        </w:rPr>
        <w:t>Pour être considéré comme un avis motivé tel que défini dans le protocole nº 2, un avis doit exposer les raisons pour lesquelles le parlement national estime qu’une proposition législative n’est pas conforme au principe de subsidiarité et être adressé à la Commission généralement dans un délai de huit semaines à compter de la transmission de la proposition législative aux parlements nationaux.</w:t>
      </w:r>
    </w:p>
  </w:footnote>
  <w:footnote w:id="2">
    <w:p>
      <w:pPr>
        <w:pStyle w:val="FootnoteText"/>
        <w:tabs>
          <w:tab w:val="left" w:pos="284"/>
        </w:tabs>
        <w:ind w:left="284" w:hanging="284"/>
        <w:rPr>
          <w:rFonts w:asciiTheme="majorBidi" w:hAnsiTheme="majorBidi" w:cstheme="majorBidi"/>
          <w:b/>
        </w:rPr>
      </w:pPr>
      <w:r>
        <w:rPr>
          <w:rStyle w:val="FootnoteReference"/>
        </w:rPr>
        <w:footnoteRef/>
      </w:r>
      <w:r>
        <w:rPr>
          <w:rFonts w:asciiTheme="majorBidi" w:hAnsiTheme="majorBidi" w:cstheme="majorBidi"/>
        </w:rPr>
        <w:t xml:space="preserve"> </w:t>
      </w:r>
      <w:r>
        <w:tab/>
      </w:r>
      <w:r>
        <w:rPr>
          <w:rFonts w:asciiTheme="majorBidi" w:hAnsiTheme="majorBidi" w:cstheme="majorBidi"/>
        </w:rPr>
        <w:t>En vertu du protocole nº 2, chaque parlement national dispose de deux voix; dans le cas d’un système bicaméral, chaque chambre dispose d’une voix. Dans le cas où les avis motivés représentent au moins un tiers (un quart pour les propositions en vertu de l’article 76 du traité sur le fonctionnement de l’Union européenne) de l’ensemble des voix attribuées aux parlements nationaux, le seuil du «carton jaune» est atteint, ce qui signifie que le projet d’acte législatif doit être réexaminé. Dix-neuf des 56 voix (18 sur 54, après le retrait du Royaume-Uni de l’Union européenne) représentent un tiers de toutes les voix attribuées.</w:t>
      </w:r>
    </w:p>
  </w:footnote>
  <w:footnote w:id="3">
    <w:p>
      <w:pPr>
        <w:pStyle w:val="FootnoteText"/>
        <w:ind w:left="284" w:hanging="284"/>
      </w:pPr>
      <w:r>
        <w:rPr>
          <w:rStyle w:val="FootnoteReference"/>
        </w:rPr>
        <w:footnoteRef/>
      </w:r>
      <w:r>
        <w:t xml:space="preserve"> </w:t>
      </w:r>
      <w:r>
        <w:tab/>
        <w:t xml:space="preserve">Alors que le </w:t>
      </w:r>
      <w:r>
        <w:rPr>
          <w:i/>
        </w:rPr>
        <w:t>Riksdag</w:t>
      </w:r>
      <w:r>
        <w:t xml:space="preserve"> suédois a envoyé un seul avis motivé couvrant les deux propositions [COM(2018) 184 et COM(2018) 185], le </w:t>
      </w:r>
      <w:r>
        <w:rPr>
          <w:i/>
        </w:rPr>
        <w:t>Bundesrat</w:t>
      </w:r>
      <w:r>
        <w:t xml:space="preserve"> autrichien a envoyé deux avis motivés distincts, un pour chaque proposition. Par conséquent, alors que le train de mesures et chaque proposition prise individuellement ont reçu deux avis motivés, le nombre total d’avis motivés pris en compte pour ce train de mesures est de trois.</w:t>
      </w:r>
    </w:p>
  </w:footnote>
  <w:footnote w:id="4">
    <w:p>
      <w:pPr>
        <w:pStyle w:val="FootnoteText"/>
        <w:ind w:left="284" w:hanging="284"/>
      </w:pPr>
      <w:r>
        <w:rPr>
          <w:rStyle w:val="FootnoteReference"/>
        </w:rPr>
        <w:footnoteRef/>
      </w:r>
      <w:r>
        <w:t xml:space="preserve"> </w:t>
      </w:r>
      <w:r>
        <w:tab/>
        <w:t>Ce nombre inclut à la fois les avis formulés dans le cadre du «dialogue politique» et les avis motivés reçus des parlements nationaux.</w:t>
      </w:r>
    </w:p>
  </w:footnote>
  <w:footnote w:id="5">
    <w:p>
      <w:pPr>
        <w:pStyle w:val="FootnoteText"/>
        <w:ind w:left="284" w:hanging="284"/>
      </w:pPr>
      <w:r>
        <w:rPr>
          <w:rStyle w:val="FootnoteReference"/>
        </w:rPr>
        <w:footnoteRef/>
      </w:r>
      <w:r>
        <w:t xml:space="preserve"> </w:t>
      </w:r>
      <w:r>
        <w:tab/>
        <w:t>Tous les avis conjoints des deux chambres.</w:t>
      </w:r>
    </w:p>
  </w:footnote>
  <w:footnote w:id="6">
    <w:p>
      <w:pPr>
        <w:pStyle w:val="FootnoteText"/>
        <w:ind w:left="284" w:hanging="284"/>
      </w:pPr>
      <w:r>
        <w:rPr>
          <w:rStyle w:val="FootnoteReference"/>
        </w:rPr>
        <w:footnoteRef/>
      </w:r>
      <w:r>
        <w:t xml:space="preserve"> </w:t>
      </w:r>
      <w:r>
        <w:tab/>
        <w:t xml:space="preserve">Dont 13 avis pour lesquels aucune réponse de la Commission n’était attendue. </w:t>
      </w:r>
    </w:p>
  </w:footnote>
  <w:footnote w:id="7">
    <w:p>
      <w:pPr>
        <w:pStyle w:val="FootnoteText"/>
        <w:ind w:left="284" w:hanging="284"/>
      </w:pPr>
      <w:r>
        <w:rPr>
          <w:rStyle w:val="FootnoteReference"/>
        </w:rPr>
        <w:footnoteRef/>
      </w:r>
      <w:r>
        <w:t xml:space="preserve"> </w:t>
      </w:r>
      <w:r>
        <w:tab/>
        <w:t>Tous les avis conjoints des deux chambres.</w:t>
      </w:r>
    </w:p>
  </w:footnote>
  <w:footnote w:id="8">
    <w:p>
      <w:pPr>
        <w:pStyle w:val="FootnoteText"/>
        <w:tabs>
          <w:tab w:val="left" w:pos="284"/>
        </w:tabs>
        <w:ind w:left="284" w:hanging="284"/>
      </w:pPr>
      <w:r>
        <w:rPr>
          <w:rStyle w:val="FootnoteReference"/>
        </w:rPr>
        <w:footnoteRef/>
      </w:r>
      <w:r>
        <w:t xml:space="preserve"> </w:t>
      </w:r>
      <w:r>
        <w:tab/>
        <w:t>Le tableau classe tous les documents de la Commission pour lesquels au moins sept avis ont été reçus. Dans certains cas, l’avis concernait également d’autres documents de la Commission.</w:t>
      </w:r>
    </w:p>
  </w:footnote>
  <w:footnote w:id="9">
    <w:p>
      <w:pPr>
        <w:pStyle w:val="FootnoteText"/>
        <w:ind w:left="284" w:hanging="284"/>
      </w:pPr>
      <w:r>
        <w:rPr>
          <w:rStyle w:val="FootnoteReference"/>
        </w:rPr>
        <w:footnoteRef/>
      </w:r>
      <w:r>
        <w:t xml:space="preserve"> </w:t>
      </w:r>
      <w:r>
        <w:tab/>
        <w:t>Ce nombre inclut à la fois les avis formulés dans le cadre du «dialogue politique» et les avis motivés reçus des parlements nationaux.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u"/>
    <w:docVar w:name="LW_ANNEX_NBR_FIRST" w:val="1"/>
    <w:docVar w:name="LW_ANNEX_NBR_LAST" w:val="3"/>
    <w:docVar w:name="LW_ANNEX_UNIQUE" w:val="0"/>
    <w:docVar w:name="LW_CORRIGENDUM" w:val="&lt;UNUSED&gt;"/>
    <w:docVar w:name="LW_COVERPAGE_EXISTS" w:val="True"/>
    <w:docVar w:name="LW_COVERPAGE_GUID" w:val="F6172E00-CEBF-466F-AB63-D27B13D1506D"/>
    <w:docVar w:name="LW_COVERPAGE_TYPE" w:val="1"/>
    <w:docVar w:name="LW_CROSSREFERENCE" w:val="&lt;UNUSED&gt;"/>
    <w:docVar w:name="LW_DocType" w:val="REP"/>
    <w:docVar w:name="LW_EMISSION" w:val="11.7.2019"/>
    <w:docVar w:name="LW_EMISSION_ISODATE" w:val="2019-07-11"/>
    <w:docVar w:name="LW_EMISSION_LOCATION" w:val="BRX"/>
    <w:docVar w:name="LW_EMISSION_PREFIX" w:val="Bruxelles, le "/>
    <w:docVar w:name="LW_EMISSION_SUFFIX" w:val=" "/>
    <w:docVar w:name="LW_ID_DOCTYPE_NONLW" w:val="CP-039"/>
    <w:docVar w:name="LW_LANGUE" w:val="FR"/>
    <w:docVar w:name="LW_LEVEL_OF_SENSITIVITY" w:val="Standard treatment"/>
    <w:docVar w:name="LW_NOM.INST" w:val="COMMISSION EUROPÉENNE"/>
    <w:docVar w:name="LW_NOM.INST_JOINTDOC" w:val="&lt;EMPTY&gt;"/>
    <w:docVar w:name="LW_OBJETACTEPRINCIPAL.CP" w:val="RAPPORT ANNUEL 2018_x000b_SUR L\u8217?APPLICATION DES PRINCIPES DE SUBSIDIARITÉ ET DE PROPORTIONNALITÉ ET SUR LES RELATIONS AVEC LES PARLEMENTS NATIONAUX"/>
    <w:docVar w:name="LW_PART_NBR" w:val="&lt;UNUSED&gt;"/>
    <w:docVar w:name="LW_PART_NBR_TOTAL" w:val="&lt;UNUSED&gt;"/>
    <w:docVar w:name="LW_REF.INST.NEW" w:val="COM"/>
    <w:docVar w:name="LW_REF.INST.NEW_ADOPTED" w:val="final"/>
    <w:docVar w:name="LW_REF.INST.NEW_TEXT" w:val="(2019) 3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S_x000b_"/>
    <w:docVar w:name="LW_TYPEACTEPRINCIPAL.CP" w:val="RAPPORT DE LA COMMISSION"/>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fr-FR"/>
    </w:rPr>
  </w:style>
  <w:style w:type="character" w:customStyle="1" w:styleId="HeaderChar">
    <w:name w:val="Header Char"/>
    <w:basedOn w:val="DefaultParagraphFont"/>
    <w:link w:val="Header"/>
    <w:uiPriority w:val="99"/>
    <w:rPr>
      <w:sz w:val="24"/>
      <w:lang w:eastAsia="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semiHidden/>
    <w:rPr>
      <w:lang w:eastAsia="fr-FR"/>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iceouttxt38">
    <w:name w:val="iceouttxt38"/>
    <w:basedOn w:val="DefaultParagraphFont"/>
    <w:rPr>
      <w:sz w:val="24"/>
      <w:szCs w:val="24"/>
      <w:bdr w:val="none" w:sz="0" w:space="0" w:color="auto" w:frame="1"/>
      <w:vertAlign w:val="base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fr-FR"/>
    </w:rPr>
  </w:style>
  <w:style w:type="character" w:customStyle="1" w:styleId="HeaderChar">
    <w:name w:val="Header Char"/>
    <w:basedOn w:val="DefaultParagraphFont"/>
    <w:link w:val="Header"/>
    <w:uiPriority w:val="99"/>
    <w:rPr>
      <w:sz w:val="24"/>
      <w:lang w:eastAsia="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semiHidden/>
    <w:rPr>
      <w:lang w:eastAsia="fr-FR"/>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iceouttxt38">
    <w:name w:val="iceouttxt38"/>
    <w:basedOn w:val="DefaultParagraphFont"/>
    <w:rPr>
      <w:sz w:val="24"/>
      <w:szCs w:val="24"/>
      <w:bdr w:val="none" w:sz="0" w:space="0" w:color="auto" w:frame="1"/>
      <w:vertAlign w:val="baseli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EurolookProperties>
  <ProductCustomizationId/>
  <Created>
    <Version>4.6</Version>
    <Date>2018-08-29T12:28:07</Date>
    <Language>EN</Language>
  </Created>
  <Edited>
    <Version>10.0.38495.0</Version>
    <Date>2019-04-09T12:08:23</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9A81CD-47B2-43EE-A84B-07911B2F577B}">
  <ds:schemaRefs/>
</ds:datastoreItem>
</file>

<file path=customXml/itemProps2.xml><?xml version="1.0" encoding="utf-8"?>
<ds:datastoreItem xmlns:ds="http://schemas.openxmlformats.org/officeDocument/2006/customXml" ds:itemID="{E185D78C-AD8C-44D8-9F36-C303026A0844}">
  <ds:schemaRefs/>
</ds:datastoreItem>
</file>

<file path=customXml/itemProps3.xml><?xml version="1.0" encoding="utf-8"?>
<ds:datastoreItem xmlns:ds="http://schemas.openxmlformats.org/officeDocument/2006/customXml" ds:itemID="{E0D61C8E-61D8-48E1-A8A1-D7C9F052D3FF}">
  <ds:schemaRefs/>
</ds:datastoreItem>
</file>

<file path=customXml/itemProps4.xml><?xml version="1.0" encoding="utf-8"?>
<ds:datastoreItem xmlns:ds="http://schemas.openxmlformats.org/officeDocument/2006/customXml" ds:itemID="{B2BDDCBA-5ECD-45FE-965B-1EB2C380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2134</Words>
  <Characters>11739</Characters>
  <Application>Microsoft Office Word</Application>
  <DocSecurity>0</DocSecurity>
  <PresentationFormat>Microsoft Word 14.0</PresentationFormat>
  <Lines>782</Lines>
  <Paragraphs>462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Therace</dc:creator>
  <cp:keywords>EL4</cp:keywords>
  <cp:lastModifiedBy>WES PDFC Administrator</cp:lastModifiedBy>
  <cp:revision>18</cp:revision>
  <cp:lastPrinted>2019-04-09T10:05:00Z</cp:lastPrinted>
  <dcterms:created xsi:type="dcterms:W3CDTF">2019-05-16T08:43:00Z</dcterms:created>
  <dcterms:modified xsi:type="dcterms:W3CDTF">2019-07-11T08:14:00Z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3</vt:lpwstr>
  </property>
  <property fmtid="{D5CDD505-2E9C-101B-9397-08002B2CF9AE}" pid="16" name="Unique annex">
    <vt:lpwstr>0</vt:lpwstr>
  </property>
  <property fmtid="{D5CDD505-2E9C-101B-9397-08002B2CF9AE}" pid="17" name="Part">
    <vt:lpwstr>&lt;UNUSED&gt;</vt:lpwstr>
  </property>
  <property fmtid="{D5CDD505-2E9C-101B-9397-08002B2CF9AE}" pid="18" name="Total parts">
    <vt:lpwstr>&lt;UNUSED&gt;</vt:lpwstr>
  </property>
  <property fmtid="{D5CDD505-2E9C-101B-9397-08002B2CF9AE}" pid="19" name="DocStatus">
    <vt:lpwstr>Green</vt:lpwstr>
  </property>
</Properties>
</file>