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2B76596-53A2-4A00-9CC1-C51B51E5ACD3"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Bdr>
          <w:top w:val="nil"/>
          <w:left w:val="nil"/>
          <w:bottom w:val="nil"/>
          <w:right w:val="nil"/>
          <w:between w:val="nil"/>
          <w:bar w:val="nil"/>
        </w:pBdr>
        <w:spacing w:before="0" w:after="240"/>
        <w:rPr>
          <w:noProof/>
          <w:highlight w:val="yellow"/>
        </w:rPr>
      </w:pPr>
      <w:r>
        <w:rPr>
          <w:noProof/>
        </w:rPr>
        <w:t xml:space="preserve">Europaparlamentet och rådet beslutade den 12 december 2018 att ta flexibilitetsmekanismen i anspråk för ett belopp på 1 164 miljoner euro: 179 miljoner euro för rubrik 1a </w:t>
      </w:r>
      <w:r>
        <w:rPr>
          <w:i/>
          <w:noProof/>
        </w:rPr>
        <w:t>Konkurrenskraft för tillväxt och sysselsättning</w:t>
      </w:r>
      <w:r>
        <w:rPr>
          <w:noProof/>
        </w:rPr>
        <w:t xml:space="preserve"> i syfte att stärka program som är viktiga med avseende på EU:s konkurrenskraft (närmare bestämt Horisont 2020 och Erasmus +), och 985,6 miljoner euro för rubrik 3 i enlighet med kommissionens förslag.</w:t>
      </w:r>
      <w:r>
        <w:rPr>
          <w:noProof/>
          <w:highlight w:val="yellow"/>
        </w:rPr>
        <w:t xml:space="preserve"> </w:t>
      </w:r>
    </w:p>
    <w:p>
      <w:pPr>
        <w:rPr>
          <w:bCs/>
          <w:noProof/>
        </w:rPr>
      </w:pPr>
      <w:r>
        <w:rPr>
          <w:noProof/>
        </w:rPr>
        <w:t>Kommissionen lägger i dag fram ett förslag till ändringsbudget nr 4/2019</w:t>
      </w:r>
      <w:r>
        <w:rPr>
          <w:rStyle w:val="FootnoteReference"/>
          <w:noProof/>
        </w:rPr>
        <w:footnoteReference w:id="1"/>
      </w:r>
      <w:r>
        <w:rPr>
          <w:noProof/>
        </w:rPr>
        <w:t xml:space="preserve"> med bl.a. minskade åtagandebemyndiganden för både rubrik 1a och rubrik 3, vilket minskar behovet av att utnyttja flexibilitetsmekanismen. Föreliggande förslag åtföljer det förslaget till ändringsbudget och syftar till att justera de belopp som tagits i anspråk från flexibilitetsmekanismen, samtidigt som ändamålet för ianspråktagandet respekteras. </w:t>
      </w:r>
    </w:p>
    <w:p>
      <w:pPr>
        <w:rPr>
          <w:bCs/>
          <w:noProof/>
        </w:rPr>
      </w:pPr>
      <w:r>
        <w:rPr>
          <w:noProof/>
        </w:rPr>
        <w:t>Flexibilitetsmekanismen kommer efter justeringen att tas i anspråk för ett belopp på 1 090 miljoner euro (före justeringen 1 164 miljoner euro), varav 160 miljoner euro för rubrik 1a och 930 miljoner euro för rubrik 3.</w:t>
      </w:r>
    </w:p>
    <w:p>
      <w:pPr>
        <w:rPr>
          <w:noProof/>
        </w:rPr>
      </w:pPr>
      <w:r>
        <w:rPr>
          <w:noProof/>
        </w:rPr>
        <w:t>Detta förslag till beslut om ianspråktagande kommer att ändra beslut (EU) 2019/276 av den 12 december 2018</w:t>
      </w:r>
      <w:r>
        <w:rPr>
          <w:rStyle w:val="FootnoteReference"/>
          <w:noProof/>
        </w:rPr>
        <w:footnoteReference w:id="2"/>
      </w:r>
      <w:r>
        <w:rPr>
          <w:noProof/>
        </w:rPr>
        <w:t>.</w:t>
      </w:r>
    </w:p>
    <w:p>
      <w:pPr>
        <w:rPr>
          <w:noProof/>
        </w:rPr>
      </w:pPr>
      <w:r>
        <w:rPr>
          <w:noProof/>
        </w:rPr>
        <w:t>De preliminära betalningsbemyndiganden som motsvarar det föreslagna minskade ianspråktagandet av flexibilitetsmekanismen redovisas i nedanstående tabell:</w:t>
      </w:r>
    </w:p>
    <w:p>
      <w:pPr>
        <w:ind w:left="5040" w:firstLine="720"/>
        <w:jc w:val="left"/>
        <w:rPr>
          <w:noProof/>
        </w:rPr>
      </w:pPr>
      <w:r>
        <w:rPr>
          <w:i/>
          <w:noProof/>
          <w:sz w:val="16"/>
        </w:rPr>
        <w:t>(miljoner euro, löpande priser)</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År</w:t>
            </w:r>
          </w:p>
        </w:tc>
        <w:tc>
          <w:tcPr>
            <w:tcW w:w="5604" w:type="dxa"/>
            <w:shd w:val="clear" w:color="auto" w:fill="D9D9D9"/>
          </w:tcPr>
          <w:p>
            <w:pPr>
              <w:spacing w:before="30" w:after="30"/>
              <w:jc w:val="center"/>
              <w:rPr>
                <w:b/>
                <w:noProof/>
                <w:sz w:val="16"/>
                <w:szCs w:val="16"/>
              </w:rPr>
            </w:pPr>
            <w:r>
              <w:rPr>
                <w:b/>
                <w:noProof/>
                <w:sz w:val="16"/>
              </w:rPr>
              <w:t>Betalningsbemyndiganden kopplade till ianspråktagandet av flexibilitetsmekanismen 2019</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511,5</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242,3</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126,3</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132,0</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78,3</w:t>
            </w:r>
          </w:p>
        </w:tc>
      </w:tr>
      <w:tr>
        <w:trPr>
          <w:jc w:val="center"/>
        </w:trPr>
        <w:tc>
          <w:tcPr>
            <w:tcW w:w="1560" w:type="dxa"/>
            <w:shd w:val="clear" w:color="auto" w:fill="D9D9D9"/>
          </w:tcPr>
          <w:p>
            <w:pPr>
              <w:spacing w:before="30" w:after="30"/>
              <w:jc w:val="right"/>
              <w:rPr>
                <w:b/>
                <w:noProof/>
                <w:sz w:val="16"/>
                <w:szCs w:val="16"/>
              </w:rPr>
            </w:pPr>
            <w:r>
              <w:rPr>
                <w:b/>
                <w:noProof/>
                <w:sz w:val="16"/>
              </w:rPr>
              <w:t>Totalt</w:t>
            </w:r>
          </w:p>
        </w:tc>
        <w:tc>
          <w:tcPr>
            <w:tcW w:w="5604" w:type="dxa"/>
            <w:shd w:val="clear" w:color="auto" w:fill="D9D9D9"/>
          </w:tcPr>
          <w:p>
            <w:pPr>
              <w:spacing w:before="30" w:after="30"/>
              <w:jc w:val="right"/>
              <w:rPr>
                <w:b/>
                <w:noProof/>
                <w:sz w:val="16"/>
                <w:szCs w:val="16"/>
              </w:rPr>
            </w:pPr>
            <w:r>
              <w:rPr>
                <w:b/>
                <w:noProof/>
                <w:sz w:val="16"/>
              </w:rPr>
              <w:t>1 090,4</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Förslag till</w:t>
      </w:r>
    </w:p>
    <w:p>
      <w:pPr>
        <w:pStyle w:val="Typedudocument"/>
        <w:rPr>
          <w:noProof/>
        </w:rPr>
      </w:pPr>
      <w:r>
        <w:rPr>
          <w:noProof/>
        </w:rPr>
        <w:t>EUROPAPARLAMENTETS OCH RÅDETS BESLUT</w:t>
      </w:r>
    </w:p>
    <w:p>
      <w:pPr>
        <w:pStyle w:val="Titreobjet"/>
        <w:rPr>
          <w:noProof/>
        </w:rPr>
      </w:pPr>
      <w:r>
        <w:rPr>
          <w:noProof/>
        </w:rPr>
        <w:t>om ändring av beslut (EU) 2019/276 vad gäller justeringar av de belopp som tas i anspråk från flexibilitetsmekanismen för 2019 för att användas för migration, flyktingströmmar och säkerhetshot</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w:t>
      </w:r>
    </w:p>
    <w:p>
      <w:pPr>
        <w:rPr>
          <w:noProof/>
        </w:rPr>
      </w:pPr>
      <w:r>
        <w:rPr>
          <w:noProof/>
        </w:rPr>
        <w:t>med beaktande av det interinstitutionella avtalet av den 2 december 2013 mellan Europaparlamentet, rådet och kommissionen om budgetdisciplin, samarbete i budgetfrågor och sund ekonomisk förvaltning</w:t>
      </w:r>
      <w:r>
        <w:rPr>
          <w:rStyle w:val="FootnoteReference"/>
          <w:noProof/>
        </w:rPr>
        <w:footnoteReference w:id="3"/>
      </w:r>
      <w:r>
        <w:rPr>
          <w:noProof/>
        </w:rPr>
        <w:t>, särskilt punkt 12,</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Flexibilitetsmekanismen ska göra det möjligt att finansiera klart fastställda utgifter som inte kan finansieras inom taken för en eller flera andra rubriker.</w:t>
      </w:r>
    </w:p>
    <w:p>
      <w:pPr>
        <w:pStyle w:val="ManualConsidrant"/>
        <w:rPr>
          <w:noProof/>
        </w:rPr>
      </w:pPr>
      <w:r>
        <w:t>(2)</w:t>
      </w:r>
      <w:r>
        <w:tab/>
      </w:r>
      <w:r>
        <w:rPr>
          <w:noProof/>
        </w:rPr>
        <w:t>Taket för det årligen tillgängliga beloppet för flexibilitetsmekanismen är 600 000 000 EUR (i 2011 års priser) i enlighet med artikel 11 i rådets förordning (EU, Euratom) nr 1311/2013</w:t>
      </w:r>
      <w:r>
        <w:rPr>
          <w:rStyle w:val="FootnoteReference"/>
          <w:noProof/>
        </w:rPr>
        <w:footnoteReference w:id="4"/>
      </w:r>
      <w:r>
        <w:rPr>
          <w:noProof/>
        </w:rPr>
        <w:t xml:space="preserve">, ett belopp som i förekommande fall får ökas med förfallna belopp som åter ställs till förfogande i enlighet med artikel 11.1 andra stycket. </w:t>
      </w:r>
    </w:p>
    <w:p>
      <w:pPr>
        <w:pStyle w:val="ManualConsidrant"/>
        <w:rPr>
          <w:noProof/>
        </w:rPr>
      </w:pPr>
      <w:r>
        <w:t>(3)</w:t>
      </w:r>
      <w:r>
        <w:tab/>
      </w:r>
      <w:r>
        <w:rPr>
          <w:noProof/>
        </w:rPr>
        <w:t>Den 12 december 2018 antog Europaparlamentet och rådet beslut (EU) 2019/276</w:t>
      </w:r>
      <w:r>
        <w:rPr>
          <w:rStyle w:val="FootnoteReference"/>
          <w:noProof/>
        </w:rPr>
        <w:footnoteReference w:id="5"/>
      </w:r>
      <w:r>
        <w:rPr>
          <w:noProof/>
        </w:rPr>
        <w:t xml:space="preserve"> om att ta flexibilitetsmekanismen i anspråk för budgetåret 2019 utöver taket för rubrik 1a (</w:t>
      </w:r>
      <w:r>
        <w:rPr>
          <w:i/>
          <w:noProof/>
        </w:rPr>
        <w:t>Konkurrenskraft för tillväxt och sysselsättning</w:t>
      </w:r>
      <w:r>
        <w:rPr>
          <w:noProof/>
        </w:rPr>
        <w:t>) med ett belopp på 178 715 475 EUR för att stärka program som är viktiga med avseende på EU:s konkurrenskraft samt utöver taket för rubrik 3 (</w:t>
      </w:r>
      <w:r>
        <w:rPr>
          <w:i/>
          <w:noProof/>
        </w:rPr>
        <w:t>Säkerhet och medborgarskap</w:t>
      </w:r>
      <w:r>
        <w:rPr>
          <w:noProof/>
        </w:rPr>
        <w:t>) med ett belopp på 985 629 138 EUR för att finansiera åtgärder på området migration, flyktingar och säkerhet.</w:t>
      </w:r>
    </w:p>
    <w:p>
      <w:pPr>
        <w:pStyle w:val="ManualConsidrant"/>
        <w:rPr>
          <w:noProof/>
        </w:rPr>
      </w:pPr>
      <w:r>
        <w:t>(4)</w:t>
      </w:r>
      <w:r>
        <w:tab/>
      </w:r>
      <w:r>
        <w:rPr>
          <w:noProof/>
        </w:rPr>
        <w:t>Förslaget till ändringsbudget nr 4/2019</w:t>
      </w:r>
      <w:r>
        <w:rPr>
          <w:rStyle w:val="FootnoteReference"/>
          <w:noProof/>
        </w:rPr>
        <w:footnoteReference w:id="6"/>
      </w:r>
      <w:r>
        <w:rPr>
          <w:noProof/>
        </w:rPr>
        <w:t xml:space="preserve"> innehåller bl.a. minskade åtagandebemyndiganden för både rubrik 1a och rubrik 3, vilket minskar behovet av att utnyttja flexibilitetsmekanismen. Det är därför nödvändigt att justera de belopp som tagits i anspråk från flexibilitetsmekanismen för 2019 i enlighet med detta. Det är också nödvändigt att justera den förväntade betalningsprofilen. </w:t>
      </w:r>
    </w:p>
    <w:p>
      <w:pPr>
        <w:pStyle w:val="ManualConsidrant"/>
        <w:rPr>
          <w:noProof/>
        </w:rPr>
      </w:pPr>
      <w:r>
        <w:t>(5)</w:t>
      </w:r>
      <w:r>
        <w:tab/>
      </w:r>
      <w:r>
        <w:rPr>
          <w:noProof/>
        </w:rPr>
        <w:t>Beslut (EU) 2019/276 bör därför ändras i enlighet med detta.</w:t>
      </w:r>
    </w:p>
    <w:p>
      <w:pPr>
        <w:pStyle w:val="ManualConsidrant"/>
        <w:rPr>
          <w:noProof/>
        </w:rPr>
      </w:pPr>
      <w:r>
        <w:lastRenderedPageBreak/>
        <w:t>(6)</w:t>
      </w:r>
      <w:r>
        <w:tab/>
      </w:r>
      <w:r>
        <w:rPr>
          <w:noProof/>
        </w:rPr>
        <w:t>Ianspråkstagandet av flexibilitetsmekanismen antas samtidigt med ändringen av 2019 års budget, eftersom detta gör det möjligt att finansiera vissa åtgärder utöver den fleråriga budgetramens tak. För att säkerställa överensstämmelse med den ändringen bör detta beslut träda i kraft samma dag som det antas.</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shd w:val="clear" w:color="auto" w:fill="auto"/>
            <w:hideMark/>
          </w:tcPr>
          <w:p>
            <w:pPr>
              <w:spacing w:before="0" w:after="0"/>
              <w:jc w:val="left"/>
              <w:rPr>
                <w:rFonts w:eastAsia="Times New Roman"/>
                <w:noProof/>
                <w:sz w:val="20"/>
                <w:szCs w:val="24"/>
              </w:rPr>
            </w:pPr>
          </w:p>
        </w:tc>
        <w:tc>
          <w:tcPr>
            <w:tcW w:w="0" w:type="auto"/>
            <w:shd w:val="clear" w:color="auto" w:fill="auto"/>
            <w:hideMark/>
          </w:tcPr>
          <w:p>
            <w:pPr>
              <w:spacing w:after="0" w:line="312" w:lineRule="atLeast"/>
              <w:rPr>
                <w:rFonts w:ascii="&amp;quot" w:eastAsia="Times New Roman" w:hAnsi="&amp;quot"/>
                <w:noProof/>
                <w:color w:val="444444"/>
                <w:szCs w:val="24"/>
              </w:rPr>
            </w:pPr>
          </w:p>
        </w:tc>
      </w:tr>
    </w:tbl>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I artikel 1.1 i beslut (EU) 2019/276 ska första stycket ändras på följande sätt: ”178 715 475 EUR” ska ersättas med ”160 195 475 EUR” och ”985 629 138 EUR” ska ersättas med ”930 188 138 EUR”. I punkt 2 första stycket ska leden a–e ersättas med följande:</w:t>
      </w:r>
    </w:p>
    <w:p>
      <w:pPr>
        <w:pStyle w:val="QuotedText"/>
        <w:rPr>
          <w:noProof/>
        </w:rPr>
      </w:pPr>
      <w:r>
        <w:rPr>
          <w:noProof/>
        </w:rPr>
        <w:t>”a)</w:t>
      </w:r>
      <w:r>
        <w:rPr>
          <w:noProof/>
        </w:rPr>
        <w:tab/>
        <w:t> 511 468 976 EUR år 2019.</w:t>
      </w:r>
    </w:p>
    <w:p>
      <w:pPr>
        <w:pStyle w:val="QuotedText"/>
        <w:rPr>
          <w:noProof/>
        </w:rPr>
      </w:pPr>
      <w:r>
        <w:rPr>
          <w:noProof/>
        </w:rPr>
        <w:t>b)</w:t>
      </w:r>
      <w:r>
        <w:rPr>
          <w:noProof/>
        </w:rPr>
        <w:tab/>
        <w:t>242 308 256 EUR år 2020.</w:t>
      </w:r>
    </w:p>
    <w:p>
      <w:pPr>
        <w:pStyle w:val="QuotedText"/>
        <w:rPr>
          <w:noProof/>
        </w:rPr>
      </w:pPr>
      <w:r>
        <w:rPr>
          <w:noProof/>
        </w:rPr>
        <w:t>c)</w:t>
      </w:r>
      <w:r>
        <w:rPr>
          <w:noProof/>
        </w:rPr>
        <w:tab/>
        <w:t>126 300 853 EUR år 2021.</w:t>
      </w:r>
    </w:p>
    <w:p>
      <w:pPr>
        <w:pStyle w:val="QuotedText"/>
        <w:rPr>
          <w:noProof/>
        </w:rPr>
      </w:pPr>
      <w:r>
        <w:rPr>
          <w:noProof/>
        </w:rPr>
        <w:t>d)</w:t>
      </w:r>
      <w:r>
        <w:rPr>
          <w:noProof/>
        </w:rPr>
        <w:tab/>
        <w:t>131 990 641 EUR år 2022.</w:t>
      </w:r>
    </w:p>
    <w:p>
      <w:pPr>
        <w:pStyle w:val="QuotedText"/>
        <w:rPr>
          <w:noProof/>
        </w:rPr>
      </w:pPr>
      <w:r>
        <w:rPr>
          <w:noProof/>
        </w:rPr>
        <w:t>e)</w:t>
      </w:r>
      <w:r>
        <w:rPr>
          <w:noProof/>
        </w:rPr>
        <w:tab/>
        <w:t>78 314 887 EUR år 2023.”</w:t>
      </w:r>
    </w:p>
    <w:p>
      <w:pPr>
        <w:pStyle w:val="Titrearticle"/>
        <w:rPr>
          <w:noProof/>
        </w:rPr>
      </w:pPr>
      <w:r>
        <w:rPr>
          <w:noProof/>
        </w:rPr>
        <w:t>Artikel 2</w:t>
      </w:r>
    </w:p>
    <w:p>
      <w:pPr>
        <w:keepNext/>
        <w:keepLines/>
        <w:rPr>
          <w:noProof/>
        </w:rPr>
      </w:pPr>
      <w:r>
        <w:rPr>
          <w:noProof/>
        </w:rPr>
        <w:t xml:space="preserve">Detta beslut träder i kraft samma dag som det offentliggörs i </w:t>
      </w:r>
      <w:r>
        <w:rPr>
          <w:i/>
          <w:noProof/>
        </w:rPr>
        <w:t>Europeiska unionens officiella tidning</w:t>
      </w:r>
      <w:r>
        <w:rPr>
          <w:noProof/>
        </w:rPr>
        <w:t>.</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F66FC" w15:done="0"/>
  <w15:commentEx w15:paraId="475FBF07" w15:done="0"/>
  <w15:commentEx w15:paraId="64C2C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COM(2019) 610, 2.7.2019.</w:t>
      </w:r>
    </w:p>
  </w:footnote>
  <w:footnote w:id="2">
    <w:p>
      <w:pPr>
        <w:pStyle w:val="FootnoteText"/>
      </w:pPr>
      <w:r>
        <w:rPr>
          <w:rStyle w:val="FootnoteReference"/>
        </w:rPr>
        <w:footnoteRef/>
      </w:r>
      <w:r>
        <w:tab/>
        <w:t>EUT L 54, 22.2.2019, s. 3.</w:t>
      </w:r>
    </w:p>
  </w:footnote>
  <w:footnote w:id="3">
    <w:p>
      <w:pPr>
        <w:pStyle w:val="FootnoteText"/>
      </w:pPr>
      <w:r>
        <w:rPr>
          <w:rStyle w:val="FootnoteReference"/>
        </w:rPr>
        <w:footnoteRef/>
      </w:r>
      <w:r>
        <w:tab/>
        <w:t>EUT C 373, 20.12.2013, s. 1.</w:t>
      </w:r>
    </w:p>
  </w:footnote>
  <w:footnote w:id="4">
    <w:p>
      <w:pPr>
        <w:pStyle w:val="FootnoteText"/>
      </w:pPr>
      <w:r>
        <w:rPr>
          <w:rStyle w:val="FootnoteReference"/>
        </w:rPr>
        <w:footnoteRef/>
      </w:r>
      <w:r>
        <w:tab/>
        <w:t>Rådets förordning (EU, Euratom) nr 1311/2013 av den 2 december 2013 om den fleråriga budgetramen för 2014–2020 (EUT L 347, 20.12.2013, s. 884).</w:t>
      </w:r>
    </w:p>
  </w:footnote>
  <w:footnote w:id="5">
    <w:p>
      <w:pPr>
        <w:pStyle w:val="FootnoteText"/>
      </w:pPr>
      <w:r>
        <w:rPr>
          <w:rStyle w:val="FootnoteReference"/>
        </w:rPr>
        <w:footnoteRef/>
      </w:r>
      <w:r>
        <w:tab/>
        <w:t>Europaparlamentets och rådets beslut (EU) 2019/276 av den 12 december 2018 om ianspråktagande av flexibilitetsmekanismen för stärkande av program som är viktiga med avseende på EU:s konkurrenskraft och för finansiering av omedelbara budgetåtgärder för att hantera de utmaningar som migration, flyktingströmmar och säkerhetshot innebär (EUT L 54, 22.2.2019, s. 3).</w:t>
      </w:r>
    </w:p>
  </w:footnote>
  <w:footnote w:id="6">
    <w:p>
      <w:pPr>
        <w:pStyle w:val="FootnoteText"/>
        <w:rPr>
          <w:lang w:val="cs-CZ"/>
        </w:rPr>
      </w:pPr>
      <w:r>
        <w:rPr>
          <w:rStyle w:val="FootnoteReference"/>
        </w:rPr>
        <w:footnoteRef/>
      </w:r>
      <w:r>
        <w:tab/>
        <w:t>COM(2019) 610 av den 2 juli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NINS Edgars (SJ)">
    <w15:presenceInfo w15:providerId="None" w15:userId="KALNINS Edgars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2 16:09: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B76596-53A2-4A00-9CC1-C51B51E5ACD3"/>
    <w:docVar w:name="LW_COVERPAGE_TYPE" w:val="1"/>
    <w:docVar w:name="LW_CROSSREFERENCE" w:val="&lt;UNUSED&gt;"/>
    <w:docVar w:name="LW_DocType" w:val="COM"/>
    <w:docVar w:name="LW_EMISSION" w:val="2.7.2019"/>
    <w:docVar w:name="LW_EMISSION_ISODATE" w:val="2019-07-02"/>
    <w:docVar w:name="LW_EMISSION_LOCATION" w:val="BRX"/>
    <w:docVar w:name="LW_EMISSION_PREFIX" w:val="Bry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beslut (EU) 2019/276 vad gäller justeringar av de belopp som tas i anspråk från flexibilitetsmekanismen för 2019 för att användas för migration, flyktingströmmar och säkerhetshot"/>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B62F35-4444-427D-A59C-E80DB50F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687</Words>
  <Characters>3926</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2019-06-14T14:15:00Z</cp:lastPrinted>
  <dcterms:created xsi:type="dcterms:W3CDTF">2019-07-11T11:48:00Z</dcterms:created>
  <dcterms:modified xsi:type="dcterms:W3CDTF">2019-07-12T14:09:00Z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