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2292639-F7DC-4F3E-BDCD-A5BCD7813053"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Bdr>
          <w:top w:val="nil"/>
          <w:left w:val="nil"/>
          <w:bottom w:val="nil"/>
          <w:right w:val="nil"/>
          <w:between w:val="nil"/>
          <w:bar w:val="nil"/>
        </w:pBdr>
        <w:spacing w:before="0" w:after="240"/>
        <w:rPr>
          <w:noProof/>
          <w:highlight w:val="yellow"/>
        </w:rPr>
      </w:pPr>
      <w:r>
        <w:rPr>
          <w:noProof/>
        </w:rPr>
        <w:t xml:space="preserve">La 12 decembrie 2018, Parlamentul European și Consiliul au decis să mobilizeze Instrumentul de flexibilitate pentru o sumă de 1 164 de milioane EUR: 179 de milioane EUR pentru rubrica 1a </w:t>
      </w:r>
      <w:r>
        <w:rPr>
          <w:i/>
          <w:noProof/>
        </w:rPr>
        <w:t>Competitivitate pentru creștere și locuri de muncă</w:t>
      </w:r>
      <w:r>
        <w:rPr>
          <w:noProof/>
        </w:rPr>
        <w:t xml:space="preserve"> în vederea consolidării unor programe­cheie în materie de competitivitate (și anume Orizont 2020 și Erasmus +) și 985,6 milioane EUR pentru rubrica 3, la propunerea Comisiei.</w:t>
      </w:r>
      <w:r>
        <w:rPr>
          <w:noProof/>
          <w:highlight w:val="yellow"/>
        </w:rPr>
        <w:t xml:space="preserve"> </w:t>
      </w:r>
    </w:p>
    <w:p>
      <w:pPr>
        <w:rPr>
          <w:bCs/>
          <w:noProof/>
        </w:rPr>
      </w:pPr>
      <w:r>
        <w:rPr>
          <w:noProof/>
        </w:rPr>
        <w:t>Astăzi, Comisia prezintă proiectul de buget rectificativ nr. 4/2019</w:t>
      </w:r>
      <w:r>
        <w:rPr>
          <w:rStyle w:val="FootnoteReference"/>
          <w:noProof/>
        </w:rPr>
        <w:footnoteReference w:id="1"/>
      </w:r>
      <w:r>
        <w:rPr>
          <w:noProof/>
        </w:rPr>
        <w:t xml:space="preserve">, care include reduceri ale creditelor de angajament atât pentru rubrica 1a, cât și pentru rubrica 3, reducând astfel necesitatea utilizării Instrumentului de flexibilitate. Prezenta propunere însoțește proiectul de buget rectificativ și vizează ajustarea în consecință a sumelor mobilizate din Instrumentul de flexibilitate, cu respectarea scopului mobilizării. </w:t>
      </w:r>
    </w:p>
    <w:p>
      <w:pPr>
        <w:rPr>
          <w:bCs/>
          <w:noProof/>
        </w:rPr>
      </w:pPr>
      <w:r>
        <w:rPr>
          <w:noProof/>
        </w:rPr>
        <w:t>Mobilizarea ajustată a Instrumentului de flexibilitate se va ridica la 1 090 de milioane EUR (față de 1 164 de milioane EUR cât se prevăzuseră inițial), din care 160 de milioane EUR pentru rubrica 1a și 930 de milioane EUR pentru rubrica 3.</w:t>
      </w:r>
    </w:p>
    <w:p>
      <w:pPr>
        <w:rPr>
          <w:noProof/>
        </w:rPr>
      </w:pPr>
      <w:r>
        <w:rPr>
          <w:noProof/>
        </w:rPr>
        <w:t>Prezenta propunere de decizie de mobilizare va modifica Decizia (UE) 2019/276 din 12 decembrie 2018</w:t>
      </w:r>
      <w:r>
        <w:rPr>
          <w:rStyle w:val="FootnoteReference"/>
          <w:noProof/>
        </w:rPr>
        <w:footnoteReference w:id="2"/>
      </w:r>
      <w:r>
        <w:rPr>
          <w:noProof/>
        </w:rPr>
        <w:t>.</w:t>
      </w:r>
    </w:p>
    <w:p>
      <w:pPr>
        <w:rPr>
          <w:noProof/>
        </w:rPr>
      </w:pPr>
      <w:r>
        <w:rPr>
          <w:noProof/>
        </w:rPr>
        <w:t>Creditele de plată orientative aferente mobilizării reduse propuse a Instrumentului de flexibilitate sunt prezentate în tabelul de mai jos:</w:t>
      </w:r>
    </w:p>
    <w:p>
      <w:pPr>
        <w:ind w:left="5040" w:firstLine="720"/>
        <w:jc w:val="left"/>
        <w:rPr>
          <w:noProof/>
        </w:rPr>
      </w:pPr>
      <w:r>
        <w:rPr>
          <w:i/>
          <w:noProof/>
          <w:sz w:val="16"/>
        </w:rPr>
        <w:t>(în milioane EUR, în prețuri curente)</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Anul</w:t>
            </w:r>
          </w:p>
        </w:tc>
        <w:tc>
          <w:tcPr>
            <w:tcW w:w="5604" w:type="dxa"/>
            <w:shd w:val="clear" w:color="auto" w:fill="D9D9D9"/>
          </w:tcPr>
          <w:p>
            <w:pPr>
              <w:spacing w:before="30" w:after="30"/>
              <w:jc w:val="center"/>
              <w:rPr>
                <w:b/>
                <w:noProof/>
                <w:sz w:val="16"/>
                <w:szCs w:val="16"/>
              </w:rPr>
            </w:pPr>
            <w:r>
              <w:rPr>
                <w:b/>
                <w:noProof/>
                <w:sz w:val="16"/>
              </w:rPr>
              <w:t>Credite de plată aferente mobilizării Instrumentului de flexibilitate în 2019</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511,5</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242,3</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126,3</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132,0</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78,3</w:t>
            </w:r>
          </w:p>
        </w:tc>
      </w:tr>
      <w:tr>
        <w:trPr>
          <w:jc w:val="center"/>
        </w:trPr>
        <w:tc>
          <w:tcPr>
            <w:tcW w:w="1560" w:type="dxa"/>
            <w:shd w:val="clear" w:color="auto" w:fill="D9D9D9"/>
          </w:tcPr>
          <w:p>
            <w:pPr>
              <w:spacing w:before="30" w:after="30"/>
              <w:jc w:val="right"/>
              <w:rPr>
                <w:b/>
                <w:noProof/>
                <w:sz w:val="16"/>
                <w:szCs w:val="16"/>
              </w:rPr>
            </w:pPr>
            <w:r>
              <w:rPr>
                <w:b/>
                <w:noProof/>
                <w:sz w:val="16"/>
              </w:rPr>
              <w:t>Total</w:t>
            </w:r>
          </w:p>
        </w:tc>
        <w:tc>
          <w:tcPr>
            <w:tcW w:w="5604" w:type="dxa"/>
            <w:shd w:val="clear" w:color="auto" w:fill="D9D9D9"/>
          </w:tcPr>
          <w:p>
            <w:pPr>
              <w:spacing w:before="30" w:after="30"/>
              <w:jc w:val="right"/>
              <w:rPr>
                <w:b/>
                <w:noProof/>
                <w:sz w:val="16"/>
                <w:szCs w:val="16"/>
              </w:rPr>
            </w:pPr>
            <w:r>
              <w:rPr>
                <w:b/>
                <w:noProof/>
                <w:sz w:val="16"/>
              </w:rPr>
              <w:t>1 090,4</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Propunere de</w:t>
      </w:r>
    </w:p>
    <w:p>
      <w:pPr>
        <w:pStyle w:val="Typedudocument"/>
        <w:rPr>
          <w:noProof/>
        </w:rPr>
      </w:pPr>
      <w:r>
        <w:rPr>
          <w:noProof/>
        </w:rPr>
        <w:t>DECIZIE A PARLAMENTULUI EUROPEAN ȘI A CONSILIULUI</w:t>
      </w:r>
    </w:p>
    <w:p>
      <w:pPr>
        <w:pStyle w:val="Titreobjet"/>
        <w:rPr>
          <w:noProof/>
        </w:rPr>
      </w:pPr>
      <w:r>
        <w:rPr>
          <w:noProof/>
        </w:rPr>
        <w:t>de modificare a Deciziei (UE) 2019/276 în ceea ce privește ajustările sumelor mobilizate din Instrumentul de flexibilitate pentru 2019 în vederea utilizării pentru migrație, fluxurile de refugiați și amenințările la adresa securității</w:t>
      </w:r>
    </w:p>
    <w:p>
      <w:pPr>
        <w:pStyle w:val="Institutionquiagit"/>
        <w:rPr>
          <w:noProof/>
        </w:rPr>
      </w:pPr>
      <w:r>
        <w:rPr>
          <w:noProof/>
        </w:rPr>
        <w:t>PARLAMENTUL EUROPEAN ȘI CONSILIUL UNIUNII EUROPENE,</w:t>
      </w:r>
    </w:p>
    <w:p>
      <w:pPr>
        <w:rPr>
          <w:noProof/>
        </w:rPr>
      </w:pPr>
      <w:r>
        <w:rPr>
          <w:noProof/>
        </w:rPr>
        <w:t>având în vedere Tratatul privind funcționarea Uniunii Europene,</w:t>
      </w:r>
    </w:p>
    <w:p>
      <w:pPr>
        <w:rPr>
          <w:noProof/>
        </w:rPr>
      </w:pPr>
      <w:r>
        <w:rPr>
          <w:noProof/>
        </w:rPr>
        <w:t>având în vedere Acordul interinstituțional din 2 decembrie 2013 dintre Parlamentul European, Consiliu și Comisie privind disciplina bugetară, cooperarea în chestiuni bugetare și buna gestiune financiară</w:t>
      </w:r>
      <w:r>
        <w:rPr>
          <w:rStyle w:val="FootnoteReference"/>
          <w:noProof/>
        </w:rPr>
        <w:footnoteReference w:id="3"/>
      </w:r>
      <w:r>
        <w:rPr>
          <w:noProof/>
        </w:rPr>
        <w:t>, în special punctul 12,</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Instrumentul de flexibilitate este destinat să permită finanțarea cheltuielilor identificate precis care nu au putut fi finanțate în limitele plafoanelor disponibile pentru una sau mai multe alte rubrici.</w:t>
      </w:r>
    </w:p>
    <w:p>
      <w:pPr>
        <w:pStyle w:val="ManualConsidrant"/>
        <w:rPr>
          <w:noProof/>
        </w:rPr>
      </w:pPr>
      <w:r>
        <w:t>(2)</w:t>
      </w:r>
      <w:r>
        <w:tab/>
      </w:r>
      <w:r>
        <w:rPr>
          <w:noProof/>
        </w:rPr>
        <w:t>Plafonul pentru suma anuală disponibilă pentru Instrumentul de flexibilitate este de 600 000 000 EUR (la prețurile din 2011), astfel cum se prevede la articolul 11 din Regulamentul (UE, Euratom) nr. 1311/2013 al Consiliului</w:t>
      </w:r>
      <w:r>
        <w:rPr>
          <w:rStyle w:val="FootnoteReference"/>
          <w:noProof/>
        </w:rPr>
        <w:footnoteReference w:id="4"/>
      </w:r>
      <w:r>
        <w:rPr>
          <w:noProof/>
        </w:rPr>
        <w:t xml:space="preserve">, majorat, dacă este cazul, cu sumele anulate puse la dispoziție în conformitate cu alineatul (1) al doilea paragraf din articolul respectiv. </w:t>
      </w:r>
    </w:p>
    <w:p>
      <w:pPr>
        <w:pStyle w:val="ManualConsidrant"/>
        <w:rPr>
          <w:noProof/>
        </w:rPr>
      </w:pPr>
      <w:r>
        <w:t>(3)</w:t>
      </w:r>
      <w:r>
        <w:tab/>
      </w:r>
      <w:r>
        <w:rPr>
          <w:noProof/>
        </w:rPr>
        <w:t>La 12 decembrie 2018, Parlamentul European și Consiliul au adoptat Decizia (UE) 2019/276</w:t>
      </w:r>
      <w:r>
        <w:rPr>
          <w:rStyle w:val="FootnoteReference"/>
          <w:noProof/>
        </w:rPr>
        <w:footnoteReference w:id="5"/>
      </w:r>
      <w:r>
        <w:rPr>
          <w:noProof/>
        </w:rPr>
        <w:t xml:space="preserve"> de mobilizare a Instrumentului de flexibilitate pentru exercițiul financiar 2019, cu 178 715 475 EUR peste plafonul rubricii 1a (</w:t>
      </w:r>
      <w:r>
        <w:rPr>
          <w:i/>
          <w:noProof/>
        </w:rPr>
        <w:t>Competitivitate pentru creștere economică și ocuparea forței de muncă</w:t>
      </w:r>
      <w:r>
        <w:rPr>
          <w:noProof/>
        </w:rPr>
        <w:t>), în vederea consolidării unor programe importante din domeniul competitivității, și cu 985 629 138 EUR peste plafonul rubricii 3 (</w:t>
      </w:r>
      <w:r>
        <w:rPr>
          <w:i/>
          <w:noProof/>
        </w:rPr>
        <w:t>Securitate și cetățenie</w:t>
      </w:r>
      <w:r>
        <w:rPr>
          <w:noProof/>
        </w:rPr>
        <w:t>), în vederea finanțării de măsuri în domeniul migrației, al refugiaților și al securității.</w:t>
      </w:r>
    </w:p>
    <w:p>
      <w:pPr>
        <w:pStyle w:val="ManualConsidrant"/>
        <w:rPr>
          <w:noProof/>
        </w:rPr>
      </w:pPr>
      <w:r>
        <w:t>(4)</w:t>
      </w:r>
      <w:r>
        <w:tab/>
      </w:r>
      <w:r>
        <w:rPr>
          <w:noProof/>
        </w:rPr>
        <w:t>Proiectul de buget rectificativ 4/2019</w:t>
      </w:r>
      <w:r>
        <w:rPr>
          <w:rStyle w:val="FootnoteReference"/>
          <w:noProof/>
        </w:rPr>
        <w:footnoteReference w:id="6"/>
      </w:r>
      <w:r>
        <w:rPr>
          <w:noProof/>
        </w:rPr>
        <w:t xml:space="preserve"> include reduceri ale nivelului creditelor de angajament atât pentru rubrica 1a, cât și pentru rubrica 3, reducând astfel necesitatea utilizării Instrumentului de flexibilitate. Prin urmare, este necesar să se ajusteze în consecință sumele mobilizate din Instrumentul de flexibilitate pentru 2019. Este necesar, de asemenea, să se ajusteze profilul de plată preconizat. </w:t>
      </w:r>
    </w:p>
    <w:p>
      <w:pPr>
        <w:pStyle w:val="ManualConsidrant"/>
        <w:rPr>
          <w:noProof/>
        </w:rPr>
      </w:pPr>
      <w:r>
        <w:t>(5)</w:t>
      </w:r>
      <w:r>
        <w:tab/>
      </w:r>
      <w:r>
        <w:rPr>
          <w:noProof/>
        </w:rPr>
        <w:t>Prin urmare, Decizia (UE) 2019/276 ar trebui modificată în consecință.</w:t>
      </w:r>
    </w:p>
    <w:p>
      <w:pPr>
        <w:pStyle w:val="ManualConsidrant"/>
        <w:rPr>
          <w:noProof/>
        </w:rPr>
      </w:pPr>
      <w:r>
        <w:t>(6)</w:t>
      </w:r>
      <w:r>
        <w:tab/>
      </w:r>
      <w:r>
        <w:rPr>
          <w:noProof/>
        </w:rPr>
        <w:t>Mobilizarea Instrumentului de flexibilitate este adoptată simultan cu modificarea bugetului 2019, deoarece acesta permite finanțarea unor acțiuni în plus față de plafonul cadrului financiar multianual. Pentru a se asigura coerența cu această modificare, prezenta decizie ar trebui să intre în vigoare la data adoptării,</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shd w:val="clear" w:color="auto" w:fill="auto"/>
            <w:hideMark/>
          </w:tcPr>
          <w:p>
            <w:pPr>
              <w:spacing w:before="0" w:after="0"/>
              <w:jc w:val="left"/>
              <w:rPr>
                <w:rFonts w:eastAsia="Times New Roman"/>
                <w:noProof/>
                <w:sz w:val="20"/>
                <w:szCs w:val="24"/>
              </w:rPr>
            </w:pPr>
          </w:p>
        </w:tc>
        <w:tc>
          <w:tcPr>
            <w:tcW w:w="0" w:type="auto"/>
            <w:shd w:val="clear" w:color="auto" w:fill="auto"/>
            <w:hideMark/>
          </w:tcPr>
          <w:p>
            <w:pPr>
              <w:spacing w:after="0" w:line="312" w:lineRule="atLeast"/>
              <w:rPr>
                <w:rFonts w:ascii="&amp;quot" w:eastAsia="Times New Roman" w:hAnsi="&amp;quot"/>
                <w:noProof/>
                <w:color w:val="444444"/>
                <w:szCs w:val="24"/>
              </w:rPr>
            </w:pPr>
          </w:p>
        </w:tc>
      </w:tr>
    </w:tbl>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Articolul 1 alineatul (1) primul paragraf din Decizia (UE) 2019/276 se modifică după cum urmează: „178 715 475 EUR” se înlocuiește cu „160 195 475 EUR” și „985 629 138 EUR” se înlocuiește cu „930 188 138 EUR”. La alineatul (2) primul paragraf, literele (a)-(e) se înlocuiesc cu următorul text:</w:t>
      </w:r>
    </w:p>
    <w:p>
      <w:pPr>
        <w:pStyle w:val="QuotedText"/>
        <w:rPr>
          <w:noProof/>
        </w:rPr>
      </w:pPr>
      <w:r>
        <w:rPr>
          <w:noProof/>
        </w:rPr>
        <w:t>„(a)</w:t>
      </w:r>
      <w:r>
        <w:rPr>
          <w:noProof/>
        </w:rPr>
        <w:tab/>
        <w:t>511 468 976 EUR în 2019;</w:t>
      </w:r>
    </w:p>
    <w:p>
      <w:pPr>
        <w:pStyle w:val="QuotedText"/>
        <w:rPr>
          <w:noProof/>
        </w:rPr>
      </w:pPr>
      <w:r>
        <w:rPr>
          <w:noProof/>
        </w:rPr>
        <w:t>(b)</w:t>
      </w:r>
      <w:r>
        <w:rPr>
          <w:noProof/>
        </w:rPr>
        <w:tab/>
        <w:t>242 308 256 EUR în 2020;</w:t>
      </w:r>
    </w:p>
    <w:p>
      <w:pPr>
        <w:pStyle w:val="QuotedText"/>
        <w:rPr>
          <w:noProof/>
        </w:rPr>
      </w:pPr>
      <w:r>
        <w:rPr>
          <w:noProof/>
        </w:rPr>
        <w:t>(c)</w:t>
      </w:r>
      <w:r>
        <w:rPr>
          <w:noProof/>
        </w:rPr>
        <w:tab/>
        <w:t>126 300 853 EUR în 2021;</w:t>
      </w:r>
    </w:p>
    <w:p>
      <w:pPr>
        <w:pStyle w:val="QuotedText"/>
        <w:rPr>
          <w:noProof/>
        </w:rPr>
      </w:pPr>
      <w:r>
        <w:rPr>
          <w:noProof/>
        </w:rPr>
        <w:t>(d)</w:t>
      </w:r>
      <w:r>
        <w:rPr>
          <w:noProof/>
        </w:rPr>
        <w:tab/>
        <w:t>131 990 641 EUR în 2022;</w:t>
      </w:r>
    </w:p>
    <w:p>
      <w:pPr>
        <w:pStyle w:val="QuotedText"/>
        <w:rPr>
          <w:noProof/>
        </w:rPr>
      </w:pPr>
      <w:r>
        <w:rPr>
          <w:noProof/>
        </w:rPr>
        <w:t>(e)</w:t>
      </w:r>
      <w:r>
        <w:rPr>
          <w:noProof/>
        </w:rPr>
        <w:tab/>
        <w:t>78 314 887 EUR în 2023.“</w:t>
      </w:r>
    </w:p>
    <w:p>
      <w:pPr>
        <w:pStyle w:val="Titrearticle"/>
        <w:rPr>
          <w:noProof/>
        </w:rPr>
      </w:pPr>
      <w:r>
        <w:rPr>
          <w:noProof/>
        </w:rPr>
        <w:t>Articolul 2</w:t>
      </w:r>
    </w:p>
    <w:p>
      <w:pPr>
        <w:keepNext/>
        <w:keepLines/>
        <w:rPr>
          <w:noProof/>
        </w:rPr>
      </w:pPr>
      <w:r>
        <w:rPr>
          <w:noProof/>
        </w:rPr>
        <w:t xml:space="preserve">Prezenta decizie intră în vigoare la data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F66FC" w15:done="0"/>
  <w15:commentEx w15:paraId="475FBF07" w15:done="0"/>
  <w15:commentEx w15:paraId="64C2C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lang w:val="fi-FI"/>
        </w:rPr>
        <w:tab/>
      </w:r>
      <w:r>
        <w:t>COM(2019) 610, 2.7.2019.</w:t>
      </w:r>
    </w:p>
  </w:footnote>
  <w:footnote w:id="2">
    <w:p>
      <w:pPr>
        <w:pStyle w:val="FootnoteText"/>
      </w:pPr>
      <w:r>
        <w:rPr>
          <w:rStyle w:val="FootnoteReference"/>
        </w:rPr>
        <w:footnoteRef/>
      </w:r>
      <w:r>
        <w:tab/>
        <w:t>JO L 54, 22.2.2019, p. 3.</w:t>
      </w:r>
    </w:p>
  </w:footnote>
  <w:footnote w:id="3">
    <w:p>
      <w:pPr>
        <w:pStyle w:val="FootnoteText"/>
      </w:pPr>
      <w:r>
        <w:rPr>
          <w:rStyle w:val="FootnoteReference"/>
        </w:rPr>
        <w:footnoteRef/>
      </w:r>
      <w:r>
        <w:tab/>
        <w:t>JO C 373, 20.12.2013, p. 1.</w:t>
      </w:r>
    </w:p>
  </w:footnote>
  <w:footnote w:id="4">
    <w:p>
      <w:pPr>
        <w:pStyle w:val="FootnoteText"/>
      </w:pPr>
      <w:r>
        <w:rPr>
          <w:rStyle w:val="FootnoteReference"/>
        </w:rPr>
        <w:footnoteRef/>
      </w:r>
      <w:r>
        <w:tab/>
        <w:t>Regulamentul (UE, Euratom) nr. 1311/2013 al Consiliului din 2 decembrie 2013 de stabilire a cadrului financiar multianual pentru perioada 2014-2020 (JO L 347, 20.12.2013, p. 884).</w:t>
      </w:r>
    </w:p>
  </w:footnote>
  <w:footnote w:id="5">
    <w:p>
      <w:pPr>
        <w:pStyle w:val="FootnoteText"/>
      </w:pPr>
      <w:r>
        <w:rPr>
          <w:rStyle w:val="FootnoteReference"/>
        </w:rPr>
        <w:footnoteRef/>
      </w:r>
      <w:r>
        <w:tab/>
        <w:t>Decizia (UE) 2019/276 a Parlamentului European și a Consiliului din 12 decembrie 2018 privind mobilizarea instrumentului de flexibilitate pentru consolidarea programelor esențiale pentru competitivitatea UE și pentru finanțarea măsurilor bugetare imediate în scopul de a aborda provocările actuale privind migrația, fluxurile de refugiați și amenințările la adresa securității (JO L 54, 22.2.2019, p. 3).</w:t>
      </w:r>
    </w:p>
  </w:footnote>
  <w:footnote w:id="6">
    <w:p>
      <w:pPr>
        <w:pStyle w:val="FootnoteText"/>
      </w:pPr>
      <w:r>
        <w:rPr>
          <w:rStyle w:val="FootnoteReference"/>
        </w:rPr>
        <w:footnoteRef/>
      </w:r>
      <w:r>
        <w:tab/>
        <w:t>COM(2019) 610, 2 iulie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NINS Edgars (SJ)">
    <w15:presenceInfo w15:providerId="None" w15:userId="KALNINS Edgars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2 13:58: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2292639-F7DC-4F3E-BDCD-A5BCD7813053"/>
    <w:docVar w:name="LW_COVERPAGE_TYPE" w:val="1"/>
    <w:docVar w:name="LW_CROSSREFERENCE" w:val="&lt;UNUSED&gt;"/>
    <w:docVar w:name="LW_DocType" w:val="COM"/>
    <w:docVar w:name="LW_EMISSION" w:val="2.7.2019"/>
    <w:docVar w:name="LW_EMISSION_ISODATE" w:val="2019-07-02"/>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eciziei (UE) 2019/276 în ceea ce prive\u537?te ajust\u259?rile sumelor mobilizate din Instrumentul de flexibilitate pentru 2019 în vederea utiliz\u259?rii pentru migra\u539?ie, fluxurile de refugia\u539?i \u537?i amenin\u539?\u259?rile la adresa securit\u259?\u539?ii"/>
    <w:docVar w:name="LW_TYPE.DOC.CP" w:val="DECIZIE A PARLAMENTULUI EUROPEAN \u536?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922F13-0313-4C4D-BA08-0334453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719</Words>
  <Characters>4142</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2019-06-14T14:15:00Z</cp:lastPrinted>
  <dcterms:created xsi:type="dcterms:W3CDTF">2019-07-11T11:57:00Z</dcterms:created>
  <dcterms:modified xsi:type="dcterms:W3CDTF">2019-07-12T11:58:00Z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