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0C2493E5-0944-47AA-9811-0CAD562F3EC8" style="width:450.4pt;height:477.9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BEGRUNDELSE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BAGGRUND FOR FORSLAGET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Forslagets begrundelse og formål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Udkastet til Det Blandede EØS-Udvalgs afgørelse (der er knyttet som bilag til forslaget til Rådets afgørelse) har til formål at ændre protokol 31 til EØS-aftalen om samarbejde på særlige områder ud over de fire friheder med henblik på at udvide samarbejdet mellem de kontraherende parter på civilbeskyttelsesområdet. Formålet med dette ændringsforslag er i dette tilfælde at indbefatte Europa-Parlamentets og Rådets afgørelse (EU) 2019/420 af 13. marts 2019 om ændring af afgørelse 1313/2013/EU om en EU-civilbeskyttelsesmekanisme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for at gøre det muligt for EØS/EFTA-staterne at deltage i EU-aktioner vedrørende denne EU-afgørelse fra den 21. marts 2019.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Sammenhæng med de gældende regler på samme område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Med vedlagte udkast til Det Blandede EØS-Udvalgs afgørelse udvides den allerede eksisterende EU-politik til også at omfatte EØS/EFTA-staterne (Norge, Island og Liechtenstein) på civilbeskyttelsesområdet med henblik på at forbedre Unionens indsats i tilfælde af naturkatastrofer og menneskeskabte katastrofer.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Sammenhæng med Unionens politik på andre områder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Udvidelsen af den gældende EU-ret til at omfatte EØS/EFTA-staterne ved indarbejdelse heraf i EØS-aftalen gennemføres i overensstemmelse med målene og principperne i aftalen, der har til formål at oprette et dynamisk og ensartet europæisk økonomisk samarbejdsområde, som skal bygge på fælles regler og lige konkurrencevilkår.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RETSGRUNDLAG, NÆRHEDSPRINCIPPET OG PROPORTIONALITETSPRINCIPPET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Retsgrundlag</w:t>
      </w:r>
    </w:p>
    <w:p>
      <w:pPr>
        <w:rPr>
          <w:noProof/>
        </w:rPr>
      </w:pPr>
      <w:r>
        <w:rPr>
          <w:noProof/>
        </w:rPr>
        <w:t>Den lovgivning, der skal indarbejdes i EØS-aftalen, er baseret på artikel 196 i traktaten om Den Europæiske Unions funktionsmåde sammenholdt med artikel 218, stk. 9.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 henhold til artikel 1, stk. 3, i Rådets forordning (EF) nr. 2894/94 om visse gennemførelsesbestemmelser til EØS-aftalen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fastlægger Rådet på forslag af Kommissionen den holdning, som skal indtages på Unionens vegne til de afgørelser, som omhandles i nævnte stk. 3.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Nærhedsprincippet (for områder, der ikke er omfattet af enekompetence) </w:t>
      </w:r>
    </w:p>
    <w:p>
      <w:pPr>
        <w:rPr>
          <w:noProof/>
        </w:rPr>
      </w:pPr>
      <w:r>
        <w:rPr>
          <w:noProof/>
        </w:rPr>
        <w:t xml:space="preserve">Forslaget er i overensstemmelse med nærhedsprincippet af følgende grund: </w:t>
      </w:r>
    </w:p>
    <w:p>
      <w:pPr>
        <w:rPr>
          <w:noProof/>
        </w:rPr>
      </w:pPr>
      <w:r>
        <w:rPr>
          <w:noProof/>
        </w:rPr>
        <w:t xml:space="preserve">Målet for dette forslag, nemlig at sikre ensartethed på det indre marked, kan ikke i tilstrækkelig grad opfyldes af medlemsstaterne, men kan bedre nås på EU-plan.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Proportionalitetsprincippet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 overensstemmelse med proportionalitetsprincippet går dette forslag ikke videre, end hvad der er nødvendigt for at nå målet.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Valg af reguleringsmiddel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 henhold til artikel 98 i EØS-aftalen er reguleringsmidlet Det Blandede EØS-Udvalgs afgørelse. Det Blandede EØS-Udvalg skal sikre en effektiv gennemførelse og anvendelse af EØS-aftalen. Det træffer med henblik herpå afgørelser i de i EØS-aftalen fastsatte tilfælde.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RESULTATER AF EFTERFØLGENDE EVALUERINGER, HØRINGER AF INTERESSEREDE PARTER OG KONSEKVENSANALYSER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Ikke relevant.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VIRKNINGER FOR BUDGETTET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EØS/EFTA-staterne skal bidrage finansielt til ordningen i overensstemmelse med de ændrede bestemmelser herfor fra den 21. marts 2019. 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2019/0153 (NLE)</w:t>
      </w:r>
    </w:p>
    <w:p>
      <w:pPr>
        <w:pStyle w:val="Statut"/>
        <w:rPr>
          <w:noProof/>
        </w:rPr>
      </w:pPr>
      <w:r>
        <w:rPr>
          <w:noProof/>
        </w:rPr>
        <w:t>Forslag til</w:t>
      </w:r>
    </w:p>
    <w:p>
      <w:pPr>
        <w:pStyle w:val="Typedudocument"/>
        <w:rPr>
          <w:noProof/>
        </w:rPr>
      </w:pPr>
      <w:r>
        <w:rPr>
          <w:noProof/>
        </w:rPr>
        <w:t>RÅDETS AFGØRELSE</w:t>
      </w:r>
    </w:p>
    <w:p>
      <w:pPr>
        <w:pStyle w:val="Titreobjet"/>
        <w:rPr>
          <w:noProof/>
        </w:rPr>
      </w:pPr>
      <w:r>
        <w:rPr>
          <w:noProof/>
        </w:rPr>
        <w:t>om den holdning, der skal indtages på Den Europæiske Unions vegne i Det Blandede EØS-Udvalg, til en ændring af protokol 31 til EØS-aftalen om samarbejde på særlige områder ud over de fire friheder</w:t>
      </w:r>
      <w:r>
        <w:rPr>
          <w:noProof/>
        </w:rPr>
        <w:br/>
      </w:r>
      <w:r>
        <w:rPr>
          <w:noProof/>
        </w:rPr>
        <w:br/>
        <w:t>[RescUE]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>
      <w:pPr>
        <w:pStyle w:val="IntrtEEE"/>
        <w:rPr>
          <w:noProof/>
        </w:rPr>
      </w:pPr>
      <w:r>
        <w:rPr>
          <w:noProof/>
        </w:rPr>
        <w:t>(EØS-relevant tekst)</w:t>
      </w:r>
    </w:p>
    <w:p>
      <w:pPr>
        <w:pStyle w:val="Institutionquiagit"/>
        <w:rPr>
          <w:noProof/>
        </w:rPr>
      </w:pPr>
      <w:r>
        <w:rPr>
          <w:noProof/>
        </w:rPr>
        <w:t>RÅDET FOR DEN EUROPÆISKE UNION HAR —</w:t>
      </w:r>
    </w:p>
    <w:p>
      <w:pPr>
        <w:rPr>
          <w:noProof/>
        </w:rPr>
      </w:pPr>
      <w:r>
        <w:rPr>
          <w:noProof/>
        </w:rPr>
        <w:t>under henvisning til traktaten om Den Europæiske Unions funktionsmåde, særlig artikel 196 sammenholdt med artikel 218, stk. 9,</w:t>
      </w:r>
    </w:p>
    <w:p>
      <w:pPr>
        <w:rPr>
          <w:noProof/>
        </w:rPr>
      </w:pPr>
      <w:r>
        <w:rPr>
          <w:noProof/>
        </w:rPr>
        <w:t>under henvisning til Rådets forordning (EF) nr. 2894/94 af 28. november 1994 om visse gennemførelsesbestemmelser til aftalen om Det Europæiske Økonomiske Samarbejdsområde</w:t>
      </w:r>
      <w:r>
        <w:rPr>
          <w:rStyle w:val="FootnoteReference"/>
          <w:noProof/>
        </w:rPr>
        <w:footnoteReference w:id="3"/>
      </w:r>
      <w:r>
        <w:rPr>
          <w:noProof/>
        </w:rPr>
        <w:t>, særlig artikel 1, stk. 3,</w:t>
      </w:r>
    </w:p>
    <w:p>
      <w:pPr>
        <w:rPr>
          <w:noProof/>
        </w:rPr>
      </w:pPr>
      <w:r>
        <w:rPr>
          <w:noProof/>
        </w:rPr>
        <w:t>under henvisning til forslag fra Europa-Kommissionen, og</w:t>
      </w:r>
    </w:p>
    <w:p>
      <w:pPr>
        <w:rPr>
          <w:noProof/>
        </w:rPr>
      </w:pPr>
      <w:r>
        <w:rPr>
          <w:noProof/>
        </w:rPr>
        <w:t>ud fra følgende betragtninger: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Aftalen om Det Europæiske Økonomiske Samarbejdsområde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("EØS-aftalen") trådte i kraft den 1. januar 1994.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 henhold til EØS-aftalens artikel 98 kan Det Blandede EØS-Udvalg træffe afgørelse om at ændre bl.a. protokol 31 til EØS-aftalen.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Protokol 31 til EØS-aftalen indeholder specifikke bestemmelser vedrørende samarbejde på særlige områder ud over de fire friheder.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Det er hensigtsmæssigt at udvide samarbejdet mellem EØS-aftalens kontraherende parter til at omfatte Europa-Parlamentets og Rådets afgørelse (EU) 2019/420 af 13. marts 2019 om ændring af afgørelse 1313/2013/EU om en EU-civilbeskyttelsesmekanisme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Protokol 31 til aftalen bør derfor ændres for at gøre det muligt at gennemføre dette udvidede samarbejde fra den 21. marts 2019.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Unionens holdning i Det Blandede EØS-Udvalg bør baseres på det udkast til afgørelse, der er knyttet til nærværende afgørelse — 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 xml:space="preserve">VEDTAGET DENNE AFGØRELSE: </w:t>
      </w:r>
    </w:p>
    <w:p>
      <w:pPr>
        <w:pStyle w:val="Titrearticle"/>
        <w:rPr>
          <w:noProof/>
        </w:rPr>
      </w:pPr>
      <w:r>
        <w:rPr>
          <w:noProof/>
        </w:rPr>
        <w:t>Artikel 1</w:t>
      </w:r>
    </w:p>
    <w:p>
      <w:pPr>
        <w:rPr>
          <w:noProof/>
        </w:rPr>
      </w:pPr>
      <w:r>
        <w:rPr>
          <w:noProof/>
        </w:rPr>
        <w:t>Den holdning, der skal indtages på Den Europæiske Unions vegne i Det Blandede EØS-Udvalg til den foreslåede ændring af protokol 31 til EØS-aftalen, baseres på det udkast til Det Blandede EØS-Udvalgs afgørelse, der er knyttet til denne afgørelse.</w:t>
      </w:r>
    </w:p>
    <w:p>
      <w:pPr>
        <w:pStyle w:val="Titrearticle"/>
        <w:rPr>
          <w:noProof/>
        </w:rPr>
      </w:pPr>
      <w:r>
        <w:rPr>
          <w:noProof/>
        </w:rPr>
        <w:t>Artikel 2</w:t>
      </w:r>
    </w:p>
    <w:p>
      <w:pPr>
        <w:keepLines/>
        <w:rPr>
          <w:noProof/>
        </w:rPr>
      </w:pPr>
      <w:r>
        <w:rPr>
          <w:noProof/>
        </w:rPr>
        <w:t>Denne afgørelse træder i kraft på dagen for vedtagelsen.</w:t>
      </w:r>
    </w:p>
    <w:p>
      <w:pPr>
        <w:pStyle w:val="Fait"/>
        <w:rPr>
          <w:noProof/>
        </w:rPr>
      </w:pPr>
      <w:r>
        <w:t xml:space="preserve">Udfærdiget i Bruxelles, den </w:t>
      </w:r>
      <w:r>
        <w:rPr>
          <w:rStyle w:val="Marker"/>
        </w:rPr>
        <w:t>[…]</w:t>
      </w:r>
      <w:r>
        <w:t>.</w:t>
      </w:r>
    </w:p>
    <w:p>
      <w:pPr>
        <w:pStyle w:val="Institutionquisigne"/>
        <w:rPr>
          <w:noProof/>
        </w:rPr>
      </w:pPr>
      <w:r>
        <w:rPr>
          <w:noProof/>
        </w:rPr>
        <w:tab/>
        <w:t>På Rådets vegne</w:t>
      </w:r>
    </w:p>
    <w:p>
      <w:pPr>
        <w:pStyle w:val="Personnequisigne"/>
        <w:rPr>
          <w:noProof/>
        </w:rPr>
      </w:pPr>
      <w:r>
        <w:rPr>
          <w:noProof/>
        </w:rPr>
        <w:tab/>
        <w:t>Formand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EUT L 77I af 20.3.2019, s. 1.</w:t>
      </w:r>
    </w:p>
  </w:footnote>
  <w:footnote w:id="2">
    <w:p>
      <w:pPr>
        <w:pStyle w:val="FootnoteText"/>
        <w:rPr>
          <w:iCs/>
        </w:rPr>
      </w:pPr>
      <w:r>
        <w:rPr>
          <w:rStyle w:val="FootnoteReference"/>
        </w:rPr>
        <w:footnoteRef/>
      </w:r>
      <w:r>
        <w:tab/>
        <w:t>EFT L 305 af 30.11.1994, s. 6.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EFT L 305 af 30.11.1994, s. 6.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 xml:space="preserve">EFT L 1 af 3.1.1994, s. 3. </w:t>
      </w:r>
    </w:p>
  </w:footnote>
  <w:footnote w:id="5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EUT L 77I af 20.3.2019, s.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71468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ECA73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33E1C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EDE02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2724A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8489D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D349E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0FCA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08 14:59:4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CORRIGENDUM" w:val="&lt;UNUSED&gt;"/>
    <w:docVar w:name="LW_COVERPAGE_EXISTS" w:val="True"/>
    <w:docVar w:name="LW_COVERPAGE_GUID" w:val="0C2493E5-0944-47AA-9811-0CAD562F3EC8"/>
    <w:docVar w:name="LW_COVERPAGE_TYPE" w:val="1"/>
    <w:docVar w:name="LW_CROSSREFERENCE" w:val="&lt;UNUSED&gt;"/>
    <w:docVar w:name="LW_DocType" w:val="COM"/>
    <w:docVar w:name="LW_EMISSION" w:val="15.7.2019"/>
    <w:docVar w:name="LW_EMISSION_ISODATE" w:val="2019-07-15"/>
    <w:docVar w:name="LW_EMISSION_LOCATION" w:val="BRX"/>
    <w:docVar w:name="LW_EMISSION_PREFIX" w:val="Bruxelles, den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(EØS-relevant tekst)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53"/>
    <w:docVar w:name="LW_REF.II.NEW.CP_YEAR" w:val="2019"/>
    <w:docVar w:name="LW_REF.INST.NEW" w:val="COM"/>
    <w:docVar w:name="LW_REF.INST.NEW_ADOPTED" w:val="final"/>
    <w:docVar w:name="LW_REF.INST.NEW_TEXT" w:val="(2019) 3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Forslag til"/>
    <w:docVar w:name="LW_SUPERTITRE" w:val="&lt;UNUSED&gt;"/>
    <w:docVar w:name="LW_TITRE.OBJ.CP" w:val="om den holdning, der skal indtages på Den Europæiske Unions vegne i Det Blandede EØS-Udvalg, til en ændring af protokol 31 til EØS-aftalen om samarbejde på særlige områder ud over de fire friheder_x000b__x000b_[RescUE]_x000b__x000b__x000b_"/>
    <w:docVar w:name="LW_TYPE.DOC.CP" w:val="RÅDETS AFGØRELS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5</Pages>
  <Words>713</Words>
  <Characters>4343</Characters>
  <Application>Microsoft Office Word</Application>
  <DocSecurity>0</DocSecurity>
  <Lines>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2019-06-27T11:25:00Z</dcterms:created>
  <dcterms:modified xsi:type="dcterms:W3CDTF">2019-07-08T12:59:00Z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