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42ECE81E-D4EA-439A-A35D-AB5B3E731318" style="width:450.4pt;height:491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A javaslat indokai és céljai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EGT Vegyes Bizottság határozattervezete (amely a tanácsi határozatjavaslat mellékletét képezi) arra irányul, hogy módosítsa az EGT-megállapodás egyes, a négy alapszabadságon kívül eső területeken folytatott együttműködésről szóló 31. jegyzőkönyvét a Szerződő Felek között a polgári védelem területén folytatott együttműködés kiterjesztése érdekében. A jelen esetben e módosítás célja az uniós polgári védelmi mechanizmusról szóló 1313/2013/EU határozat módosításáról szóló, 2019. március 13-i (EU) 2019/420 európai parlamenti és tanácsi határozat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belefoglalása az EGT-megállapodásba annak érdekében, hogy az EGT-tag EFTA-államok 2019. március 21-től részt vehessenek az ezen uniós határozattal kapcsolatos uniós fellépésekben.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 szabályozási terület jelenlegi rendelkezéseivel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EGT Vegyes Bizottság csatolt határozattervezete a már meglévő uniós politikát kiterjeszti az EGT-tag EFTA-államokra (Norvégiára, Izlandra és Liechtensteinre) a polgári védelem terén annak érdekében, hogy az Unió jobban tudjon reagálni a természeti és az ember okozta katasztrófákra.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az Unió egyéb szakpolitikáival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uniós vívmányoknak – azok EGT-megállapodásba történő belefoglalásával – az EGT-tag EFTA-államokra történő kiterjesztése az EGT-megállapodás azon céljaival és elveivel összhangban történik, hogy közös szabályokon és egyenlő versenyfeltételeken alapuló dinamikus és homogén Európai Gazdasági Térség jöjjön létre.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JOGALAP, SZUBSZIDIARITÁS ÉS ARÁNYOSSÁG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Jogalap</w:t>
      </w:r>
    </w:p>
    <w:p>
      <w:pPr>
        <w:rPr>
          <w:noProof/>
        </w:rPr>
      </w:pPr>
      <w:r>
        <w:rPr>
          <w:noProof/>
        </w:rPr>
        <w:t>Az EGT-megállapodásba belefoglalandó jogszabály az Európai Unió működéséről szóló szerződés 196. cikkén alapul, összefüggésben annak 218. cikke (9) bekezdésével.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Európai Gazdasági Térségről szóló megállapodás végrehajtására vonatkozó rendelkezésekről szóló 2894/94/EK tanácsi rendelet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1. cikkének (3) bekezdése úgy rendelkezik, hogy a Tanács a Bizottság javaslata alapján kialakítja az ilyen határozatokról az Unió által képviselendő álláspontot.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Szubszidiaritás (nem kizárólagos hatáskör esetén) </w:t>
      </w:r>
    </w:p>
    <w:p>
      <w:pPr>
        <w:rPr>
          <w:noProof/>
        </w:rPr>
      </w:pPr>
      <w:r>
        <w:rPr>
          <w:noProof/>
        </w:rPr>
        <w:t xml:space="preserve">A javaslat megfelel a szubszidiaritás elvének a következők miatt. </w:t>
      </w:r>
    </w:p>
    <w:p>
      <w:pPr>
        <w:rPr>
          <w:noProof/>
        </w:rPr>
      </w:pPr>
      <w:r>
        <w:rPr>
          <w:noProof/>
        </w:rPr>
        <w:t xml:space="preserve">E javaslat célját, nevezetesen a belső piac homogenitásának biztosítását a tagállamok nem tudják kielégítően megvalósítani, és ezért e cél az elérendő hatások miatt uniós szinten jobban megvalósítható.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Arányosság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arányosság elvének megfelelően ez a javaslat nem lépi túl az e cél eléréséhez szükséges mértéket.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jogi aktus típusának megválasztása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EGT-megállapodás 98. cikkének megfelelően a választott jogi aktus az EGT Vegyes Bizottság határozata. Az EGT Vegyes Bizottság biztosítja az EGT-megállapodás hatékony végrehajtását és érvényesülését. Ennek érdekében határozatokat kell hoznia az EGT-megállapodásban meghatározott esetekben.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Tárgytalan.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Az EGT-tag EFTA-államok 2019. március 21-től pénzügyi hozzájárulást nyújtanak a mechanizmushoz, összhangban annak módosított rendelkezéseivel.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</w:pP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2019/0153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EGT Vegyes Bizottságban az Európai Gazdasági Térségről szóló megállapodás az egyes, a négy alapszabadságon kívül eső területeken folytatott együttműködésről szóló 31. jegyzőkönyvének módosításával kapcsolatosan az Európai Unió nevében képviselendő álláspontról</w:t>
      </w:r>
      <w:r>
        <w:rPr>
          <w:noProof/>
        </w:rPr>
        <w:br/>
      </w:r>
      <w:r>
        <w:rPr>
          <w:noProof/>
        </w:rPr>
        <w:br/>
        <w:t>[RescEU]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>
      <w:pPr>
        <w:pStyle w:val="IntrtEEE"/>
        <w:rPr>
          <w:noProof/>
        </w:rPr>
      </w:pPr>
      <w:r>
        <w:rPr>
          <w:noProof/>
        </w:rPr>
        <w:t>(EGT-vonatkozású szöveg)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196. cikkére, összefüggésben annak 218. cikke (9) bekezdésével,</w:t>
      </w:r>
    </w:p>
    <w:p>
      <w:pPr>
        <w:rPr>
          <w:noProof/>
        </w:rPr>
      </w:pPr>
      <w:r>
        <w:rPr>
          <w:noProof/>
        </w:rPr>
        <w:t>tekintettel az Európai Gazdasági Térségről szóló megállapodás végrehajtására vonatkozó rendelkezésekről szóló, 1994. november 28-i 2894/94/EK tanácsi rendeletre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és különösen annak 1. cikke (3) bekezdésére,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Az Európai Gazdasági Térségről szóló megállapodás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(a továbbiakban: az EGT-megállapodás) 1994. január 1-jén hatályba lépett.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Az EGT-megállapodás 98. cikke alapján az EGT Vegyes Bizottság határozhat – többek között – az EGT-megállapodás 31. jegyzőkönyvének módosításáról.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Az EGT-megállapodás 31. jegyzőkönyve egyes, a négy alapszabadságon kívül eső területeken folytatott együttműködésre vonatkozó különös rendelkezéseket tartalmaz.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Helyénvaló kiterjeszteni az EGT-megállapodás Szerződő Felei közötti együttműködést az uniós polgári védelmi mechanizmusról szóló 1313/2013/EU határozat módosításáról szóló, 2019. március 13-i (EU) 2019/420 európai parlamenti és tanácsi határozatra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Az EGT-megállapodás 31. jegyzőkönyvét ezért ennek megfelelően módosítani kell annak érdekében, hogy e kibővített együttműködésre 2019. március 21-től kezdődően sor kerülhessen.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Az Unió által az EGT Vegyes Bizottságban képviselendő álláspontnak a csatolt határozattervezeten kell alapulnia, </w:t>
      </w:r>
    </w:p>
    <w:p>
      <w:pPr>
        <w:pStyle w:val="Formuledadoption"/>
        <w:rPr>
          <w:noProof/>
        </w:rPr>
      </w:pPr>
      <w:r>
        <w:rPr>
          <w:noProof/>
        </w:rPr>
        <w:t xml:space="preserve">ELFOGADTA EZT A HATÁROZATOT: 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Az EGT Vegyes Bizottságban az EGT-megállapodás 31. jegyzőkönyvének javasolt módosításával kapcsolatban az Európai Unió nevében elfogadandó álláspont az EGT Vegyes Bizottság határozatának az e határozat csatolt tervezetén alapul.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keepLines/>
        <w:rPr>
          <w:noProof/>
        </w:rPr>
      </w:pPr>
      <w:r>
        <w:rPr>
          <w:noProof/>
        </w:rPr>
        <w:t>Ez a határozat az elfogadásának napján lép hatályba.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HL L 77I., 2019.3.20., 1. o.</w:t>
      </w:r>
    </w:p>
  </w:footnote>
  <w:footnote w:id="2">
    <w:p>
      <w:pPr>
        <w:pStyle w:val="FootnoteText"/>
        <w:rPr>
          <w:iCs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HL L 305., 1994.11.30., 6. o.</w:t>
      </w:r>
    </w:p>
  </w:footnote>
  <w:footnote w:id="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HL L 305., 1994.11.30., 6. o.</w:t>
      </w:r>
    </w:p>
  </w:footnote>
  <w:footnote w:id="4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 xml:space="preserve">HL L 1., 1994.1.3., 3. o. </w:t>
      </w:r>
    </w:p>
  </w:footnote>
  <w:footnote w:id="5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HL L 77I., 2019.3.20., 1. 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71468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ECA73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33E1C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EDE02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2724A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8489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349E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0FCA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08 15:00:1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2ECE81E-D4EA-439A-A35D-AB5B3E731318"/>
    <w:docVar w:name="LW_COVERPAGE_TYPE" w:val="1"/>
    <w:docVar w:name="LW_CROSSREFERENCE" w:val="&lt;UNUSED&gt;"/>
    <w:docVar w:name="LW_DocType" w:val="COM"/>
    <w:docVar w:name="LW_EMISSION" w:val="2019.7.15."/>
    <w:docVar w:name="LW_EMISSION_ISODATE" w:val="2019-07-15"/>
    <w:docVar w:name="LW_EMISSION_LOCATION" w:val="BRX"/>
    <w:docVar w:name="LW_EMISSION_PREFIX" w:val="Brüssze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EGT-vonatkozású szöveg)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53"/>
    <w:docVar w:name="LW_REF.II.NEW.CP_YEAR" w:val="2019"/>
    <w:docVar w:name="LW_REF.INST.NEW" w:val="COM"/>
    <w:docVar w:name="LW_REF.INST.NEW_ADOPTED" w:val="final"/>
    <w:docVar w:name="LW_REF.INST.NEW_TEXT" w:val="(2019) 3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GT Vegyes Bizottságban az Európai Gazdasági Térségr\u337?l szóló megállapodás az egyes, a négy alapszabadságon kívül es\u337? területeken folytatott együttm\u369?ködésr\u337?l szóló 31. jegyz\u337?könyvének módosításával kapcsolatosan az Európai Unió nevében képviselend\u337? álláspontról_x000b__x000b_[RescEU]_x000b__x000b__x000b_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5</Pages>
  <Words>637</Words>
  <Characters>4578</Characters>
  <Application>Microsoft Office Word</Application>
  <DocSecurity>0</DocSecurity>
  <Lines>101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dcterms:created xsi:type="dcterms:W3CDTF">2019-06-28T09:04:00Z</dcterms:created>
  <dcterms:modified xsi:type="dcterms:W3CDTF">2019-07-08T13:00:00Z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