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8610347-AA86-4508-90ED-B2A7DA6C81D0" style="width:455.25pt;height:399.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9" w:footer="709" w:gutter="0"/>
          <w:pgNumType w:start="0"/>
          <w:cols w:space="720"/>
          <w:docGrid w:linePitch="326"/>
        </w:sectPr>
      </w:pPr>
    </w:p>
    <w:p>
      <w:pPr>
        <w:pStyle w:val="Exposdesmotifstitre"/>
        <w:rPr>
          <w:noProof/>
        </w:rPr>
      </w:pPr>
      <w:bookmarkStart w:id="0" w:name="_GoBack"/>
      <w:bookmarkEnd w:id="0"/>
      <w:r>
        <w:rPr>
          <w:noProof/>
        </w:rPr>
        <w:lastRenderedPageBreak/>
        <w:t>DŮVODOVÁ ZPRÁVA</w:t>
      </w:r>
    </w:p>
    <w:p>
      <w:pPr>
        <w:pStyle w:val="ManualHeading1"/>
        <w:spacing w:before="0" w:after="0"/>
        <w:rPr>
          <w:noProof/>
        </w:rPr>
      </w:pPr>
      <w:r>
        <w:rPr>
          <w:noProof/>
        </w:rPr>
        <w:t>SOUVISLOSTI NÁVRHU</w:t>
      </w:r>
    </w:p>
    <w:p>
      <w:pPr>
        <w:pStyle w:val="ManualHeading2"/>
        <w:rPr>
          <w:noProof/>
        </w:rPr>
      </w:pPr>
      <w:r>
        <w:rPr>
          <w:noProof/>
          <w:color w:val="000000"/>
          <w:u w:color="000000"/>
          <w:bdr w:val="nil"/>
        </w:rPr>
        <w:t>•</w:t>
      </w:r>
      <w:r>
        <w:rPr>
          <w:noProof/>
          <w:color w:val="000000"/>
          <w:u w:color="000000"/>
          <w:bdr w:val="nil"/>
        </w:rPr>
        <w:tab/>
      </w:r>
      <w:r>
        <w:rPr>
          <w:noProof/>
        </w:rPr>
        <w:t>Odůvodnění a cíle návrhu</w:t>
      </w:r>
    </w:p>
    <w:p>
      <w:pPr>
        <w:rPr>
          <w:noProof/>
        </w:rPr>
      </w:pPr>
      <w:r>
        <w:rPr>
          <w:noProof/>
        </w:rPr>
        <w:t>Nařízení Evropského parlamentu a Rady, kterým se zřizuje Evropský inovační a technologický institut (dále jen „nařízení o EIT“</w:t>
      </w:r>
      <w:r>
        <w:rPr>
          <w:rStyle w:val="FootnoteReference"/>
          <w:noProof/>
        </w:rPr>
        <w:footnoteReference w:id="1"/>
      </w:r>
      <w:r>
        <w:rPr>
          <w:noProof/>
        </w:rPr>
        <w:t>), přijaté v roce 2008, stanoví poslání tohoto institutu a úkoly a rámec pro jeho fungování. Uvedené nařízení bylo v roce 2013</w:t>
      </w:r>
      <w:r>
        <w:rPr>
          <w:rStyle w:val="FootnoteReference"/>
          <w:noProof/>
          <w:lang w:eastAsia="en-GB"/>
        </w:rPr>
        <w:footnoteReference w:id="2"/>
      </w:r>
      <w:r>
        <w:rPr>
          <w:noProof/>
        </w:rPr>
        <w:t xml:space="preserve"> změněno, mimo jiné s cílem uvést je do souladu s programem Horizont 2020</w:t>
      </w:r>
      <w:r>
        <w:rPr>
          <w:rStyle w:val="FootnoteReference"/>
          <w:noProof/>
          <w:lang w:eastAsia="en-GB"/>
        </w:rPr>
        <w:footnoteReference w:id="3"/>
      </w:r>
      <w:r>
        <w:rPr>
          <w:noProof/>
        </w:rPr>
        <w:t>.</w:t>
      </w:r>
    </w:p>
    <w:p>
      <w:pPr>
        <w:pBdr>
          <w:top w:val="nil"/>
          <w:left w:val="nil"/>
          <w:bottom w:val="nil"/>
          <w:right w:val="nil"/>
          <w:between w:val="nil"/>
          <w:bar w:val="nil"/>
        </w:pBdr>
        <w:spacing w:before="0" w:after="240"/>
        <w:rPr>
          <w:rFonts w:eastAsia="Arial Unicode MS"/>
          <w:noProof/>
        </w:rPr>
      </w:pPr>
      <w:r>
        <w:rPr>
          <w:noProof/>
        </w:rPr>
        <w:t>Obecným posláním Evropského inovačního a technologického institutu (dále jen „EIT“) je podporovat udržitelný hospodářský růst a konkurenceschopnost v Evropě posilováním inovační kapacity členských států a Unie. EIT konkrétně posiluje inovační kapacitu Unie a reaguje na výzvy, jimž čelí společnost, tím, že začleňuje znalostní trojúhelník vysokoškolského vzdělávání, výzkumu a inovací. EIT působí prostřednictvím svých znalostních a inovačních společenství: jedná se o rozsáhlá evropská partnerství, která řeší konkrétní společenské výzvy tím, že propojují vzdělávací, výzkumné a podnikatelské organizace. EIT poskytuje znalostním a inovačním společenstvím granty, sleduje jejich činnosti, podporuje spolupráci mezi těmito společenstvími a šíří výsledky a osvědčené postupy.</w:t>
      </w:r>
    </w:p>
    <w:p>
      <w:pPr>
        <w:pBdr>
          <w:top w:val="nil"/>
          <w:left w:val="nil"/>
          <w:bottom w:val="nil"/>
          <w:right w:val="nil"/>
          <w:between w:val="nil"/>
          <w:bar w:val="nil"/>
        </w:pBdr>
        <w:spacing w:before="0" w:after="240"/>
        <w:rPr>
          <w:rFonts w:eastAsia="Arial Unicode MS"/>
          <w:noProof/>
        </w:rPr>
      </w:pPr>
      <w:r>
        <w:rPr>
          <w:noProof/>
        </w:rPr>
        <w:t>Externí hodnocení EIT provedené v roce 2017 potvrdilo, že jeho zřízení je opodstatněné a jeho model začleňování znalostního trojúhelníku založeného na inovacích zůstává i nadále relevantní.</w:t>
      </w:r>
    </w:p>
    <w:p>
      <w:pPr>
        <w:rPr>
          <w:noProof/>
        </w:rPr>
      </w:pPr>
      <w:r>
        <w:rPr>
          <w:noProof/>
        </w:rPr>
        <w:t>Na období 2021–2027 bude programem Unie pro financování EIT program Horizont Evropa. EIT je proto nedílnou součástí návrhu Komise, kterým se zavádí program Horizont Evropa, a jedním ze tří prvků jeho pilíře „Inovativní Evropa“. Návrh programu Horizont Evropa stanoví rozpočet pro EIT pro příští víceletý finanční rámec, jakož i jeho odůvodnění, přidanou hodnotu, oblasti intervence a hlavní směry činností. Samotný návrh programu Horizont Evropa však neposkytuje právní základ pro další fungování EIT po roce 2021. Právním základem EIT je i nadále nařízení o EIT.</w:t>
      </w:r>
    </w:p>
    <w:p>
      <w:pPr>
        <w:pBdr>
          <w:top w:val="nil"/>
          <w:left w:val="nil"/>
          <w:bottom w:val="nil"/>
          <w:right w:val="nil"/>
          <w:between w:val="nil"/>
          <w:bar w:val="nil"/>
        </w:pBdr>
        <w:spacing w:before="0" w:after="240"/>
        <w:rPr>
          <w:rFonts w:eastAsia="Arial Unicode MS"/>
          <w:noProof/>
        </w:rPr>
      </w:pPr>
      <w:r>
        <w:rPr>
          <w:noProof/>
        </w:rPr>
        <w:t>Kromě toho článek 17 nařízení o EIT vyžaduje, aby Komise každých sedm let předložila Evropskému parlamentu a Radě návrh strategického programu inovací, který stanoví strategické, dlouhodobé priority a finanční potřeby pro EIT a který musí být v souladu s platným rámcovým programem Unie pro podporu výzkumu a inovací</w:t>
      </w:r>
      <w:r>
        <w:rPr>
          <w:rStyle w:val="FootnoteReference"/>
          <w:noProof/>
        </w:rPr>
        <w:footnoteReference w:id="4"/>
      </w:r>
      <w:r>
        <w:rPr>
          <w:noProof/>
        </w:rPr>
        <w:t>.</w:t>
      </w:r>
    </w:p>
    <w:p>
      <w:pPr>
        <w:pBdr>
          <w:top w:val="nil"/>
          <w:left w:val="nil"/>
          <w:bottom w:val="nil"/>
          <w:right w:val="nil"/>
          <w:between w:val="nil"/>
          <w:bar w:val="nil"/>
        </w:pBdr>
        <w:spacing w:before="0" w:after="240"/>
        <w:rPr>
          <w:rFonts w:eastAsia="Arial Unicode MS"/>
          <w:noProof/>
        </w:rPr>
      </w:pPr>
      <w:r>
        <w:rPr>
          <w:noProof/>
        </w:rPr>
        <w:t>Nařízení o EIT není v zásadě časově omezeno, na rozdíl od strategického programu inovací. Avšak vzhledem k tomu, že řada ustanovení nařízení o EIT přímo odkazuje na stávající program Horizont 2020, který byl zřízen pro období 2014–2020, je třeba uvedená ustanovení změnit tak, aby byla slučitelná s příštími rámcovými programy Unie pro podporu výzkumu a inovací.</w:t>
      </w:r>
    </w:p>
    <w:p>
      <w:pPr>
        <w:pBdr>
          <w:top w:val="nil"/>
          <w:left w:val="nil"/>
          <w:bottom w:val="nil"/>
          <w:right w:val="nil"/>
          <w:between w:val="nil"/>
          <w:bar w:val="nil"/>
        </w:pBdr>
        <w:spacing w:before="0" w:after="240"/>
        <w:rPr>
          <w:rFonts w:eastAsia="Arial Unicode MS"/>
          <w:noProof/>
        </w:rPr>
      </w:pPr>
      <w:r>
        <w:rPr>
          <w:noProof/>
        </w:rPr>
        <w:t>Z tohoto důvodu se navrhuje, aby nové nařízení o EIT bylo časově neutrální, takže jeho změny na konci každého víceletého finančního rámce by v zásadě nebyly nutné, nebo by byly pouze minimální. Pokračování fungování EIT podle každého nového víceletého finančního rámce by podléhalo odpovídajícímu financování, které by spočívalo v příspěvku Unie. Příspěvek Unie může být poskytnut prostřednictvím finančního příspěvku z rámcového programu Unie pro podporu výzkumu a inovací i z jiných programů Unie.</w:t>
      </w:r>
    </w:p>
    <w:p>
      <w:pPr>
        <w:pBdr>
          <w:top w:val="nil"/>
          <w:left w:val="nil"/>
          <w:bottom w:val="nil"/>
          <w:right w:val="nil"/>
          <w:between w:val="nil"/>
          <w:bar w:val="nil"/>
        </w:pBdr>
        <w:spacing w:before="0" w:after="240"/>
        <w:rPr>
          <w:rFonts w:eastAsia="Arial Unicode MS"/>
          <w:noProof/>
        </w:rPr>
      </w:pPr>
      <w:r>
        <w:rPr>
          <w:noProof/>
        </w:rPr>
        <w:t>Úkolem strategického programu inovací EIT bude, aby zajistil sladění s cíli příslušného rámcového programu Unie pro podporu výzkumu a inovací, strategické víceleté plánování, sledování a další požadavky uvedeného programu a aby posiloval součinnost s dalšími příslušnými programy v každém novém víceletém finančním rámci.</w:t>
      </w:r>
    </w:p>
    <w:p>
      <w:pPr>
        <w:pBdr>
          <w:top w:val="nil"/>
          <w:left w:val="nil"/>
          <w:bottom w:val="nil"/>
          <w:right w:val="nil"/>
          <w:between w:val="nil"/>
          <w:bar w:val="nil"/>
        </w:pBdr>
        <w:spacing w:before="0" w:after="240"/>
        <w:rPr>
          <w:rFonts w:eastAsia="Arial Unicode MS"/>
          <w:noProof/>
        </w:rPr>
      </w:pPr>
      <w:r>
        <w:rPr>
          <w:noProof/>
        </w:rPr>
        <w:t>Vzhledem k tomu, že nařízení o EIT bylo již podstatně změněno v roce 2013 a stávající návrh obsahuje další podstatné změny nařízení o EIT, navrhuje se změnit nařízení o EIT prostřednictvím legislativní metody přepracování, aby se zajistila větší právní jasnost a lepší srozumitelnost. Časová neutralita přepracovaného nařízení rovněž umožní zaměřit se na hlavní zásady fungování EIT / znalostních a inovačních společenství. V kombinaci s posílenou rolí strategického programu inovací, pokud jde o uvádění EIT do souladu s jeho programem financování v každém víceletém finančním rámci, se tak zlepší celková soudržnost legislativního rámce EIT, usnadní se uplatňování jeho ustanovení a zjednoduší se legislativní proces po sedmi letech.</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Soulad s platnými předpisy v této oblasti politiky</w:t>
      </w:r>
    </w:p>
    <w:p>
      <w:pPr>
        <w:rPr>
          <w:noProof/>
        </w:rPr>
      </w:pPr>
      <w:r>
        <w:rPr>
          <w:noProof/>
        </w:rPr>
        <w:t>Pro období 2014–2020 jsou cíle, odůvodnění, přidaná hodnota EU, rozpočet, hlavní směry činností a ukazatele výkonnosti EIT vymezeny v nařízení o programu Horizont 2020. Nařízení o EIT současně stanoví poslání a úkoly pro EIT spolu s rámcem pro jeho fungování. Strategické oblasti s dlouhodobou prioritou a finanční potřeby EIT na každé období sedmi let jsou stanoveny ve strategickém programu inovací</w:t>
      </w:r>
      <w:r>
        <w:rPr>
          <w:rStyle w:val="FootnoteReference"/>
          <w:noProof/>
        </w:rPr>
        <w:footnoteReference w:id="5"/>
      </w:r>
      <w:r>
        <w:rPr>
          <w:noProof/>
        </w:rPr>
        <w:t>.</w:t>
      </w:r>
    </w:p>
    <w:p>
      <w:pPr>
        <w:pBdr>
          <w:top w:val="nil"/>
          <w:left w:val="nil"/>
          <w:bottom w:val="nil"/>
          <w:right w:val="nil"/>
          <w:between w:val="nil"/>
          <w:bar w:val="nil"/>
        </w:pBdr>
        <w:spacing w:before="0" w:after="240"/>
        <w:rPr>
          <w:rFonts w:eastAsia="Arial Unicode MS"/>
          <w:noProof/>
        </w:rPr>
      </w:pPr>
      <w:r>
        <w:rPr>
          <w:noProof/>
        </w:rPr>
        <w:t>Návrh programu Horizont Evropa potvrdil význam a přínos EIT a jeho znalostních a inovačních společenství při plnění strategických priorit EU v oblasti inovací. Navrhuje rozpočet EIT na období 2021–2027, jeho oblast působnosti, přidanou hodnotu a hlavní oblasti činnosti a zároveň poukazuje na revidovanou úlohu EIT s cílem posílit jeho přínos pro cíle programu Horizont Evropa.</w:t>
      </w:r>
    </w:p>
    <w:p>
      <w:pPr>
        <w:pBdr>
          <w:top w:val="nil"/>
          <w:left w:val="nil"/>
          <w:bottom w:val="nil"/>
          <w:right w:val="nil"/>
          <w:between w:val="nil"/>
          <w:bar w:val="nil"/>
        </w:pBdr>
        <w:spacing w:before="0" w:after="240"/>
        <w:rPr>
          <w:noProof/>
          <w:color w:val="000000"/>
          <w:szCs w:val="24"/>
        </w:rPr>
      </w:pPr>
      <w:r>
        <w:rPr>
          <w:noProof/>
        </w:rPr>
        <w:t>EIT je začleněn do programu Horizont Evropa jako součást jeho pilíře III („</w:t>
      </w:r>
      <w:r>
        <w:rPr>
          <w:rFonts w:asciiTheme="majorBidi" w:hAnsiTheme="majorBidi"/>
          <w:noProof/>
        </w:rPr>
        <w:t>Inovativní Evropa</w:t>
      </w:r>
      <w:r>
        <w:rPr>
          <w:noProof/>
        </w:rPr>
        <w:t>“). Bude však zajištěna součinnost a doplňkovost s ostatními složkami programu.</w:t>
      </w:r>
      <w:r>
        <w:rPr>
          <w:noProof/>
          <w:color w:val="000000"/>
          <w:szCs w:val="24"/>
        </w:rPr>
        <w:t xml:space="preserve"> EIT prostřednictvím svých znalostních a inovačních společenství rovněž přispěje k řešení globálních výzev v rámci pilíře II („Globální výzvy a evropská průmyslová konkurenceschopnost“) a pilíře I („Vynikající věda“).</w:t>
      </w:r>
    </w:p>
    <w:p>
      <w:pPr>
        <w:pBdr>
          <w:top w:val="nil"/>
          <w:left w:val="nil"/>
          <w:bottom w:val="nil"/>
          <w:right w:val="nil"/>
          <w:between w:val="nil"/>
          <w:bar w:val="nil"/>
        </w:pBdr>
        <w:spacing w:before="0" w:after="240"/>
        <w:rPr>
          <w:rFonts w:eastAsia="Arial Unicode MS"/>
          <w:noProof/>
        </w:rPr>
      </w:pPr>
      <w:r>
        <w:rPr>
          <w:noProof/>
        </w:rPr>
        <w:t>Podle návrhu programu Horizont Evropa se znalostní a inovační společenství považují za institucionalizovaná evropská partnerství. Přínos znalostních a inovačních společenství k dalším relevantním činnostem v rámci programu Horizont Evropa bude podporován prostřednictvím víceletého procesu strategického plánování, který bude zahrnovat mezioborové a meziodvětvové perspektivy a zajistí, aby všechny činnosti programu Horizont Evropa byly účinně koordinovány. Kromě toho návrh programu Horizont Evropa zdůrazňuje, že „návrhy týkající se budoucích znalostních a inovačních společenství EIT v souladu s nařízením o EIT budou uvedeny ve strategickém programu inovací a budou zohledňovat výsledky procesu strategického plánování a priority pilíře Globální výzvy a evropská průmyslová konkurenceschopnost“.</w:t>
      </w:r>
    </w:p>
    <w:p>
      <w:pPr>
        <w:pBdr>
          <w:top w:val="nil"/>
          <w:left w:val="nil"/>
          <w:bottom w:val="nil"/>
          <w:right w:val="nil"/>
          <w:between w:val="nil"/>
          <w:bar w:val="nil"/>
        </w:pBdr>
        <w:spacing w:before="0" w:after="240"/>
        <w:rPr>
          <w:rFonts w:eastAsia="Arial Unicode MS"/>
          <w:noProof/>
        </w:rPr>
      </w:pPr>
      <w:r>
        <w:rPr>
          <w:noProof/>
        </w:rPr>
        <w:t>Pro dosažení cílů programu Horizont Evropa bude rovněž důležité, aby existovala úzká spolupráce s Evropskou radou pro inovace (dále jen „ERI“), která zajistí součinnost a větší dopad. EIT a ERI se vzájemně doplňují: ERI bude identifikovat, vyvíjet a zavádět průlomové inovace a podporovat rychlý růst inovativních podniků, které vyvíjejí inovace vytvářející trhy na evropské i mezinárodní úrovni, zatímco EIT bude přispívat k rozvoji inovační kapacity na úrovni EU a členských států prostřednictvím začlenění znalostního trojúhelníku a podpory inovačních ekosystémů. EIT se bude obzvlášť zaměřovat na lidský kapitál, podnikatelské vzdělávání, větší regionální dosah a podporu tvorby a rozvoje podniků v konkrétních tematických oblastech.</w:t>
      </w:r>
    </w:p>
    <w:p>
      <w:pPr>
        <w:pStyle w:val="ManualHeading2"/>
        <w:rPr>
          <w:noProof/>
        </w:rPr>
      </w:pPr>
      <w:r>
        <w:rPr>
          <w:noProof/>
          <w:color w:val="000000"/>
          <w:u w:color="000000"/>
          <w:bdr w:val="nil"/>
        </w:rPr>
        <w:t>•</w:t>
      </w:r>
      <w:r>
        <w:rPr>
          <w:noProof/>
          <w:color w:val="000000"/>
          <w:u w:color="000000"/>
          <w:bdr w:val="nil"/>
        </w:rPr>
        <w:tab/>
      </w:r>
      <w:r>
        <w:rPr>
          <w:noProof/>
        </w:rPr>
        <w:t>Soulad s ostatními politikami Unie</w:t>
      </w:r>
    </w:p>
    <w:p>
      <w:pPr>
        <w:rPr>
          <w:noProof/>
        </w:rPr>
      </w:pPr>
      <w:r>
        <w:rPr>
          <w:noProof/>
        </w:rPr>
        <w:t>Jak bylo popsáno výše, návrh Komise na přepracování nařízení o EIT zdůrazňuje úlohu strategického programu inovací, aby se podpořila součinnost nejen s rámcovým programem Unie pro podporu výzkumu a inovací, ale i s dalšími příslušnými programy Unie daného víceletého finančního rámce. Nejdůležitější je, aby strategický program inovací vytvořil odpovídající součinnost a doplňkovost mezi činnostmi EIT a jinými iniciativami, politikami a nástroji Unie. EIT bude v tomto ohledu vykonávat cílené činnosti. Návrh navíc posiluje úlohu skupiny zástupců členských států, která pomůže zajistit součinnost a doplňkovost činností EIT a znalostních a inovačních společenství s vnitrostátními programy a iniciativami.</w:t>
      </w:r>
    </w:p>
    <w:p>
      <w:pPr>
        <w:pStyle w:val="ManualHeading1"/>
        <w:spacing w:before="0" w:after="0"/>
        <w:rPr>
          <w:noProof/>
        </w:rPr>
      </w:pPr>
      <w:r>
        <w:rPr>
          <w:noProof/>
        </w:rPr>
        <w:t>PRÁVNÍ ZÁKLAD, SUBSIDIARITA A PROPORCIONALITA</w:t>
      </w:r>
    </w:p>
    <w:p>
      <w:pPr>
        <w:pStyle w:val="ManualHeading2"/>
        <w:rPr>
          <w:rFonts w:eastAsia="Arial Unicode MS"/>
          <w:noProof/>
          <w:u w:color="000000"/>
          <w:bdr w:val="nil"/>
        </w:rPr>
      </w:pPr>
      <w:r>
        <w:rPr>
          <w:noProof/>
          <w:u w:color="000000"/>
          <w:bdr w:val="nil"/>
        </w:rPr>
        <w:t>•</w:t>
      </w:r>
      <w:r>
        <w:rPr>
          <w:noProof/>
          <w:u w:color="000000"/>
          <w:bdr w:val="nil"/>
        </w:rPr>
        <w:tab/>
      </w:r>
      <w:r>
        <w:rPr>
          <w:noProof/>
        </w:rPr>
        <w:t>Právní základ</w:t>
      </w:r>
    </w:p>
    <w:p>
      <w:pPr>
        <w:rPr>
          <w:noProof/>
        </w:rPr>
      </w:pPr>
      <w:r>
        <w:rPr>
          <w:noProof/>
        </w:rPr>
        <w:t>EU má na základě článku 173 Smlouvy o fungování EU (dále jen „SFEU“) (Hlava XVII) sdílenou pravomoc v oblasti průmyslové politiky. Podle čl. 173 odst. 1 Unie a členské státy zajistí, aby existovaly podmínky nezbytné pro konkurenceschopnost průmyslu Unie. Za tímto účelem a v souladu se systémem otevřených a konkurenčních trhů je jejich činnost zaměřena také na podporu lepšího využívání průmyslového potenciálu politik v oblasti inovací, výzkumu a technologického rozvoje. V čl. 173 odst. 3 SFEU se stanoví, že Evropský parlament a Rada mohou řádným legislativním postupem uvedeným v článku 294 rozhodnout o zvláštních opatřeních na podporu činností, které členské státy provádějí k dosažení uvedených cílů, s vyloučením harmonizace právních předpisů členských států. Toto ustanovení je právním základem stávajícího nařízení o EIT a strategického programu inovací na období 2014–2020.</w:t>
      </w:r>
    </w:p>
    <w:p>
      <w:pPr>
        <w:rPr>
          <w:noProof/>
        </w:rPr>
      </w:pPr>
      <w:r>
        <w:rPr>
          <w:noProof/>
        </w:rPr>
        <w:t>Navrhované posílení činností EIT, včetně činností v oblasti vzdělávání a regionálního rozměru, je motivováno inovacemi a má splnit cíl stanovený v článku 173 SFEU.</w:t>
      </w:r>
    </w:p>
    <w:p>
      <w:pPr>
        <w:pStyle w:val="ManualHeading2"/>
        <w:rPr>
          <w:rFonts w:eastAsia="Arial Unicode MS"/>
          <w:noProof/>
          <w:u w:color="000000"/>
          <w:bdr w:val="nil"/>
        </w:rPr>
      </w:pPr>
      <w:r>
        <w:rPr>
          <w:noProof/>
          <w:u w:color="000000"/>
          <w:bdr w:val="nil"/>
        </w:rPr>
        <w:t>•</w:t>
      </w:r>
      <w:r>
        <w:rPr>
          <w:noProof/>
          <w:u w:color="000000"/>
          <w:bdr w:val="nil"/>
        </w:rPr>
        <w:tab/>
      </w:r>
      <w:r>
        <w:rPr>
          <w:noProof/>
        </w:rPr>
        <w:t>Subsidiarita a proporcionalita</w:t>
      </w:r>
    </w:p>
    <w:p>
      <w:pPr>
        <w:rPr>
          <w:noProof/>
          <w:color w:val="1F497D"/>
        </w:rPr>
      </w:pPr>
      <w:r>
        <w:rPr>
          <w:noProof/>
        </w:rPr>
        <w:t>Návrh přepracování nařízení o EIT je v souladu se zásadami subsidiarity a proporcionality. Nepřekračuje rámec toho, co je nezbytné pro dosažení cílů Unie, a ve srovnání s vnitrostátními a regionálními iniciativami a řešeními poskytuje jasnou přidanou hodnotu EU z hlediska úspor z rozsahu, působnosti a rychlosti investic do výzkumu a inovací. Opatření na úrovni EU by navíc nezasahovalo do čistě vnitrostátních scénářů ani by nevyžadovalo harmonizaci právních předpisů členských států.</w:t>
      </w:r>
    </w:p>
    <w:p>
      <w:pPr>
        <w:rPr>
          <w:noProof/>
        </w:rPr>
      </w:pPr>
      <w:r>
        <w:rPr>
          <w:noProof/>
        </w:rPr>
        <w:t>EIT přestavuje jedinečný způsob, jak vybudovat v celé EU inovační ekosystémy, které propojí vzdělávání, výzkum, podnikání a další zúčastněné strany</w:t>
      </w:r>
      <w:r>
        <w:rPr>
          <w:rStyle w:val="FootnoteReference"/>
          <w:noProof/>
        </w:rPr>
        <w:footnoteReference w:id="6"/>
      </w:r>
      <w:r>
        <w:rPr>
          <w:noProof/>
        </w:rPr>
        <w:t>. Činnosti v oblasti spolupráce podporované EIT vedou k vyšší kvalitě činností, inovací a internacionalizace partnerů a organizací znalostních a inovačních společenství, k vytváření přeshraničních víceoborových sítí, k větší meziodvětvové spolupráci a k širšímu zeměpisnému dosahu.</w:t>
      </w:r>
    </w:p>
    <w:p>
      <w:pPr>
        <w:rPr>
          <w:noProof/>
        </w:rPr>
      </w:pPr>
      <w:r>
        <w:rPr>
          <w:noProof/>
        </w:rPr>
        <w:t>EIT je rovněž jediným nástrojem programu Horizont Evropa, který se výrazně zaměřuje na vzdělávání jakožto zásadní hnací sílu inovací, růstu a konkurenceschopnosti.</w:t>
      </w:r>
      <w:bookmarkStart w:id="1" w:name="_Toc534627716"/>
      <w:bookmarkEnd w:id="1"/>
    </w:p>
    <w:p>
      <w:pPr>
        <w:pStyle w:val="ManualHeading1"/>
        <w:spacing w:before="0" w:after="0"/>
        <w:rPr>
          <w:noProof/>
        </w:rPr>
      </w:pPr>
      <w:r>
        <w:rPr>
          <w:noProof/>
        </w:rPr>
        <w:t xml:space="preserve">VÝSLEDKY HODNOCENÍ </w:t>
      </w:r>
      <w:r>
        <w:rPr>
          <w:i/>
          <w:noProof/>
        </w:rPr>
        <w:t>EX POST</w:t>
      </w:r>
      <w:r>
        <w:rPr>
          <w:noProof/>
        </w:rPr>
        <w:t>, KONZULTACÍ SE ZÚČASTNĚNÝMI STRANAMI A POSOUZENÍ DOPADŮ</w:t>
      </w:r>
    </w:p>
    <w:p>
      <w:pPr>
        <w:rPr>
          <w:i/>
          <w:noProof/>
        </w:rPr>
      </w:pPr>
      <w:r>
        <w:rPr>
          <w:i/>
          <w:noProof/>
        </w:rPr>
        <w:t>Externí hodnocení</w:t>
      </w:r>
    </w:p>
    <w:p>
      <w:pPr>
        <w:rPr>
          <w:noProof/>
        </w:rPr>
      </w:pPr>
      <w:r>
        <w:rPr>
          <w:noProof/>
        </w:rPr>
        <w:t>Návrh vychází z externího hodnocení EIT provedeného v roce 2017, jež potvrdilo, že zřízení EIT je opodstatněné a že jeho model začleňování znalostního trojúhelníku založeného na inovacích zůstává i nadále relevantní. Model EIT cílí na hlavní strukturální nedostatky inovačních kapacit v EU (v klíčových tematických oblastech), jako jsou omezená podnikatelská kultura, nízká úroveň spolupráce mezi akademickou sférou a průmyslem a nedostatečný rozvoj lidského potenciálu, a snaží se přispět k vyrovnání rozdílů v inovacích mezi EU a jejími hlavními konkurenty.</w:t>
      </w:r>
    </w:p>
    <w:p>
      <w:pPr>
        <w:rPr>
          <w:i/>
          <w:noProof/>
        </w:rPr>
      </w:pPr>
      <w:r>
        <w:rPr>
          <w:i/>
          <w:noProof/>
        </w:rPr>
        <w:t>Otevřená veřejná konzultace</w:t>
      </w:r>
    </w:p>
    <w:p>
      <w:pPr>
        <w:rPr>
          <w:noProof/>
        </w:rPr>
      </w:pPr>
      <w:r>
        <w:rPr>
          <w:noProof/>
        </w:rPr>
        <w:t>Návrh zohledňuje výsledky otevřené veřejné konzultace, která byla součástí posouzení dopadů vypracovaného Evropskou komisí na podporu jejích návrhů na revizi nařízení o EIT a na nový strategický program inovací EIT na období 2021–2027. Účelem otevřené veřejné konzultace bylo shromáždit informace, stanoviska a názory široké škály zúčastněných stran ohledně 1) problémů a příležitostí v Evropském výzkumném prostoru, 2) cílů politiky EIT a 3) možností politiky pro řešení problémů.</w:t>
      </w:r>
    </w:p>
    <w:p>
      <w:pPr>
        <w:pBdr>
          <w:top w:val="nil"/>
          <w:left w:val="nil"/>
          <w:bottom w:val="nil"/>
          <w:right w:val="nil"/>
          <w:between w:val="nil"/>
          <w:bar w:val="nil"/>
        </w:pBdr>
        <w:spacing w:before="0" w:after="240"/>
        <w:rPr>
          <w:i/>
          <w:noProof/>
        </w:rPr>
      </w:pPr>
      <w:r>
        <w:rPr>
          <w:i/>
          <w:noProof/>
        </w:rPr>
        <w:t>Posouzení dopadů</w:t>
      </w:r>
    </w:p>
    <w:p>
      <w:pPr>
        <w:rPr>
          <w:noProof/>
        </w:rPr>
      </w:pPr>
      <w:r>
        <w:rPr>
          <w:noProof/>
        </w:rPr>
        <w:t>Tento návrh je podpořen posouzením dopadů, které se vztahuje na návrh na změnu nařízení o EIT (přepracované znění) i návrh strategického programu inovací EIT na období 2021–2027.</w:t>
      </w:r>
    </w:p>
    <w:p>
      <w:pPr>
        <w:rPr>
          <w:noProof/>
        </w:rPr>
      </w:pPr>
      <w:r>
        <w:rPr>
          <w:noProof/>
        </w:rPr>
        <w:t>Uvedené posouzení dopadů vychází z posouzení dopadů, jež bylo provedeno pro program Horizont Evropa. Kladné stanovisko Výboru pro kontrolu regulace bylo obdrženo dne 5. dubna 2019.</w:t>
      </w:r>
    </w:p>
    <w:p>
      <w:pPr>
        <w:rPr>
          <w:rFonts w:eastAsia="Arial Unicode MS"/>
          <w:noProof/>
        </w:rPr>
      </w:pPr>
      <w:r>
        <w:rPr>
          <w:noProof/>
        </w:rPr>
        <w:t>Posouzení dopadů, které je připojeno k tomuto návrhu, zjistilo následující možnosti politiky: základní možnost a dvě různé možnosti řešení problémů a technických záležitostí uvedených v posouzení dopadů.</w:t>
      </w:r>
    </w:p>
    <w:p>
      <w:pPr>
        <w:rPr>
          <w:rFonts w:eastAsia="Arial Unicode MS"/>
          <w:noProof/>
        </w:rPr>
      </w:pPr>
      <w:r>
        <w:rPr>
          <w:noProof/>
        </w:rPr>
        <w:t>Základní možnost 1 představuje pokračování činností EIT jako dosud, pouze s úpravami, které jsou nezbytné pro jeho sladění s návrhem programu Horizont Evropa. Možnost 2 vychází ze základního scénáře. Kromě toho by obnášela přijetí řady technických opatření pro zlepšení fungování EIT a navrhuje nová opatření na podporu podnikatelského vzdělávání v celé Evropě. Možnost 3 se liší od možnosti 2 tím, že by zřídila centrum EIT v každém členském státě s cílem zvýšit dopad činností EIT v celé Evropě.</w:t>
      </w:r>
    </w:p>
    <w:p>
      <w:pPr>
        <w:rPr>
          <w:noProof/>
        </w:rPr>
      </w:pPr>
      <w:r>
        <w:rPr>
          <w:noProof/>
        </w:rPr>
        <w:t>Jako upřednostňovaná možnost byla zvolena možnost 2, jelikož dosahuje té nejlepší rovnováhy mezi splněním cílů iniciativy s ohledem na dostupné zdroje a zajištěním co největších hospodářských a společenských dopadů. Zajistí rovněž podstatná zdokonalení EIT v příštím programovém období.</w:t>
      </w:r>
    </w:p>
    <w:p>
      <w:pPr>
        <w:pStyle w:val="ManualHeading2"/>
        <w:rPr>
          <w:noProof/>
          <w:u w:color="000000"/>
          <w:bdr w:val="nil"/>
        </w:rPr>
      </w:pPr>
      <w:r>
        <w:rPr>
          <w:noProof/>
          <w:u w:color="000000"/>
          <w:bdr w:val="nil"/>
        </w:rPr>
        <w:t>•</w:t>
      </w:r>
      <w:r>
        <w:rPr>
          <w:noProof/>
          <w:u w:color="000000"/>
          <w:bdr w:val="nil"/>
        </w:rPr>
        <w:tab/>
        <w:t>Základní práva</w:t>
      </w:r>
    </w:p>
    <w:p>
      <w:pPr>
        <w:rPr>
          <w:noProof/>
        </w:rPr>
      </w:pPr>
      <w:r>
        <w:rPr>
          <w:noProof/>
        </w:rPr>
        <w:t>Návrh Komise respektuje základní práva a dodržuje zásady Listiny základních práv EU.</w:t>
      </w:r>
    </w:p>
    <w:p>
      <w:pPr>
        <w:pStyle w:val="ManualHeading1"/>
        <w:rPr>
          <w:noProof/>
        </w:rPr>
      </w:pPr>
      <w:r>
        <w:rPr>
          <w:noProof/>
        </w:rPr>
        <w:t>ROZPOČTOVÉ DŮSLEDKY</w:t>
      </w:r>
    </w:p>
    <w:p>
      <w:pPr>
        <w:rPr>
          <w:noProof/>
        </w:rPr>
      </w:pPr>
      <w:r>
        <w:rPr>
          <w:noProof/>
        </w:rPr>
        <w:t>Rozpočtové důsledky návrhu, jakož i požadované lidské a administrativní zdroje jsou podrobně popsány v legislativním finančním výkazu</w:t>
      </w:r>
      <w:r>
        <w:rPr>
          <w:rStyle w:val="FootnoteReference"/>
          <w:noProof/>
        </w:rPr>
        <w:footnoteReference w:id="7"/>
      </w:r>
      <w:r>
        <w:rPr>
          <w:noProof/>
        </w:rPr>
        <w:t>.</w:t>
      </w:r>
    </w:p>
    <w:p>
      <w:pPr>
        <w:pStyle w:val="ManualHeading1"/>
        <w:rPr>
          <w:noProof/>
        </w:rPr>
      </w:pPr>
      <w:r>
        <w:rPr>
          <w:noProof/>
        </w:rPr>
        <w:t>OSTATNÍ PRVKY</w:t>
      </w:r>
    </w:p>
    <w:p>
      <w:pPr>
        <w:pStyle w:val="ManualHeading2"/>
        <w:rPr>
          <w:noProof/>
          <w:u w:color="000000"/>
          <w:bdr w:val="nil"/>
        </w:rPr>
      </w:pPr>
      <w:r>
        <w:rPr>
          <w:noProof/>
          <w:u w:color="000000"/>
          <w:bdr w:val="nil"/>
        </w:rPr>
        <w:t>•</w:t>
      </w:r>
      <w:r>
        <w:rPr>
          <w:noProof/>
          <w:u w:color="000000"/>
          <w:bdr w:val="nil"/>
        </w:rPr>
        <w:tab/>
        <w:t>Plány provádění a způsoby monitorování, hodnocení a podávání zpráv</w:t>
      </w:r>
    </w:p>
    <w:p>
      <w:pPr>
        <w:rPr>
          <w:noProof/>
        </w:rPr>
      </w:pPr>
      <w:r>
        <w:rPr>
          <w:noProof/>
        </w:rPr>
        <w:t>Monitorování a hodnocení jsou základní nástroje pro měření dopadu EIT a budou v příštím programovém období dále posilovány a průběžně zlepšovány. Vzhledem k povaze modelu začleňování znalostního trojúhelníku bude důležité uplatňovat takový rámec monitorování, který umožní flexibilitu na všech příslušných úrovních a zajistí soulad s obecnými cíli programu Horizont Evropa a požadovaným dopadem.</w:t>
      </w:r>
    </w:p>
    <w:p>
      <w:pPr>
        <w:pBdr>
          <w:top w:val="nil"/>
          <w:left w:val="nil"/>
          <w:bottom w:val="nil"/>
          <w:right w:val="nil"/>
          <w:between w:val="nil"/>
          <w:bar w:val="nil"/>
        </w:pBdr>
        <w:spacing w:before="0" w:after="0"/>
        <w:rPr>
          <w:rFonts w:eastAsia="Arial Unicode MS"/>
          <w:i/>
          <w:noProof/>
        </w:rPr>
      </w:pPr>
      <w:r>
        <w:rPr>
          <w:i/>
          <w:noProof/>
        </w:rPr>
        <w:t>Monitorování</w:t>
      </w:r>
    </w:p>
    <w:p>
      <w:pPr>
        <w:rPr>
          <w:noProof/>
        </w:rPr>
      </w:pPr>
      <w:r>
        <w:rPr>
          <w:noProof/>
        </w:rPr>
        <w:t>Všechny vstupy, výstupy, výsledky a dopady identifikované v posouzení dopadů připojeném k tomuto návrhu budou monitorovány pomocí ukazatelů. Tyto ukazatele již existují a EIT je používá. Pokud neexistují, budou vypracovány nové ukazatele, které umožní EIT monitorovat plnění jeho cílů.</w:t>
      </w:r>
    </w:p>
    <w:p>
      <w:pPr>
        <w:rPr>
          <w:noProof/>
        </w:rPr>
      </w:pPr>
      <w:r>
        <w:rPr>
          <w:noProof/>
        </w:rPr>
        <w:t>Souběžně a plně v souladu se stávajícími nástroji pro monitorování se bude usilovat o důkladný soulad mezi ustanoveními o monitorování pro EIT a ustanoveními, která jsou zavedena pro program Horizont Evropa. EIT například sladí své nástroje pro monitorování se způsoby dosahování dopadů programu Horizont Evropa, které se snaží řešit potřebu ukazatelů vědeckých, ekonomických a společenských dopadů komplexněji. EIT bude odpovědný za průběžné monitorování provozní výkonnosti znalostních a inovačních společenství a za průběžné přizpůsobování svých systémů monitorování a podávání zpráv. Výsledky tohoto monitorování budou využity při procesech plánování činnosti znalostních a inovačních společenství a při rozhodování EIT o přidělení rozpočtu a přípravě rámcových dohod o partnerství se znalostními a inovačními společenstvími jakožto příjemci. Výsledky monitorování by se měly průběžně promítnout do procesu tvorby politik.</w:t>
      </w:r>
    </w:p>
    <w:p>
      <w:pPr>
        <w:pBdr>
          <w:top w:val="nil"/>
          <w:left w:val="nil"/>
          <w:bottom w:val="nil"/>
          <w:right w:val="nil"/>
          <w:between w:val="nil"/>
          <w:bar w:val="nil"/>
        </w:pBdr>
        <w:spacing w:before="0" w:after="0"/>
        <w:rPr>
          <w:rFonts w:eastAsia="Arial Unicode MS"/>
          <w:i/>
          <w:noProof/>
        </w:rPr>
      </w:pPr>
      <w:r>
        <w:rPr>
          <w:i/>
          <w:noProof/>
        </w:rPr>
        <w:t>Hodnocení</w:t>
      </w:r>
    </w:p>
    <w:p>
      <w:pPr>
        <w:rPr>
          <w:noProof/>
        </w:rPr>
      </w:pPr>
      <w:r>
        <w:rPr>
          <w:noProof/>
        </w:rPr>
        <w:t>Hodnocení výkonnosti EIT bude provádět Komise v souladu s požadavky změněného nařízení o EIT a toto hodnocení přispěje k celkovému hodnocení programu Horizont Evropa, které bude provedeno v polovině období a </w:t>
      </w:r>
      <w:r>
        <w:rPr>
          <w:i/>
          <w:noProof/>
        </w:rPr>
        <w:t>ex post</w:t>
      </w:r>
      <w:r>
        <w:rPr>
          <w:noProof/>
        </w:rPr>
        <w:t>. Bude zahrnovat posouzení součinnosti EIT s ostatními nástroji programu.</w:t>
      </w:r>
    </w:p>
    <w:p>
      <w:pPr>
        <w:rPr>
          <w:noProof/>
        </w:rPr>
      </w:pPr>
      <w:r>
        <w:rPr>
          <w:noProof/>
        </w:rPr>
        <w:t>Pokud jde o znalostní a inovační společenství, pro posouzení výkonnosti těchto společenství během příštího programového období se použije rámec specifických ukazatelů (podrobně popsaný v návrhu nového strategického programu inovací). Tento rámec čerpá ze současných a předchozích ukazatelů a opravuje mezery a nedostatky zjištěné ve stávajícím systému měření výkonnosti. Je rovněž v souladu s rámcem ukazatelů programu Horizont Evropa.</w:t>
      </w:r>
    </w:p>
    <w:p>
      <w:pPr>
        <w:pStyle w:val="ManualHeading2"/>
        <w:rPr>
          <w:noProof/>
          <w:u w:color="000000"/>
          <w:bdr w:val="nil"/>
        </w:rPr>
      </w:pPr>
      <w:r>
        <w:rPr>
          <w:noProof/>
          <w:u w:color="000000"/>
          <w:bdr w:val="nil"/>
        </w:rPr>
        <w:t>•</w:t>
      </w:r>
      <w:r>
        <w:rPr>
          <w:noProof/>
          <w:u w:color="000000"/>
          <w:bdr w:val="nil"/>
        </w:rPr>
        <w:tab/>
        <w:t>Vysvětlení zásadních změn konkrétních ustanovení návrhu</w:t>
      </w:r>
    </w:p>
    <w:p>
      <w:pPr>
        <w:rPr>
          <w:noProof/>
        </w:rPr>
      </w:pPr>
      <w:r>
        <w:rPr>
          <w:b/>
          <w:noProof/>
        </w:rPr>
        <w:t>Článek 5 (Orgány EIT)</w:t>
      </w:r>
      <w:r>
        <w:rPr>
          <w:noProof/>
        </w:rPr>
        <w:t xml:space="preserve"> – návrh posiluje úlohu výkonného výboru jako zvláštního orgánu EIT, zdůrazňuje odpovědnost ředitele vůči správní radě a posiluje nezávislost útvaru interního auditu.</w:t>
      </w:r>
    </w:p>
    <w:p>
      <w:pPr>
        <w:rPr>
          <w:noProof/>
        </w:rPr>
      </w:pPr>
      <w:r>
        <w:rPr>
          <w:b/>
          <w:noProof/>
        </w:rPr>
        <w:t>Článek 6 (Úkoly)</w:t>
      </w:r>
      <w:r>
        <w:rPr>
          <w:noProof/>
        </w:rPr>
        <w:t xml:space="preserve"> – návrh obsahuje několik upřesnění stávajících úkolů EIT a zdůrazňuje význam úkolu EIT zajistit náležitou koordinaci mezi znalostními a inovačními společenstvími a usnadnit jejich komunikaci a tematickou spolupráci. Návrh zavádí pro EIT nový úkol, a sice navrhovat a koordinovat podpůrné činnosti prováděné znalostními a inovačními společenstvími pro rozvoj podnikatelské a inovační kapacity vysokoškolských institucí a jejich začlenění do inovačních ekosystémů.</w:t>
      </w:r>
    </w:p>
    <w:p>
      <w:pPr>
        <w:rPr>
          <w:noProof/>
        </w:rPr>
      </w:pPr>
      <w:r>
        <w:rPr>
          <w:b/>
          <w:noProof/>
        </w:rPr>
        <w:t>Článek 10 (Zásady hodnocení a sledování znalostních a inovačních společenství)</w:t>
      </w:r>
      <w:r>
        <w:rPr>
          <w:noProof/>
        </w:rPr>
        <w:t xml:space="preserve"> – návrh aktualizuje odkaz na rámcový program Unie pro podporu výzkumu a inovací, pokud jde o ukazatele pro průběžné sledování a pravidelná externí hodnocení znalostních a inovačních společenství.</w:t>
      </w:r>
    </w:p>
    <w:p>
      <w:pPr>
        <w:rPr>
          <w:noProof/>
        </w:rPr>
      </w:pPr>
      <w:r>
        <w:rPr>
          <w:b/>
          <w:noProof/>
        </w:rPr>
        <w:t>Článek 11 (Trvání, pokračování a ukončení znalostního a inovačního společenství)</w:t>
      </w:r>
      <w:r>
        <w:rPr>
          <w:noProof/>
        </w:rPr>
        <w:t xml:space="preserve"> – návrh posiluje komplexní přezkum každého znalostního a inovačního společenství v polovině období před skončením platnosti původní rámcové dohody o partnerství a zavádí pojem „memorandum o spolupráci“ jako dobrovolný prostředek k zajištění vztahu mezi EIT a znalostními a inovačními společenstvími po datu ukončení rámcové dohody o partnerství.</w:t>
      </w:r>
    </w:p>
    <w:p>
      <w:pPr>
        <w:rPr>
          <w:noProof/>
        </w:rPr>
      </w:pPr>
      <w:r>
        <w:rPr>
          <w:b/>
          <w:noProof/>
        </w:rPr>
        <w:t>Článek 17 (Financování znalostních a inovačních společenství)</w:t>
      </w:r>
      <w:r>
        <w:rPr>
          <w:noProof/>
        </w:rPr>
        <w:t xml:space="preserve"> – návrh přesouvá odstavec 1 stávajícího článku 14 týkajícího se finančních zdrojů EIT do změněného odstavce 1 článku 20 o rozpočtu EIT a doplňuje několik změn. Kromě toho stanoví zásadu pro revidovaný model financování EIT v tom smyslu, že příspěvek EIT do znalostních a inovačních společenství může pokrýt až 100 % celkových způsobilých nákladů na činnosti znalostních a inovačních společenství s přidanou hodnotou pouze v počátečních fázích existence těchto společenství. Tento příspěvek se má v průběhu času postupně snižovat v souladu se sazbami spolufinancování stanovenými ve strategickém programu inovací. Zdůrazňuje se rovněž význam finanční udržitelnosti znalostních a inovačních společenství v rámci mechanismu EIT pro přidělování na základě hospodářské soutěže.</w:t>
      </w:r>
    </w:p>
    <w:p>
      <w:pPr>
        <w:rPr>
          <w:noProof/>
        </w:rPr>
      </w:pPr>
      <w:r>
        <w:rPr>
          <w:b/>
          <w:noProof/>
        </w:rPr>
        <w:t>Článek 20 (Rozpočet EIT)</w:t>
      </w:r>
      <w:r>
        <w:rPr>
          <w:noProof/>
        </w:rPr>
        <w:t xml:space="preserve"> – návrh vymezuje financování EIT a zdroj finančního příspěvku EIT do znalostních a inovačních společenství.</w:t>
      </w:r>
    </w:p>
    <w:p>
      <w:pPr>
        <w:rPr>
          <w:noProof/>
        </w:rPr>
      </w:pPr>
      <w:r>
        <w:rPr>
          <w:b/>
          <w:noProof/>
        </w:rPr>
        <w:t>Příloha I (Stanovy EIT)</w:t>
      </w:r>
      <w:r>
        <w:rPr>
          <w:noProof/>
        </w:rPr>
        <w:t xml:space="preserve"> – navrhují se změny stanov EIT s cílem vyjasnit úlohu správní rady, výkonného výboru a ředitele EIT, posílit úlohu správní rady při sledování a řízení znalostních a inovačních společenství a dohledu nad nimi a vyjasnit úlohu Komise ve vztahu k EIT, aby se zohlednily její povinnosti, pokud jde o sledování a řádné finanční řízení. Návrh obsahuje nový požadavek na odsouhlasení určitého omezeného počtu strategických otázek, o nichž rozhoduje správní rada (např. zásady sledování a přidělování finančních prostředků), ze strany Komise. Návrh rovněž odstraňuje odkaz na „smlouvy na dobu určitou“ pracovníků EIT, aby se zajistila jejich profesní kontinuita a rozvoj srovnatelné s režimem použitelným pro agentury EU.</w:t>
      </w:r>
    </w:p>
    <w:p>
      <w:pPr>
        <w:rPr>
          <w:noProof/>
        </w:rPr>
        <w:sectPr>
          <w:footerReference w:type="default" r:id="rId16"/>
          <w:footerReference w:type="first" r:id="rId17"/>
          <w:pgSz w:w="12240" w:h="15840"/>
          <w:pgMar w:top="1440" w:right="1440" w:bottom="1440" w:left="1440" w:header="709" w:footer="709" w:gutter="0"/>
          <w:cols w:space="720"/>
          <w:docGrid w:linePitch="326"/>
        </w:sectPr>
      </w:pPr>
      <w:bookmarkStart w:id="2" w:name="_Toc514941970"/>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(přizpůsobený)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pPr>
        <w:pStyle w:val="Rfrenceinterinstitutionnelle"/>
        <w:rPr>
          <w:noProof/>
        </w:rPr>
      </w:pPr>
      <w:r>
        <w:rPr>
          <w:noProof/>
        </w:rPr>
        <w:t>2019/0151 (COD)</w:t>
      </w:r>
    </w:p>
    <w:p>
      <w:pPr>
        <w:pStyle w:val="Statut"/>
        <w:rPr>
          <w:noProof/>
        </w:rPr>
      </w:pPr>
      <w:r>
        <w:rPr>
          <w:noProof/>
        </w:rPr>
        <w:t>Návrh</w:t>
      </w:r>
    </w:p>
    <w:p>
      <w:pPr>
        <w:pStyle w:val="Typedudocument"/>
        <w:rPr>
          <w:noProof/>
        </w:rPr>
      </w:pPr>
      <w:r>
        <w:rPr>
          <w:noProof/>
        </w:rPr>
        <w:t>NAŘÍZENÍ EVROPSKÉHO PARLAMENTU A RADY</w:t>
      </w:r>
    </w:p>
    <w:p>
      <w:pPr>
        <w:pStyle w:val="Titreobjet"/>
        <w:rPr>
          <w:noProof/>
        </w:rPr>
      </w:pPr>
      <w:r>
        <w:rPr>
          <w:rStyle w:val="CRDeleted"/>
          <w:noProof/>
        </w:rPr>
        <w:t>kterým se zřizuje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Evropském inovačním a technologickém institutu (přepracované znění)</w:t>
      </w:r>
    </w:p>
    <w:p>
      <w:pPr>
        <w:pStyle w:val="IntrtEEE"/>
        <w:rPr>
          <w:noProof/>
        </w:rPr>
      </w:pPr>
      <w:r>
        <w:rPr>
          <w:noProof/>
        </w:rPr>
        <w:t>(Text s významem pro EHP)</w:t>
      </w:r>
    </w:p>
    <w:p>
      <w:pPr>
        <w:pStyle w:val="Institutionquiagit"/>
        <w:rPr>
          <w:noProof/>
        </w:rPr>
      </w:pPr>
      <w:r>
        <w:rPr>
          <w:noProof/>
        </w:rPr>
        <w:t>EVROPSKÝ PARLAMENT A RADA EVROPSKÉ UNIE,</w:t>
      </w:r>
    </w:p>
    <w:p>
      <w:pPr>
        <w:rPr>
          <w:noProof/>
        </w:rPr>
      </w:pPr>
      <w:r>
        <w:rPr>
          <w:noProof/>
        </w:rPr>
        <w:t xml:space="preserve">s ohledem na Smlouvu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o Fungování Evropské unie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w:t>
      </w:r>
      <w:r>
        <w:rPr>
          <w:rStyle w:val="CRDeleted"/>
          <w:noProof/>
        </w:rPr>
        <w:t>o založení Evropského společenství</w:t>
      </w:r>
      <w:r>
        <w:rPr>
          <w:noProof/>
        </w:rPr>
        <w:t>, a zejména na čl. </w:t>
      </w:r>
      <w:r>
        <w:rPr>
          <w:rStyle w:val="CRDeleted"/>
          <w:noProof/>
        </w:rPr>
        <w:t>157 odst. 3</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čl. 173 odst. 3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této smlouvy,</w:t>
      </w:r>
    </w:p>
    <w:p>
      <w:pPr>
        <w:rPr>
          <w:noProof/>
        </w:rPr>
      </w:pPr>
      <w:r>
        <w:rPr>
          <w:noProof/>
        </w:rPr>
        <w:t xml:space="preserve">s ohledem na návrh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Evropské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komise,</w:t>
      </w:r>
    </w:p>
    <w:p>
      <w:pPr>
        <w:rPr>
          <w:noProof/>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po postoupení návrhu legislativního aktu vnitrostátním parlamentům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pPr>
        <w:rPr>
          <w:noProof/>
        </w:rPr>
      </w:pPr>
      <w:r>
        <w:rPr>
          <w:noProof/>
        </w:rPr>
        <w:t>s ohledem na stanovisko Evropského hospodářského a sociálního výboru</w:t>
      </w:r>
      <w:r>
        <w:rPr>
          <w:rStyle w:val="FootnoteReference"/>
          <w:noProof/>
        </w:rPr>
        <w:footnoteReference w:id="8"/>
      </w:r>
      <w:r>
        <w:rPr>
          <w:noProof/>
        </w:rPr>
        <w:t>,</w:t>
      </w:r>
    </w:p>
    <w:p>
      <w:pPr>
        <w:rPr>
          <w:noProof/>
        </w:rPr>
      </w:pPr>
      <w:r>
        <w:rPr>
          <w:noProof/>
        </w:rPr>
        <w:t>s ohledem na stanovisko Výboru regionů</w:t>
      </w:r>
      <w:r>
        <w:rPr>
          <w:rStyle w:val="FootnoteReference"/>
          <w:noProof/>
        </w:rPr>
        <w:footnoteReference w:id="9"/>
      </w:r>
      <w:r>
        <w:rPr>
          <w:noProof/>
        </w:rPr>
        <w:t>,</w:t>
      </w:r>
    </w:p>
    <w:p>
      <w:pPr>
        <w:rPr>
          <w:noProof/>
        </w:rPr>
      </w:pPr>
      <w:r>
        <w:rPr>
          <w:noProof/>
        </w:rPr>
        <w:t>v souladu s </w:t>
      </w:r>
      <w:r>
        <w:rPr>
          <w:rStyle w:val="CRDeleted"/>
          <w:noProof/>
        </w:rPr>
        <w:t>postupem stanoveným v článku 251 Smlouvy</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řádným legislativním postupem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pPr>
        <w:rPr>
          <w:noProof/>
        </w:rPr>
      </w:pPr>
      <w:r>
        <w:rPr>
          <w:noProof/>
        </w:rPr>
        <w:t>vzhledem k těmto důvodům:</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ò</w:instrText>
      </w:r>
      <w:r>
        <w:rPr>
          <w:noProof/>
          <w:highlight w:val="lightGray"/>
        </w:rPr>
        <w:instrText xml:space="preserve">" </w:instrText>
      </w:r>
      <w:r>
        <w:rPr>
          <w:noProof/>
          <w:highlight w:val="lightGray"/>
        </w:rPr>
        <w:fldChar w:fldCharType="separate"/>
      </w:r>
      <w:r>
        <w:rPr>
          <w:rStyle w:val="CRMarker"/>
          <w:rFonts w:cs="Wingdings"/>
          <w:noProof/>
          <w:highlight w:val="lightGray"/>
        </w:rPr>
        <w:t>ò</w:t>
      </w:r>
      <w:r>
        <w:rPr>
          <w:noProof/>
          <w:highlight w:val="lightGray"/>
        </w:rPr>
        <w:fldChar w:fldCharType="end"/>
      </w:r>
      <w:r>
        <w:rPr>
          <w:noProof/>
          <w:highlight w:val="lightGray"/>
        </w:rPr>
        <w:t> nový</w:t>
      </w:r>
    </w:p>
    <w:p>
      <w:pPr>
        <w:pStyle w:val="ManualConsidrant"/>
        <w:rPr>
          <w:noProof/>
          <w:highlight w:val="lightGray"/>
        </w:rPr>
      </w:pPr>
      <w:r>
        <w:rPr>
          <w:highlight w:val="lightGray"/>
        </w:rPr>
        <w:t>(1)</w:t>
      </w:r>
      <w:r>
        <w:rPr>
          <w:highlight w:val="lightGray"/>
        </w:rPr>
        <w:tab/>
      </w:r>
      <w:r>
        <w:rPr>
          <w:noProof/>
          <w:highlight w:val="lightGray"/>
        </w:rPr>
        <w:t>Nařízení Evropského parlamentu a Rady (ES) č. 294/2008</w:t>
      </w:r>
      <w:r>
        <w:rPr>
          <w:rStyle w:val="FootnoteReference"/>
          <w:noProof/>
          <w:snapToGrid w:val="0"/>
          <w:highlight w:val="lightGray"/>
        </w:rPr>
        <w:footnoteReference w:id="10"/>
      </w:r>
      <w:r>
        <w:rPr>
          <w:noProof/>
          <w:highlight w:val="lightGray"/>
        </w:rPr>
        <w:t xml:space="preserve"> </w:t>
      </w:r>
      <w:r>
        <w:rPr>
          <w:noProof/>
          <w:snapToGrid w:val="0"/>
          <w:highlight w:val="lightGray"/>
        </w:rPr>
        <w:t>bylo podstatně změněno</w:t>
      </w:r>
      <w:r>
        <w:rPr>
          <w:rStyle w:val="FootnoteReference"/>
          <w:noProof/>
          <w:snapToGrid w:val="0"/>
          <w:highlight w:val="lightGray"/>
        </w:rPr>
        <w:footnoteReference w:id="11"/>
      </w:r>
      <w:r>
        <w:rPr>
          <w:noProof/>
          <w:snapToGrid w:val="0"/>
          <w:highlight w:val="lightGray"/>
        </w:rPr>
        <w:t>. Vzhledem k potřebě provést další změny by uvedené nařízení mělo být v zájmu přehlednosti přepracováno.</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1. bod odůvodnění (přizpůsobený)</w:t>
      </w:r>
    </w:p>
    <w:p>
      <w:pPr>
        <w:rPr>
          <w:noProof/>
        </w:rPr>
      </w:pPr>
      <w:r>
        <w:rPr>
          <w:rStyle w:val="CRDeleted"/>
          <w:noProof/>
        </w:rPr>
        <w:t>Lisabonská agenda pro růst a zaměstnanost zdůrazňuje potřebu vytvořit podmínky přitažlivé pro investice do znalostí a inovací v Evropě s cílem posílit konkurenceschopnost, růst a zaměstnanost v Evropské unii.</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2. bod odůvodnění (přizpůsobený)</w:t>
      </w:r>
    </w:p>
    <w:p>
      <w:pPr>
        <w:pStyle w:val="ManualConsidrant"/>
        <w:rPr>
          <w:noProof/>
        </w:rPr>
      </w:pPr>
      <w:r>
        <w:t>(2)</w:t>
      </w:r>
      <w:r>
        <w:tab/>
      </w:r>
      <w:r>
        <w:rPr>
          <w:noProof/>
        </w:rPr>
        <w:t>Za udržení silné, konkurenceschopné a inovační evropské průmyslové základny nesou odpovědnost v první řadě členské státy. Avšak povaha a rozsah úkolů v oblasti inovací v </w:t>
      </w:r>
      <w:r>
        <w:rPr>
          <w:rStyle w:val="CRDeleted"/>
          <w:noProof/>
        </w:rPr>
        <w:t>Evropské</w:t>
      </w:r>
      <w:r>
        <w:rPr>
          <w:noProof/>
        </w:rPr>
        <w:t xml:space="preserve"> Unii vyžadují rovněž přijetí opatření na úrovni </w:t>
      </w:r>
      <w:r>
        <w:rPr>
          <w:rStyle w:val="CRDeleted"/>
          <w:noProof/>
        </w:rPr>
        <w:t>Společenství</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Unie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3. bod odůvodnění (přizpůsobený)</w:t>
      </w:r>
    </w:p>
    <w:p>
      <w:pPr>
        <w:rPr>
          <w:noProof/>
        </w:rPr>
      </w:pPr>
      <w:r>
        <w:rPr>
          <w:rStyle w:val="CRDeleted"/>
          <w:noProof/>
        </w:rPr>
        <w:t>Společenství by mělo pomoci při podpoře inovací, zejména prostřednictvím sedmého rámcového programu pro výzkum a technologický rozvoj a demonstrace, rámcového programu pro konkurenceschopnost a inovace, programu pro celoživotní učení a strukturálních fondů.</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4. bod odůvodnění (přizpůsobený)</w:t>
      </w:r>
    </w:p>
    <w:p>
      <w:pPr>
        <w:pStyle w:val="ManualConsidrant"/>
        <w:rPr>
          <w:noProof/>
        </w:rPr>
      </w:pPr>
      <w:r>
        <w:t>(3)</w:t>
      </w:r>
      <w:r>
        <w:tab/>
      </w:r>
      <w:r>
        <w:rPr>
          <w:noProof/>
        </w:rPr>
        <w:t xml:space="preserve">Měl by být vytvořen </w:t>
      </w:r>
      <w:r>
        <w:rPr>
          <w:rStyle w:val="CRDeleted"/>
          <w:noProof/>
        </w:rPr>
        <w:t>nová iniciativa na úrovni Společenství v podobě</w:t>
      </w:r>
      <w:r>
        <w:rPr>
          <w:noProof/>
        </w:rPr>
        <w:t xml:space="preserve"> Evropský inovační a technologický institut (dále jen „EIT“) s cílem doplnit stávající politiky a iniciativy </w:t>
      </w:r>
      <w:r>
        <w:rPr>
          <w:rStyle w:val="CRDeleted"/>
          <w:noProof/>
        </w:rPr>
        <w:t>Společenství</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 členských států tím, že podpoří začlenění znalostního trojúhelníku – vysokoškolské vzdělávání, výzkum a inovace – v rámci celé </w:t>
      </w:r>
      <w:r>
        <w:rPr>
          <w:rStyle w:val="CRDeleted"/>
          <w:noProof/>
        </w:rPr>
        <w:t>Evropské</w:t>
      </w:r>
      <w:r>
        <w:rPr>
          <w:noProof/>
        </w:rPr>
        <w:t xml:space="preserve"> Unie.</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5. bod odůvodnění (přizpůsobený)</w:t>
      </w:r>
    </w:p>
    <w:p>
      <w:pPr>
        <w:rPr>
          <w:noProof/>
        </w:rPr>
      </w:pPr>
      <w:r>
        <w:rPr>
          <w:rStyle w:val="CRDeleted"/>
          <w:noProof/>
        </w:rPr>
        <w:t>Evropská rada vyzvala na svém zasedání konaném ve dnech 15. a 16. června 2006 Komisi, aby připravila formální návrh na zřízení EIT, který má být předložen na podzim roku 2006.</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6. bod odůvodnění (přizpůsobený)</w:t>
      </w:r>
    </w:p>
    <w:p>
      <w:pPr>
        <w:rPr>
          <w:rStyle w:val="CRDeleted"/>
          <w:noProof/>
        </w:rPr>
      </w:pPr>
      <w:r>
        <w:rPr>
          <w:rStyle w:val="CRDeleted"/>
          <w:noProof/>
        </w:rPr>
        <w:t>EIT by měl mít za cíl přispět především k rozvoji inovační kapacity Společenství a členských států tím, že začlení činnosti vysokoškolského vzdělávání a výzkumu i inovační činnosti na nejvyšší úrovni. EIT by tak měl usnadnit a zlepšit propojenost a spolupráci a vytvořit součinnosti mezi inovačními společenstvími v Evropě.</w:t>
      </w:r>
    </w:p>
    <w:p>
      <w:pPr>
        <w:pStyle w:val="CRSeparator"/>
        <w:rPr>
          <w:dstrike/>
          <w:noProof/>
          <w:lang w:eastAsia="x-none"/>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ò</w:instrText>
      </w:r>
      <w:r>
        <w:rPr>
          <w:noProof/>
          <w:highlight w:val="lightGray"/>
        </w:rPr>
        <w:instrText xml:space="preserve">" </w:instrText>
      </w:r>
      <w:r>
        <w:rPr>
          <w:noProof/>
          <w:highlight w:val="lightGray"/>
        </w:rPr>
        <w:fldChar w:fldCharType="separate"/>
      </w:r>
      <w:r>
        <w:rPr>
          <w:rStyle w:val="CRMarker"/>
          <w:rFonts w:cs="Wingdings"/>
          <w:noProof/>
          <w:highlight w:val="lightGray"/>
        </w:rPr>
        <w:t>ò</w:t>
      </w:r>
      <w:r>
        <w:rPr>
          <w:noProof/>
          <w:highlight w:val="lightGray"/>
        </w:rPr>
        <w:fldChar w:fldCharType="end"/>
      </w:r>
      <w:r>
        <w:rPr>
          <w:noProof/>
          <w:highlight w:val="lightGray"/>
        </w:rPr>
        <w:t> nový</w:t>
      </w:r>
    </w:p>
    <w:p>
      <w:pPr>
        <w:pStyle w:val="ManualConsidrant"/>
        <w:rPr>
          <w:noProof/>
          <w:highlight w:val="lightGray"/>
        </w:rPr>
      </w:pPr>
      <w:r>
        <w:rPr>
          <w:highlight w:val="lightGray"/>
        </w:rPr>
        <w:t>(4)</w:t>
      </w:r>
      <w:r>
        <w:rPr>
          <w:highlight w:val="lightGray"/>
        </w:rPr>
        <w:tab/>
      </w:r>
      <w:r>
        <w:rPr>
          <w:noProof/>
          <w:highlight w:val="lightGray"/>
        </w:rPr>
        <w:t>EIT by měl především prostřednictvím svých znalostních a inovačních společenství usilovat o posílení inovačních ekosystémů, které řeší globální problémy. Měl by mít za cíl přispět především k rozvoji inovační kapacity Unie a členských států na nejvyšší úrovni. Aby EIT tohoto cíle dosáhl, měl by usnadnit a zlepšit propojenost a spolupráci a vytvořit součinnost mezi různými inovačními společenstvími v Evropě.</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22. bod odůvodnění (přizpůsobený)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nový</w:t>
      </w:r>
    </w:p>
    <w:p>
      <w:pPr>
        <w:pStyle w:val="ManualConsidrant"/>
        <w:rPr>
          <w:noProof/>
        </w:rPr>
      </w:pPr>
      <w:r>
        <w:t>(5)</w:t>
      </w:r>
      <w:r>
        <w:tab/>
      </w:r>
      <w:r>
        <w:rPr>
          <w:noProof/>
        </w:rPr>
        <w:t xml:space="preserve">Strategické </w:t>
      </w:r>
      <w:r>
        <w:rPr>
          <w:rStyle w:val="CRMinorChangeAdded"/>
          <w:noProof/>
        </w:rPr>
        <w:t>prioritní</w:t>
      </w:r>
      <w:r>
        <w:rPr>
          <w:noProof/>
        </w:rPr>
        <w:t xml:space="preserve"> oblasti </w:t>
      </w:r>
      <w:r>
        <w:rPr>
          <w:rStyle w:val="CRRefonteDeleted"/>
          <w:noProof/>
          <w:highlight w:val="lightGray"/>
        </w:rPr>
        <w:t>s dlouhodobou prioritou</w:t>
      </w:r>
      <w:r>
        <w:rPr>
          <w:noProof/>
        </w:rPr>
        <w:t xml:space="preserve"> a finanční potřeby pro EIT na období sedmi let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t>
      </w:r>
      <w:r>
        <w:rPr>
          <w:noProof/>
          <w:color w:val="000000"/>
          <w:highlight w:val="lightGray"/>
        </w:rPr>
        <w:t>, pokrývající příslušný víceletý finanční rámec (dále jen „VFR“),</w:t>
      </w:r>
      <w:r>
        <w:rPr>
          <w:noProof/>
          <w:highlight w:val="lightGray"/>
        </w:rPr>
        <w: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color w:val="000000"/>
        </w:rPr>
        <w:t xml:space="preserve"> </w:t>
      </w:r>
      <w:r>
        <w:rPr>
          <w:noProof/>
        </w:rPr>
        <w:t xml:space="preserve">by měly být stanoveny ve strategickém programu inovací.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Strategický program inovací by měl zajistit sladění s rámcovým programem Unie pro podporu výzkumu a inovací a posílit součinnost s jinými příslušnými programy Unie daného VFR, jakož i s dalšími iniciativami, politikami a nástroji Unie, zejména s těmi, které podporují vzdělávání a regionální rozvoj.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Vzhledem k významu strategického programu inovací pro politiku </w:t>
      </w:r>
      <w:r>
        <w:rPr>
          <w:rStyle w:val="CRDeleted"/>
          <w:noProof/>
        </w:rPr>
        <w:t>Společenství</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Unie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v oblasti inovací a z toho vyplývajícího politického významu jeho společensko-hospodářského dopadu na </w:t>
      </w:r>
      <w:r>
        <w:rPr>
          <w:rStyle w:val="CRDeleted"/>
          <w:noProof/>
        </w:rPr>
        <w:t>Společenství</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Unii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by měl být strategický program inovací přijat Evropským parlamentem a Radou na základě návrhu Komise </w:t>
      </w:r>
      <w:r>
        <w:rPr>
          <w:rStyle w:val="CRRefonteDeleted"/>
          <w:noProof/>
          <w:highlight w:val="lightGray"/>
        </w:rPr>
        <w:t>připraveného na základě návrhu</w:t>
      </w:r>
      <w:r>
        <w:rPr>
          <w:noProof/>
        </w:rPr>
        <w:t xml:space="preserve">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vycházejícího z příspěvku</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color w:val="000000"/>
        </w:rPr>
        <w:t xml:space="preserve"> </w:t>
      </w:r>
      <w:r>
        <w:rPr>
          <w:noProof/>
        </w:rPr>
        <w:t>poskytnutého ze strany EIT.</w:t>
      </w:r>
    </w:p>
    <w:p>
      <w:pPr>
        <w:pStyle w:val="CRSeparator"/>
        <w:rPr>
          <w:noProof/>
        </w:rPr>
      </w:pPr>
    </w:p>
    <w:p>
      <w:pPr>
        <w:pStyle w:val="CRReference"/>
        <w:rPr>
          <w:noProof/>
          <w:highlight w:val="lightGray"/>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7. bod odůvodnění</w:t>
      </w:r>
    </w:p>
    <w:p>
      <w:pPr>
        <w:pStyle w:val="CRReference"/>
        <w:rPr>
          <w:noProof/>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nový</w:t>
      </w:r>
    </w:p>
    <w:p>
      <w:pPr>
        <w:pStyle w:val="ManualConsidrant"/>
        <w:rPr>
          <w:noProof/>
        </w:rPr>
      </w:pPr>
      <w:r>
        <w:rPr>
          <w:highlight w:val="lightGray"/>
        </w:rPr>
        <w:t>(6)</w:t>
      </w:r>
      <w:r>
        <w:rPr>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V souladu s rámcovým programem Unie pro podporu výzkumu a inovací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by se činnost EIT měla zaměřit na strategické dlouhodobé výzvy v oblasti inovací v Evropě, zejména v mezioborových oblastech, a to včetně těch, jež byly na evropské úrovni již stanoveny. Přitom by EIT měl podporovat pravidelný dialog s občanskou společností.</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8. bod odůvodnění</w:t>
      </w:r>
    </w:p>
    <w:p>
      <w:pPr>
        <w:pStyle w:val="ManualConsidrant"/>
        <w:rPr>
          <w:noProof/>
        </w:rPr>
      </w:pPr>
      <w:r>
        <w:t>(7)</w:t>
      </w:r>
      <w:r>
        <w:tab/>
      </w:r>
      <w:r>
        <w:rPr>
          <w:noProof/>
        </w:rPr>
        <w:t>EIT by se měl zaměřit na předávání svých činností v oblasti vysokoškolského vzdělávání, výzkumu a inovací do oblasti podnikání a na jejich obchodní využití a měl by podporovat zakládání nových podniků, podniků vzniklých při výzkumných institucí nebo vysokých školách a malých a středních podniků.</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xml:space="preserve"> 294/2008 9. bod odůvodnění </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nový</w:t>
      </w:r>
    </w:p>
    <w:p>
      <w:pPr>
        <w:pStyle w:val="ManualConsidrant"/>
        <w:rPr>
          <w:noProof/>
        </w:rPr>
      </w:pPr>
      <w:r>
        <w:t>(8)</w:t>
      </w:r>
      <w:r>
        <w:tab/>
      </w:r>
      <w:r>
        <w:rPr>
          <w:noProof/>
        </w:rPr>
        <w:t xml:space="preserve">EIT by měl působit především prostřednictvím nezávislých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rozsáhlých evropských</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partnerství zaměřených na excelenci, a to mezi vysokoškolskými institucemi, výzkumnými organizacemi, společnostmi a dalšími zúčastněnými stranami v podobě udržitelných a dlouhodobých samostatných strategických sítí v inovačním procesu. </w:t>
      </w:r>
      <w:r>
        <w:rPr>
          <w:rStyle w:val="CRMinorChangeDeleted"/>
          <w:noProof/>
        </w:rPr>
        <w:t>Tato</w:t>
      </w:r>
      <w:r>
        <w:rPr>
          <w:noProof/>
        </w:rPr>
        <w:t xml:space="preserve"> </w:t>
      </w:r>
      <w:r>
        <w:rPr>
          <w:rStyle w:val="CRMinorChangeAdded"/>
          <w:noProof/>
        </w:rPr>
        <w:t>Uvedená</w:t>
      </w:r>
      <w:r>
        <w:rPr>
          <w:noProof/>
        </w:rPr>
        <w:t xml:space="preserve"> partnerství by měla být vybírána správní radou EIT na základě transparentního postupu zaměřeného na excelenci </w:t>
      </w:r>
      <w:r>
        <w:rPr>
          <w:noProof/>
          <w:highlight w:val="lightGray"/>
        </w:rPr>
        <w:fldChar w:fldCharType="begin"/>
      </w:r>
      <w:r>
        <w:rPr>
          <w:noProof/>
          <w:highlight w:val="lightGray"/>
        </w:rPr>
        <w:instrText xml:space="preserve"> QUOTE "</w:instrText>
      </w:r>
      <w:r>
        <w:rPr>
          <w:rStyle w:val="CRMarker"/>
          <w:rFonts w:hint="eastAsia"/>
          <w:noProof/>
          <w:highlight w:val="lightGray"/>
        </w:rPr>
        <w:instrText>ð</w:instrText>
      </w:r>
      <w:r>
        <w:rPr>
          <w:noProof/>
          <w:highlight w:val="lightGray"/>
        </w:rPr>
        <w:instrText xml:space="preserve">" </w:instrText>
      </w:r>
      <w:r>
        <w:rPr>
          <w:noProof/>
          <w:highlight w:val="lightGray"/>
        </w:rPr>
        <w:fldChar w:fldCharType="separate"/>
      </w:r>
      <w:r>
        <w:rPr>
          <w:rStyle w:val="CRMarker"/>
          <w:rFonts w:hint="eastAsia"/>
          <w:noProof/>
          <w:highlight w:val="lightGray"/>
        </w:rPr>
        <w:t>ð</w:t>
      </w:r>
      <w:r>
        <w:rPr>
          <w:noProof/>
          <w:highlight w:val="lightGray"/>
        </w:rPr>
        <w:fldChar w:fldCharType="end"/>
      </w:r>
      <w:r>
        <w:rPr>
          <w:noProof/>
          <w:highlight w:val="lightGray"/>
        </w:rPr>
        <w:t> v souladu s kritérii rámcového programu Unie pro podporu výzkumu a inovací pro výběr evropských partnerství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a označována jako znalostní a inovační společenství.</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pStyle w:val="ManualConsidrant"/>
        <w:rPr>
          <w:noProof/>
        </w:rPr>
      </w:pPr>
      <w:r>
        <w:rPr>
          <w:highlight w:val="lightGray"/>
        </w:rPr>
        <w:t>(9)</w:t>
      </w:r>
      <w:r>
        <w:rPr>
          <w:highlight w:val="lightGray"/>
        </w:rPr>
        <w:tab/>
      </w:r>
      <w:r>
        <w:rPr>
          <w:noProof/>
          <w:highlight w:val="lightGray"/>
        </w:rPr>
        <w:t>S ohledem na zvláštní povahu znalostních a inovačních společenství je nezbytné stanovit zvláštní minimální podmínky pro vytvoření znalostního a inovačního společenství, které se odchylují od pravidel pro účast a šíření stanovených v rámcovém programu Unie pro podporu výzkumu a inovací.</w:t>
      </w:r>
      <w:r>
        <w:rPr>
          <w:i/>
          <w:noProof/>
          <w:highlight w:val="lightGray"/>
        </w:rPr>
        <w:t xml:space="preserve"> </w:t>
      </w:r>
      <w:r>
        <w:rPr>
          <w:noProof/>
          <w:highlight w:val="lightGray"/>
        </w:rPr>
        <w:t>Může být rovněž nezbytné stanovit zvláštní pravidla týkající se vlastnictví, přístupových práv, využívání a šíření výsledků, pokud jde o činnosti znalostních a inovačních společenství s přidanou hodnotou.</w:t>
      </w:r>
      <w:r>
        <w:rPr>
          <w:noProof/>
        </w:rPr>
        <w:t xml:space="preserve"> </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9. bod odůvodnění</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nový</w:t>
      </w:r>
    </w:p>
    <w:p>
      <w:pPr>
        <w:pStyle w:val="ManualConsidrant"/>
        <w:rPr>
          <w:noProof/>
        </w:rPr>
      </w:pPr>
      <w:r>
        <w:t>(10)</w:t>
      </w:r>
      <w:r>
        <w:tab/>
      </w:r>
      <w:r>
        <w:rPr>
          <w:noProof/>
        </w:rPr>
        <w:t xml:space="preserve">Správní rada by rovněž měla řídit činnosti EIT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 koordinovat podávání zpráv, sledování a hodnocení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a hodnotit</w:t>
      </w:r>
      <w:r>
        <w:rPr>
          <w:noProof/>
        </w:rPr>
        <w:t xml:space="preserve"> činností znalostních a inovačních společenství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v souladu s ustanoveními rámcového programu Unie pro podporu výzkumu a inovací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 Složení členů správní rady by mělo vyváženým způsobem odrážet zkušenosti z oblasti podnikatelské sféry a vysokoškolského vzdělávání nebo výzkumu, jakož i z oblasti inovací.</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10. bod odůvodnění</w:t>
      </w:r>
    </w:p>
    <w:p>
      <w:pPr>
        <w:pStyle w:val="ManualConsidrant"/>
        <w:rPr>
          <w:noProof/>
        </w:rPr>
      </w:pPr>
      <w:r>
        <w:t>(11)</w:t>
      </w:r>
      <w:r>
        <w:tab/>
      </w:r>
      <w:r>
        <w:rPr>
          <w:noProof/>
        </w:rPr>
        <w:t>Aby EIT a znalostní a inovační společenství mohly přispívat ke konkurenceschopnosti a posilovat na mezinárodní úrovni přitažlivost evropského hospodářství a jeho inovační kapacitu, měly by být schopny přilákat partnerské organizace, výzkumné pracovníky a studenty z celého světa, a to i podporou jejich mobility, jakož i spolupracovat s organizacemi ze třetích zemí.</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11. bod odůvodnění</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nový</w:t>
      </w:r>
    </w:p>
    <w:p>
      <w:pPr>
        <w:pStyle w:val="ManualConsidrant"/>
        <w:rPr>
          <w:noProof/>
        </w:rPr>
      </w:pPr>
      <w:r>
        <w:t>(12)</w:t>
      </w:r>
      <w:r>
        <w:tab/>
      </w:r>
      <w:r>
        <w:rPr>
          <w:noProof/>
        </w:rPr>
        <w:t xml:space="preserve">Vztahy mezi EIT a znalostními a inovačními společenstvími by měly být založeny na </w:t>
      </w:r>
      <w:r>
        <w:rPr>
          <w:rStyle w:val="CRRefonteDeleted"/>
          <w:noProof/>
          <w:highlight w:val="lightGray"/>
        </w:rPr>
        <w:t>smluvních</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t>
      </w:r>
      <w:r>
        <w:rPr>
          <w:noProof/>
          <w:color w:val="000000"/>
          <w:highlight w:val="lightGray"/>
        </w:rPr>
        <w:t>rámcových dohodách o partnerství a grantových</w:t>
      </w:r>
      <w:r>
        <w:rPr>
          <w:noProof/>
          <w:highlight w:val="lightGray"/>
        </w:rPr>
        <w: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color w:val="000000"/>
        </w:rPr>
        <w:t xml:space="preserve"> </w:t>
      </w:r>
      <w:r>
        <w:rPr>
          <w:noProof/>
        </w:rPr>
        <w:t xml:space="preserve">dohodách, které stanoví práva a povinnosti znalostních a inovačních společenství, zajistí odpovídající úroveň koordinace a určí mechanismus sledování a hodnocení činností a výsledků znalostních a inovačních společenství.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t>
      </w:r>
      <w:r>
        <w:rPr>
          <w:noProof/>
          <w:color w:val="000000"/>
          <w:highlight w:val="lightGray"/>
        </w:rPr>
        <w:t xml:space="preserve">Rámcová dohoda o partnerství by měla zajistit kontinuitu finančních příspěvků EIT do znalostního a inovačního společenství nad rámec příslušného VFR. </w:t>
      </w:r>
      <w:r>
        <w:rPr>
          <w:noProof/>
          <w:highlight w:val="lightGray"/>
        </w:rPr>
        <w:t>Odchylně od nařízení Evropského parlamentu a Rady (EU, Euratom) 2018/1046</w:t>
      </w:r>
      <w:r>
        <w:rPr>
          <w:rStyle w:val="FootnoteReference"/>
          <w:noProof/>
          <w:highlight w:val="lightGray"/>
        </w:rPr>
        <w:footnoteReference w:id="12"/>
      </w:r>
      <w:r>
        <w:rPr>
          <w:noProof/>
          <w:highlight w:val="lightGray"/>
        </w:rPr>
        <w:t xml:space="preserve"> </w:t>
      </w:r>
      <w:r>
        <w:rPr>
          <w:noProof/>
          <w:color w:val="000000"/>
          <w:highlight w:val="lightGray"/>
        </w:rPr>
        <w:t>(dále jen „finanční nařízení“) by měl mít EIT možnost uzavřít takovou rámcovou dohodu o partnerství na počáteční období sedmi let a prodloužit ji po tomto období o další období nejvýše sedmi let.</w:t>
      </w:r>
      <w:r>
        <w:rPr>
          <w:noProof/>
          <w:highlight w:val="lightGray"/>
        </w:rPr>
        <w: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12. bod odůvodnění (přizpůsobený)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nový</w:t>
      </w:r>
    </w:p>
    <w:p>
      <w:pPr>
        <w:pStyle w:val="ManualConsidrant"/>
        <w:rPr>
          <w:noProof/>
        </w:rPr>
      </w:pPr>
      <w:r>
        <w:t>(13)</w:t>
      </w:r>
      <w:r>
        <w:tab/>
      </w:r>
      <w:r>
        <w:rPr>
          <w:noProof/>
        </w:rPr>
        <w:t xml:space="preserve">Je potřeba podporovat vysokoškolské vzdělávání jakožto nedílnou, avšak často chybějící součást komplexní inovační strategie.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Rámcové dohody o partnerství nebo grantové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w:t>
      </w:r>
      <w:r>
        <w:rPr>
          <w:rStyle w:val="CRDeleted"/>
          <w:noProof/>
        </w:rPr>
        <w:t>dohoda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dohody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mezi EIT a znalostními a inovačními společenstvími by měly stanovit, že tituly a diplomy udělované znalostními a inovačními společenstvími by měly být udělovány zúčastněnými vysokoškolskými institucemi, které by měly být podporovány v tom, aby je označovaly také jako tituly a diplomy EIT.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Kromě toho by měl EIT posílit a rozšířit působnost vysokoškolských titulů a diplomů s označením EIT, aby se rozšířilo jejich uznávání mimo společenství EIT.</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Prostřednictvím této činnosti a práce by EIT měl pomoci prosazovat mobilitu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pro studenty, výzkumné pracovníky a zaměstnance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w:t>
      </w:r>
      <w:r>
        <w:rPr>
          <w:rStyle w:val="CRRefonteDeleted"/>
          <w:noProof/>
          <w:highlight w:val="lightGray"/>
        </w:rPr>
        <w:t>v evropském výzkumném prostoru a v evropském prostoru vysokoškolského vzdělávání a podporovat převoditelnost příspěvků přidělených výzkumným pracovníkům a studentům v rámci znalostních a inovačních společenství</w:t>
      </w:r>
      <w:r>
        <w:rPr>
          <w:noProof/>
        </w:rPr>
        <w:t xml:space="preserve">. </w:t>
      </w:r>
      <w:r>
        <w:rPr>
          <w:rStyle w:val="CRMinorChangeDeleted"/>
          <w:noProof/>
        </w:rPr>
        <w:t>Těmito</w:t>
      </w:r>
      <w:r>
        <w:rPr>
          <w:noProof/>
        </w:rPr>
        <w:t xml:space="preserve"> </w:t>
      </w:r>
      <w:r>
        <w:rPr>
          <w:rStyle w:val="CRMinorChangeAdded"/>
          <w:noProof/>
        </w:rPr>
        <w:t>Uvedenými</w:t>
      </w:r>
      <w:r>
        <w:rPr>
          <w:noProof/>
        </w:rPr>
        <w:t xml:space="preserve"> činnostmi by neměla být dotčena směrnice Evropského parlamentu a Rady 2005/36/ES </w:t>
      </w:r>
      <w:r>
        <w:rPr>
          <w:rStyle w:val="CRMinorChangeDeleted"/>
          <w:noProof/>
        </w:rPr>
        <w:t>ze dne 7. září 2005 o uznávání odborných kvalifikací</w:t>
      </w:r>
      <w:r>
        <w:rPr>
          <w:rStyle w:val="FootnoteReference"/>
          <w:noProof/>
        </w:rPr>
        <w:footnoteReference w:id="13"/>
      </w:r>
      <w:r>
        <w:rPr>
          <w:noProof/>
        </w:rPr>
        <w:t>.</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13. bod odůvodnění</w:t>
      </w:r>
    </w:p>
    <w:p>
      <w:pPr>
        <w:rPr>
          <w:noProof/>
          <w:highlight w:val="lightGray"/>
        </w:rPr>
      </w:pPr>
      <w:r>
        <w:rPr>
          <w:rStyle w:val="CRRefonteDeleted"/>
          <w:noProof/>
          <w:highlight w:val="lightGray"/>
        </w:rPr>
        <w:t>EIT by měl vypracovat jasné a průhledné pokyny pro správu duševního a průmyslového vlastnictví, jež by měly podporovat využití duševního a průmyslového vlastnictví za příslušných podmínek. Tyto pokyny by měly zajistit, že budou příspěvky od různých partnerských organizací znalostních a inovačních společenství, bez ohledu na jejich rozsah, náležitě zohledněny. Pokud jsou činnosti financovány v rámci rámcových programů Společenství pro výzkum a technologický rozvoj, měla by se použít pravidla těchto programů.</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14. bod odůvodnění (přizpůsobený)</w:t>
      </w:r>
    </w:p>
    <w:p>
      <w:pPr>
        <w:pStyle w:val="ManualConsidrant"/>
        <w:rPr>
          <w:noProof/>
        </w:rPr>
      </w:pPr>
      <w:r>
        <w:t>(14)</w:t>
      </w:r>
      <w:r>
        <w:tab/>
      </w:r>
      <w:r>
        <w:rPr>
          <w:noProof/>
        </w:rPr>
        <w:t xml:space="preserve">V zájmu zajištění spolehlivosti a transparentnosti EIT je třeba přijmout náležitá opatření. Příslušná pravidla, jimiž se </w:t>
      </w:r>
      <w:r>
        <w:rPr>
          <w:rStyle w:val="CRDeleted"/>
          <w:noProof/>
        </w:rPr>
        <w:t>řídí</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w:t>
      </w:r>
      <w:r>
        <w:rPr>
          <w:noProof/>
          <w:color w:val="000000"/>
        </w:rPr>
        <w:t>upravuje</w:t>
      </w:r>
      <w:r>
        <w:rPr>
          <w:noProof/>
        </w:rPr>
        <w:t>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řízení a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fungování EIT, by měla být stanovena v jeho stanovách.</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15. bod odůvodnění (přizpůsobený)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nový</w:t>
      </w:r>
    </w:p>
    <w:p>
      <w:pPr>
        <w:pStyle w:val="ManualConsidrant"/>
        <w:rPr>
          <w:noProof/>
        </w:rPr>
      </w:pPr>
      <w:r>
        <w:t>(15)</w:t>
      </w:r>
      <w:r>
        <w:tab/>
      </w:r>
      <w:r>
        <w:rPr>
          <w:noProof/>
        </w:rPr>
        <w:t xml:space="preserve">EIT by měl mít právní subjektivitu a, aby bylo možno zaručit jeho funkční autonomii a nezávislost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na vnitrostátních orgánech a vnějších tlacích</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měl by spravovat svůj vlastní rozpočet, mezi jehož příjmy by měl patřit příspěvek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Unie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w:t>
      </w:r>
      <w:r>
        <w:rPr>
          <w:rStyle w:val="CRDeleted"/>
          <w:noProof/>
        </w:rPr>
        <w:t>Společenství</w:t>
      </w:r>
      <w:r>
        <w:rPr>
          <w:noProof/>
        </w:rPr>
        <w:t>.</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16. bod odůvodnění (přizpůsobený)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nový</w:t>
      </w:r>
    </w:p>
    <w:p>
      <w:pPr>
        <w:pStyle w:val="ManualConsidrant"/>
        <w:rPr>
          <w:noProof/>
        </w:rPr>
      </w:pPr>
      <w:r>
        <w:rPr>
          <w:highlight w:val="lightGray"/>
        </w:rPr>
        <w:t>(16)</w:t>
      </w:r>
      <w:r>
        <w:rPr>
          <w:highlight w:val="lightGray"/>
        </w:rPr>
        <w:tab/>
      </w:r>
      <w:r>
        <w:rPr>
          <w:rStyle w:val="CRRefonteDeleted"/>
          <w:noProof/>
          <w:highlight w:val="lightGray"/>
        </w:rPr>
        <w:t>EIT by měl usilovat o získávání rostoucího finančního příspěvku ze soukromého sektoru a z příjmu získaného vlastní činností.</w:t>
      </w:r>
      <w:r>
        <w:rPr>
          <w:noProof/>
        </w:rPr>
        <w:t xml:space="preserve"> </w:t>
      </w:r>
      <w:r>
        <w:rPr>
          <w:rStyle w:val="CRDeleted"/>
          <w:noProof/>
        </w:rPr>
        <w:t>Proto se</w:t>
      </w:r>
      <w:r>
        <w:rPr>
          <w:noProof/>
        </w:rPr>
        <w:t xml:space="preserve"> </w:t>
      </w:r>
      <w:r>
        <w:rPr>
          <w:rStyle w:val="CRMinorChangeAdded"/>
          <w:noProof/>
        </w:rPr>
        <w:t>P</w:t>
      </w:r>
      <w:r>
        <w:rPr>
          <w:rStyle w:val="CRMinorChangeDeleted"/>
          <w:noProof/>
        </w:rPr>
        <w:t>p</w:t>
      </w:r>
      <w:r>
        <w:rPr>
          <w:noProof/>
        </w:rPr>
        <w:t xml:space="preserve">ředpokládá se, že odvětví průmyslu, financí a služeb významně přispějí do rozpočtu </w:t>
      </w:r>
      <w:r>
        <w:rPr>
          <w:rStyle w:val="CRRefonteDeleted"/>
          <w:noProof/>
          <w:highlight w:val="lightGray"/>
        </w:rPr>
        <w:t>EIT, a zejména do rozpočtu</w:t>
      </w:r>
      <w:r>
        <w:rPr>
          <w:noProof/>
        </w:rPr>
        <w:t xml:space="preserve"> znalostních a inovačních společenství. Znalostní a inovační společenství by se měla zaměřit na maximalizaci podílu příspěvků ze soukromého sektoru</w:t>
      </w:r>
      <w:r>
        <w:rPr>
          <w:noProof/>
          <w:color w:val="000000"/>
        </w:rPr>
        <w:t xml:space="preserve">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a na dosažení finanční udržitelnosti</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 Znalostní a inovační společenství a jejich partnerské organizace by měly zveřejnit skutečnost, že jejich činnosti jsou prováděny v rámci EIT a že jsou příjemci finančního příspěvku ze souhrnného rozpočtu </w:t>
      </w:r>
      <w:r>
        <w:rPr>
          <w:rStyle w:val="CRDeleted"/>
          <w:noProof/>
        </w:rPr>
        <w:t>Evropské</w:t>
      </w:r>
      <w:r>
        <w:rPr>
          <w:noProof/>
        </w:rPr>
        <w:t xml:space="preserve"> Unie.</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17. bod odůvodnění</w:t>
      </w:r>
    </w:p>
    <w:p>
      <w:pPr>
        <w:rPr>
          <w:noProof/>
          <w:highlight w:val="lightGray"/>
        </w:rPr>
      </w:pPr>
      <w:r>
        <w:rPr>
          <w:rStyle w:val="CRRefonteDeleted"/>
          <w:noProof/>
          <w:highlight w:val="lightGray"/>
        </w:rPr>
        <w:t>Z příspěvku Společenství EIT by se měly financovat náklady spojené se založením a se správními a koordinačními činnostmi EIT a znalostních a inovačních společenství. Aby se zabránilo dvojímu financování, neměly by tyto činnosti současně čerpat příspěvek z dalších programů Společenství, jako je rámcový program pro výzkum, technologický rozvoj a demonstrace, rámcový program pro konkurenceschopnost a inovace, program celoživotního učení nebo strukturální fondy. Navíc, pokud znalostní a inovační společenství nebo jeho partnerské organizace požádají přímo o pomoc Společenství z těchto programů nebo fondů, jejich žádosti by měly být posuzovány bez jakéhokoliv upřednostňování s ohledem na jiné žádosti.</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18. bod odůvodnění (přizpůsobený)</w:t>
      </w:r>
    </w:p>
    <w:p>
      <w:pPr>
        <w:pStyle w:val="ManualConsidrant"/>
        <w:rPr>
          <w:noProof/>
        </w:rPr>
      </w:pPr>
      <w:r>
        <w:t>(17)</w:t>
      </w:r>
      <w:r>
        <w:tab/>
      </w:r>
      <w:r>
        <w:rPr>
          <w:noProof/>
        </w:rPr>
        <w:t xml:space="preserve">Na </w:t>
      </w:r>
      <w:r>
        <w:rPr>
          <w:rStyle w:val="CRDeleted"/>
          <w:noProof/>
        </w:rPr>
        <w:t>dotace Společenství a všechny další příspěvky</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finanční příspěvek Unie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ze souhrnného rozpočtu </w:t>
      </w:r>
      <w:r>
        <w:rPr>
          <w:rStyle w:val="CRDeleted"/>
          <w:noProof/>
        </w:rPr>
        <w:t>Evropské</w:t>
      </w:r>
      <w:r>
        <w:rPr>
          <w:noProof/>
        </w:rPr>
        <w:t xml:space="preserve"> Unie by se měl vztahovat rozpočtový proces </w:t>
      </w:r>
      <w:r>
        <w:rPr>
          <w:rStyle w:val="CRDeleted"/>
          <w:noProof/>
        </w:rPr>
        <w:t>Společenství</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Unie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Audit účetnictví by měl provádět Účetní dvůr v souladu s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w:t>
      </w:r>
      <w:r>
        <w:rPr>
          <w:noProof/>
          <w:color w:val="000000"/>
        </w:rPr>
        <w:t>finančním nařízením</w:t>
      </w:r>
      <w:r>
        <w:rPr>
          <w:noProof/>
        </w:rPr>
        <w:t>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w:t>
      </w:r>
      <w:r>
        <w:rPr>
          <w:rStyle w:val="CRDeleted"/>
          <w:noProof/>
        </w:rPr>
        <w:t>nařízením Rady (ES, Euratom) č. 1605/2002 ze dne 25. června 2002, kterým se stanoví finanční nařízení o souhrnném rozpočtu Evropských společenství</w:t>
      </w:r>
      <w:r>
        <w:rPr>
          <w:rStyle w:val="CRDeleted"/>
          <w:noProof/>
          <w:vertAlign w:val="superscript"/>
        </w:rPr>
        <w:footnoteReference w:id="14"/>
      </w:r>
      <w:r>
        <w:rPr>
          <w:noProof/>
        </w:rPr>
        <w:t>.</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19. bod odůvodnění</w:t>
      </w:r>
    </w:p>
    <w:p>
      <w:pPr>
        <w:rPr>
          <w:noProof/>
          <w:highlight w:val="lightGray"/>
        </w:rPr>
      </w:pPr>
      <w:r>
        <w:rPr>
          <w:rStyle w:val="CRRefonteDeleted"/>
          <w:noProof/>
          <w:highlight w:val="lightGray"/>
        </w:rPr>
        <w:t>Toto nařízení stanoví finanční krytí na období let 2008–2013, které je hlavní referenční hodnotou pro rozpočtový orgán ve smyslu bodu 37 interinstitucionální dohody ze dne 17. května 2006 mezi Evropským parlamentem, Radou a Komisí o rozpočtové kázni a řádném finančním řízení</w:t>
      </w:r>
      <w:r>
        <w:rPr>
          <w:rStyle w:val="CRRefonteDeleted"/>
          <w:noProof/>
          <w:highlight w:val="lightGray"/>
          <w:vertAlign w:val="superscript"/>
        </w:rPr>
        <w:footnoteReference w:id="15"/>
      </w:r>
      <w:r>
        <w:rPr>
          <w:rStyle w:val="CRRefonteDeleted"/>
          <w:noProof/>
          <w:highlight w:val="lightGray"/>
        </w:rPr>
        <w:t>.</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20. bod odůvodnění (přizpůsobený)</w:t>
      </w:r>
    </w:p>
    <w:p>
      <w:pPr>
        <w:pStyle w:val="ManualConsidrant"/>
        <w:rPr>
          <w:noProof/>
        </w:rPr>
      </w:pPr>
      <w:r>
        <w:t>(18)</w:t>
      </w:r>
      <w:r>
        <w:tab/>
      </w:r>
      <w:r>
        <w:rPr>
          <w:noProof/>
        </w:rPr>
        <w:t xml:space="preserve">EIT je subjektem zřízeným </w:t>
      </w:r>
      <w:r>
        <w:rPr>
          <w:rStyle w:val="CRDeleted"/>
          <w:noProof/>
        </w:rPr>
        <w:t>Společenstvím</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Unií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ve smyslu </w:t>
      </w:r>
      <w:r>
        <w:rPr>
          <w:rStyle w:val="CRMinorChangeAdded"/>
          <w:noProof/>
        </w:rPr>
        <w:t>článku 70</w:t>
      </w:r>
      <w:r>
        <w:rPr>
          <w:rStyle w:val="CRMinorChangeDeleted"/>
          <w:noProof/>
        </w:rPr>
        <w:t>čl. 185 odst. 1</w:t>
      </w:r>
      <w:r>
        <w:rPr>
          <w:noProof/>
        </w:rPr>
        <w:t xml:space="preserve"> </w:t>
      </w:r>
      <w:r>
        <w:rPr>
          <w:rStyle w:val="CRDeleted"/>
          <w:noProof/>
        </w:rPr>
        <w:t>nařízení (ES, Euratom) č. 1605/2002</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w:t>
      </w:r>
      <w:r>
        <w:rPr>
          <w:noProof/>
          <w:color w:val="000000"/>
        </w:rPr>
        <w:t>finančního nařízení</w:t>
      </w:r>
      <w:r>
        <w:rPr>
          <w:noProof/>
        </w:rPr>
        <w:t>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color w:val="000000"/>
        </w:rPr>
        <w:t xml:space="preserve"> </w:t>
      </w:r>
      <w:r>
        <w:rPr>
          <w:noProof/>
        </w:rPr>
        <w:t xml:space="preserve">a měl by odpovídajícím způsobem přijmout své finanční předpisy. Proto by se na EIT mělo vztahovat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nařízení Komise v přenesené pravomoci (EU) 2019/715 ze dne 18. prosince 2018 o rámcovém finančním nařízení pro subjekty zřízené podle SFEU a Smlouvy o Euratomu a uvedené v článku 70 finančního nařízení</w:t>
      </w:r>
      <w:r>
        <w:rPr>
          <w:rStyle w:val="FootnoteReference"/>
          <w:noProof/>
        </w:rPr>
        <w:footnoteReference w:id="16"/>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nařízení Komise (ES, Euratom) č. 2343/2002 ze dne 19. listopadu 2002 o rámcovém finančním nařízení pro subjekty uvedené v článku 185 nařízení Rady (ES, Euratom) č. 1605/2002</w:t>
      </w:r>
      <w:r>
        <w:rPr>
          <w:rStyle w:val="CRDeleted"/>
          <w:noProof/>
          <w:vertAlign w:val="superscript"/>
        </w:rPr>
        <w:footnoteReference w:id="17"/>
      </w:r>
      <w:r>
        <w:rPr>
          <w:noProof/>
        </w:rPr>
        <w:t>.</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21. bod odůvodnění (přizpůsobený)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nový</w:t>
      </w:r>
    </w:p>
    <w:p>
      <w:pPr>
        <w:pStyle w:val="ManualConsidrant"/>
        <w:rPr>
          <w:noProof/>
        </w:rPr>
      </w:pPr>
      <w:r>
        <w:t>(19)</w:t>
      </w:r>
      <w:r>
        <w:tab/>
      </w:r>
      <w:r>
        <w:rPr>
          <w:noProof/>
        </w:rPr>
        <w:t xml:space="preserve">EIT by měl vypracovávat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konsolidovanou</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výroční zprávu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o činnosti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uvádějící činnosti provedené během předchozího kalendářního roku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a výsledky těchto činností</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w:t>
      </w:r>
      <w:r>
        <w:rPr>
          <w:rStyle w:val="CRRefonteDeleted"/>
          <w:noProof/>
          <w:highlight w:val="lightGray"/>
        </w:rPr>
        <w:t>a klouzavý tříletý pracovní program</w:t>
      </w:r>
      <w:r>
        <w:rPr>
          <w:noProof/>
        </w:rPr>
        <w:t xml:space="preserve">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xml:space="preserve"> . </w:t>
      </w:r>
      <w:r>
        <w:rPr>
          <w:noProof/>
          <w:color w:val="000000"/>
          <w:highlight w:val="lightGray"/>
        </w:rPr>
        <w:t>EIT by měl rovněž vypracovávat jednotný programový dokument</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color w:val="000000"/>
        </w:rPr>
        <w:t xml:space="preserve"> </w:t>
      </w:r>
      <w:r>
        <w:rPr>
          <w:noProof/>
        </w:rPr>
        <w:t xml:space="preserve">uvádějící plánované iniciativy EIT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 pokud jde o roční a víceleté programování,</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color w:val="000000"/>
        </w:rPr>
        <w:t xml:space="preserve"> </w:t>
      </w:r>
      <w:r>
        <w:rPr>
          <w:noProof/>
        </w:rPr>
        <w:t xml:space="preserve">a umožňující EIT reagovat na vnitřní a vnější vývoj v oblasti vědy, technologie, vysokoškolského vzdělávání, inovace av jiných příslušných oblastech. </w:t>
      </w:r>
      <w:r>
        <w:rPr>
          <w:rStyle w:val="CRRefonteDeleted"/>
          <w:noProof/>
          <w:highlight w:val="lightGray"/>
        </w:rPr>
        <w:t>Tyto dokumenty by měly být pro informaci předkládány Evropskému parlamentu, Radě, Komisi, Účetnímu dvoru, Evropskému hospodářskému a sociálnímu výboru a Výboru regionů. Evropský parlament, Rada a Komise by měly mít právo předložit stanovisko k návrhu prvního tříletého pracovního programu EIT.</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23. bod odůvodnění (přizpůsobený)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nový</w:t>
      </w:r>
    </w:p>
    <w:p>
      <w:pPr>
        <w:pStyle w:val="ManualConsidrant"/>
        <w:rPr>
          <w:noProof/>
        </w:rPr>
      </w:pPr>
      <w:r>
        <w:t>(20)</w:t>
      </w:r>
      <w:r>
        <w:tab/>
      </w:r>
      <w:r>
        <w:rPr>
          <w:noProof/>
        </w:rPr>
        <w:t xml:space="preserve">Je vhodné, aby Komise iniciovala </w:t>
      </w:r>
      <w:r>
        <w:rPr>
          <w:rStyle w:val="CRDeleted"/>
          <w:noProof/>
        </w:rPr>
        <w:t>nezávislé</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nezávislá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externí hodnocení činnosti EIT,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včetně znalostních a inovačních společenství,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zejména za účelem přípravy strategického programu inovací.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Uvedená hodnocení by měla zkoumat, jak EIT plní své poslání, měla by se vztahovat na všechny činnosti EIT a znalostních a inovačních společenství a měla by posuzovat jejich relevanci, účelnost, účinnost, evropskou přidanou hodnotu a soudržnost. Uvedená hodnocení by měla být podkladem pro hodnocení programů Komise stanovená v rámcovém programu Unie pro podporu výzkumu a inovací.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w:t>
      </w:r>
      <w:r>
        <w:rPr>
          <w:rStyle w:val="CRRefonteDeleted"/>
          <w:noProof/>
          <w:highlight w:val="lightGray"/>
        </w:rPr>
        <w:t>V případě potřeby by měla Komise předložit návrhy na změnu tohoto nařízení.</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24. bod odůvodnění (přizpůsobený)</w:t>
      </w:r>
    </w:p>
    <w:p>
      <w:pPr>
        <w:rPr>
          <w:dstrike/>
          <w:noProof/>
        </w:rPr>
      </w:pPr>
      <w:r>
        <w:rPr>
          <w:rStyle w:val="CRDeleted"/>
          <w:noProof/>
        </w:rPr>
        <w:t>Při budování EIT je vhodné s ohledem na jeho dlouhodobý vývoj postupovat po jednotlivých krocích a fázích. Aby mohlo být řádně vyhodnoceno fungování EIT i znalostních a inovačních společenství a případně zavedena zlepšení, je nutná počáteční fáze zahrnující jen omezený počet těchto společenství. Správní rada by do osmnácti měsíců od svého vytvoření měla vybrat dvě až tři znalostní a inovační společenství v oblastech, jež pomohou Evropské unii řešit stávající i budoucí výzvy, které by mohly mimo jiné zahrnovat takové oblasti, jako je změna klimatu, obnovitelná energie a příští generace informačních a komunikačních technologií. Výběr a určení dalších znalostních a inovačních společenství by měly být umožněny po přijetí prvního strategického programu inovací, jenž by měl rovněž zahrnovat podrobnější postupy pro činnost EIT z dlouhodobého hlediska.</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25. bod odůvodnění (přizpůsobený)</w:t>
      </w:r>
    </w:p>
    <w:p>
      <w:pPr>
        <w:pStyle w:val="ManualConsidrant"/>
        <w:rPr>
          <w:noProof/>
        </w:rPr>
      </w:pPr>
      <w:r>
        <w:t>(21)</w:t>
      </w:r>
      <w:r>
        <w:tab/>
      </w:r>
      <w:r>
        <w:rPr>
          <w:noProof/>
        </w:rPr>
        <w:t xml:space="preserve">Jelikož </w:t>
      </w:r>
      <w:r>
        <w:rPr>
          <w:rStyle w:val="CRDeleted"/>
          <w:noProof/>
        </w:rPr>
        <w:t>cíle</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cílů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tohoto nařízení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w:t>
      </w:r>
      <w:r>
        <w:rPr>
          <w:rStyle w:val="CRDeleted"/>
          <w:noProof/>
        </w:rPr>
        <w:t>zamýšlené akce, totiž zřízení EIT,</w:t>
      </w:r>
      <w:r>
        <w:rPr>
          <w:noProof/>
        </w:rPr>
        <w:t xml:space="preserve"> nemůže být uspokojivě dosaženo na úrovni členských států, </w:t>
      </w:r>
      <w:r>
        <w:rPr>
          <w:rStyle w:val="CRDeleted"/>
          <w:noProof/>
        </w:rPr>
        <w:t>a</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ale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může jich být </w:t>
      </w:r>
      <w:r>
        <w:rPr>
          <w:rStyle w:val="CRDeleted"/>
          <w:noProof/>
        </w:rPr>
        <w:t>proto,</w:t>
      </w:r>
      <w:r>
        <w:rPr>
          <w:noProof/>
        </w:rPr>
        <w:t xml:space="preserve"> z důvodu rozsahu a nadnárodní povahy lépe dosaženo na úrovni </w:t>
      </w:r>
      <w:r>
        <w:rPr>
          <w:rStyle w:val="CRDeleted"/>
          <w:noProof/>
        </w:rPr>
        <w:t>Společenství</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Unie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 může </w:t>
      </w:r>
      <w:r>
        <w:rPr>
          <w:rStyle w:val="CRDeleted"/>
          <w:noProof/>
        </w:rPr>
        <w:t>Společenství</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Unie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přijmout opatření v souladu se zásadou subsidiarity stanovenou v článku 5 Smlouvy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o Evropské unii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 V souladu se zásadou proporcionality stanovenou v uvedeném článku toto nařízení nepřekračuje rámec toho, co je nezbytné pro dosažení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těchto cílů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w:t>
      </w:r>
      <w:r>
        <w:rPr>
          <w:rStyle w:val="CRDeleted"/>
          <w:noProof/>
        </w:rPr>
        <w:t>tohoto cíle</w:t>
      </w:r>
      <w:r>
        <w:rPr>
          <w:noProof/>
        </w:rPr>
        <w:t>,</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w:t>
      </w:r>
    </w:p>
    <w:p>
      <w:pPr>
        <w:pStyle w:val="Formuledadoption"/>
        <w:rPr>
          <w:noProof/>
        </w:rPr>
      </w:pPr>
      <w:r>
        <w:rPr>
          <w:noProof/>
        </w:rPr>
        <w:t>PŘIJALY TOTO NAŘÍZENÍ:</w:t>
      </w:r>
    </w:p>
    <w:p>
      <w:pPr>
        <w:pStyle w:val="Titrearticle"/>
        <w:rPr>
          <w:noProof/>
        </w:rPr>
      </w:pPr>
      <w:r>
        <w:rPr>
          <w:noProof/>
        </w:rPr>
        <w:t>Článek 1</w:t>
      </w:r>
    </w:p>
    <w:p>
      <w:pPr>
        <w:pStyle w:val="NormalCentered"/>
        <w:rPr>
          <w:b/>
          <w:bCs/>
          <w:noProof/>
        </w:rPr>
      </w:pPr>
      <w:r>
        <w:rPr>
          <w:b/>
          <w:bCs/>
          <w:noProof/>
        </w:rPr>
        <w:t>Předmět</w:t>
      </w:r>
    </w:p>
    <w:p>
      <w:pPr>
        <w:rPr>
          <w:noProof/>
        </w:rPr>
      </w:pPr>
      <w:r>
        <w:rPr>
          <w:noProof/>
        </w:rPr>
        <w:t>Zřizuje se Evropský inovační a technologický institut (dále jen „EIT“).</w:t>
      </w:r>
    </w:p>
    <w:p>
      <w:pPr>
        <w:pStyle w:val="Titrearticle"/>
        <w:rPr>
          <w:noProof/>
        </w:rPr>
      </w:pPr>
      <w:r>
        <w:rPr>
          <w:noProof/>
        </w:rPr>
        <w:t>Článek 2</w:t>
      </w:r>
    </w:p>
    <w:p>
      <w:pPr>
        <w:pStyle w:val="NormalCentered"/>
        <w:rPr>
          <w:b/>
          <w:bCs/>
          <w:noProof/>
        </w:rPr>
      </w:pPr>
      <w:r>
        <w:rPr>
          <w:b/>
          <w:bCs/>
          <w:noProof/>
        </w:rPr>
        <w:t>Definice</w:t>
      </w:r>
    </w:p>
    <w:p>
      <w:pPr>
        <w:rPr>
          <w:noProof/>
        </w:rPr>
      </w:pPr>
      <w:r>
        <w:rPr>
          <w:noProof/>
        </w:rPr>
        <w:t>Pro účely tohoto nařízení se rozumí:</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čl. 1 bod 1 písm. a)</w:t>
      </w:r>
    </w:p>
    <w:p>
      <w:pPr>
        <w:pStyle w:val="Point0"/>
        <w:rPr>
          <w:noProof/>
        </w:rPr>
      </w:pPr>
      <w:r>
        <w:rPr>
          <w:noProof/>
        </w:rPr>
        <w:tab/>
        <w:t>1)</w:t>
      </w:r>
      <w:r>
        <w:rPr>
          <w:noProof/>
        </w:rPr>
        <w:tab/>
        <w:t>„inovací“ proces včetně jeho výsledku, jehož prostřednictvím reagují nové myšlenky na společenské nebo hospodářské potřeby a poptávku a vytvářejí nové produkty, služby nebo obchodní a organizační modely, které se úspěšně zavádějí na stávající trh nebo které dokáží vytvářet trhy nové a které přispívají svou hodnotou společnosti;</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čl. 1 bod 1 písm. b)</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nový</w:t>
      </w:r>
    </w:p>
    <w:p>
      <w:pPr>
        <w:pStyle w:val="Point0"/>
        <w:rPr>
          <w:noProof/>
        </w:rPr>
      </w:pPr>
      <w:r>
        <w:rPr>
          <w:noProof/>
        </w:rPr>
        <w:tab/>
        <w:t>2)</w:t>
      </w:r>
      <w:r>
        <w:rPr>
          <w:noProof/>
        </w:rPr>
        <w:tab/>
        <w:t xml:space="preserve">„znalostním a inovačním společenstvím“ nezávislé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rozsáhlé evropské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rFonts w:ascii="Arial Unicode MS" w:hAnsi="Arial Unicode MS"/>
          <w:noProof/>
          <w:color w:val="000000"/>
        </w:rPr>
        <w:t xml:space="preserve"> </w:t>
      </w:r>
      <w:r>
        <w:rPr>
          <w:noProof/>
        </w:rPr>
        <w:t xml:space="preserve">partnerství vysokoškolských institucí, výzkumných organizací, společností a dalších stran zúčastněných na inovačním procesu v podobě strategické sítě, bez ohledu na její přesnou právní formu, založené na společném střednědobém až dlouhodobém plánování inovací k plnění úkolů EIT a přispívajících k dosažení cílů stanovených v </w:t>
      </w:r>
      <w:r>
        <w:rPr>
          <w:rStyle w:val="CRRefonteDeleted"/>
          <w:noProof/>
          <w:highlight w:val="lightGray"/>
        </w:rPr>
        <w:t xml:space="preserve">nařízení Evropského parlamentu a Rady (EU) č. 1291/2013 </w:t>
      </w:r>
      <w:r>
        <w:rPr>
          <w:rStyle w:val="CRRefonteDeleted"/>
          <w:noProof/>
          <w:highlight w:val="lightGray"/>
          <w:vertAlign w:val="superscript"/>
        </w:rPr>
        <w:footnoteReference w:id="18"/>
      </w:r>
      <w:r>
        <w:rPr>
          <w:rStyle w:val="CRRefonteDeleted"/>
          <w:noProof/>
          <w:highlight w:val="lightGray"/>
          <w:vertAlign w:val="superscript"/>
        </w:rPr>
        <w:t xml:space="preserve"> </w:t>
      </w:r>
      <w:r>
        <w:rPr>
          <w:rStyle w:val="CRRefonteDeleted"/>
          <w:noProof/>
          <w:highlight w:val="lightGray"/>
        </w:rPr>
        <w:t>(dále jen „program Horizont 2020“)</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rámcovém programu Unie pro podporu výzkumu a inovací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čl. 1 bod 1 písm. c)</w:t>
      </w:r>
    </w:p>
    <w:p>
      <w:pPr>
        <w:pStyle w:val="Point0"/>
        <w:rPr>
          <w:noProof/>
          <w:highlight w:val="lightGray"/>
        </w:rPr>
      </w:pPr>
      <w:r>
        <w:rPr>
          <w:noProof/>
        </w:rPr>
        <w:tab/>
      </w:r>
      <w:r>
        <w:rPr>
          <w:rStyle w:val="CRRefonteDeleted"/>
          <w:noProof/>
          <w:highlight w:val="lightGray"/>
        </w:rPr>
        <w:t>3)</w:t>
      </w:r>
      <w:r>
        <w:rPr>
          <w:rStyle w:val="CRRefonteDeleted"/>
          <w:noProof/>
          <w:highlight w:val="lightGray"/>
        </w:rPr>
        <w:tab/>
        <w:t>„střediskem společného umístění“ zeměpisná oblast, v níž jsou usazeni hlavní partneři znalostního trojúhelníku, kteří mohou snadno spolupracovat, čímž v této oblasti vzniká ústřední bod činnosti znalostních a inovačních společenství;</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čl. 1 bod 1 písm. e)</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pPr>
        <w:pStyle w:val="Point0"/>
        <w:rPr>
          <w:noProof/>
        </w:rPr>
      </w:pPr>
      <w:r>
        <w:rPr>
          <w:noProof/>
        </w:rPr>
        <w:tab/>
      </w:r>
      <w:r>
        <w:rPr>
          <w:rStyle w:val="CRMinorChangeAdded"/>
          <w:noProof/>
        </w:rPr>
        <w:t>3)</w:t>
      </w:r>
      <w:r>
        <w:rPr>
          <w:rStyle w:val="CRMinorChangeDeleted"/>
          <w:noProof/>
        </w:rPr>
        <w:t>5)</w:t>
      </w:r>
      <w:r>
        <w:rPr>
          <w:noProof/>
        </w:rPr>
        <w:tab/>
        <w:t xml:space="preserve">„partnerskou organizací“ </w:t>
      </w:r>
      <w:r>
        <w:rPr>
          <w:rStyle w:val="CRRefonteDeleted"/>
          <w:noProof/>
          <w:highlight w:val="lightGray"/>
        </w:rPr>
        <w:t>organizace</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právní subjekt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 který je členem znalostního a inovačního společenství a může zejména zahrnovat vysokoškolské instituce,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poskytovatele odborného vzdělávání a přípravy,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výzkumné organizace, veřejné nebo soukromé společnosti, finanční instituce, regionální a místní orgány, nadace a neziskové organizace;</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nový</w:t>
      </w:r>
    </w:p>
    <w:p>
      <w:pPr>
        <w:pStyle w:val="Point0"/>
        <w:rPr>
          <w:noProof/>
        </w:rPr>
      </w:pPr>
      <w:r>
        <w:rPr>
          <w:noProof/>
        </w:rPr>
        <w:tab/>
      </w:r>
      <w:r>
        <w:rPr>
          <w:rStyle w:val="CRMinorChangeAdded"/>
          <w:noProof/>
        </w:rPr>
        <w:t>4)</w:t>
      </w:r>
      <w:r>
        <w:rPr>
          <w:rStyle w:val="CRMinorChangeDeleted"/>
          <w:noProof/>
        </w:rPr>
        <w:t>6)</w:t>
      </w:r>
      <w:r>
        <w:rPr>
          <w:noProof/>
        </w:rPr>
        <w:tab/>
        <w:t>„výzkumnou organizací“ veřejný nebo soukromý právní subjekt, který provádí výzkum nebo technologický rozvoj jako jeden ze svých hlavních cílů;</w:t>
      </w:r>
    </w:p>
    <w:p>
      <w:pPr>
        <w:pStyle w:val="Point0"/>
        <w:rPr>
          <w:noProof/>
        </w:rPr>
      </w:pPr>
      <w:r>
        <w:rPr>
          <w:noProof/>
        </w:rPr>
        <w:tab/>
      </w:r>
      <w:r>
        <w:rPr>
          <w:rStyle w:val="CRMinorChangeAdded"/>
          <w:noProof/>
        </w:rPr>
        <w:t>5)</w:t>
      </w:r>
      <w:r>
        <w:rPr>
          <w:rStyle w:val="CRMinorChangeDeleted"/>
          <w:noProof/>
        </w:rPr>
        <w:t>7)</w:t>
      </w:r>
      <w:r>
        <w:rPr>
          <w:noProof/>
        </w:rPr>
        <w:tab/>
        <w:t xml:space="preserve">„vysokoškolskou institucí“ vysoká škola nebo jakýkoliv druh vysokoškolské instituce, která v souladu s vnitrostátními právními předpisy nebo postupy nabízí tituly a diplomy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zejména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na magisterské, inženýrské nebo doktorandské úrovni, bez ohledu na její vnitrostátní označení;</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pStyle w:val="Point0"/>
        <w:ind w:hanging="130"/>
        <w:rPr>
          <w:noProof/>
          <w:highlight w:val="lightGray"/>
        </w:rPr>
      </w:pPr>
      <w:r>
        <w:rPr>
          <w:noProof/>
          <w:highlight w:val="lightGray"/>
        </w:rPr>
        <w:t xml:space="preserve"> 6)</w:t>
      </w:r>
      <w:r>
        <w:rPr>
          <w:noProof/>
          <w:highlight w:val="lightGray"/>
        </w:rPr>
        <w:tab/>
        <w:t xml:space="preserve">„společenstvím EIT“ EIT a aktivní komunita všech jednotlivců a právních subjektů, které využily nebo využívají finanční příspěvek a podporu EIT; </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w:t>
      </w:r>
    </w:p>
    <w:p>
      <w:pPr>
        <w:pStyle w:val="Point0"/>
        <w:rPr>
          <w:noProof/>
          <w:highlight w:val="lightGray"/>
        </w:rPr>
      </w:pPr>
      <w:r>
        <w:rPr>
          <w:noProof/>
        </w:rPr>
        <w:tab/>
      </w:r>
      <w:r>
        <w:rPr>
          <w:rStyle w:val="CRRefonteDeleted"/>
          <w:noProof/>
          <w:highlight w:val="lightGray"/>
        </w:rPr>
        <w:t>8)</w:t>
      </w:r>
      <w:r>
        <w:rPr>
          <w:rStyle w:val="CRRefonteDeleted"/>
          <w:noProof/>
          <w:highlight w:val="lightGray"/>
        </w:rPr>
        <w:tab/>
        <w:t>„tituly a diplomy“ kvalifikace vedoucí k magisterskému nebo doktorskému stupni udělovanému zúčastněnými vysokoškolskými institucemi v souvislosti s činnostmi vysokoškolského vzdělávání v rámci znalostního a inovačního společenství;</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čl. 1 bod 1 písm. f)</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nový</w:t>
      </w:r>
    </w:p>
    <w:p>
      <w:pPr>
        <w:pStyle w:val="Point0"/>
        <w:rPr>
          <w:noProof/>
        </w:rPr>
      </w:pPr>
      <w:r>
        <w:rPr>
          <w:noProof/>
        </w:rPr>
        <w:tab/>
      </w:r>
      <w:r>
        <w:rPr>
          <w:rStyle w:val="CRMinorChangeAdded"/>
          <w:noProof/>
        </w:rPr>
        <w:t>7)</w:t>
      </w:r>
      <w:r>
        <w:rPr>
          <w:rStyle w:val="CRMinorChangeDeleted"/>
          <w:noProof/>
        </w:rPr>
        <w:t>9)</w:t>
      </w:r>
      <w:r>
        <w:rPr>
          <w:noProof/>
        </w:rPr>
        <w:tab/>
        <w:t xml:space="preserve">„strategickým programem inovací“ politický dokument uvádějící prioritní oblasti a dlouhodobou strategii EIT pro příští iniciativy,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jeho kapacitu pro vytváření nejlepší přidané hodnoty z hlediska inovací,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včetně přehledu plánovaných činností v oblasti vysokoškolského vzdělávání, výzkumu a inovací na dobu sedmi let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 xml:space="preserve">, jež pokrývá příslušný VFR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čl. 1 bod 1 písm. g)</w:t>
      </w:r>
    </w:p>
    <w:p>
      <w:pPr>
        <w:pStyle w:val="Point0"/>
        <w:rPr>
          <w:noProof/>
        </w:rPr>
      </w:pPr>
      <w:r>
        <w:rPr>
          <w:noProof/>
        </w:rPr>
        <w:tab/>
      </w:r>
      <w:r>
        <w:rPr>
          <w:rStyle w:val="CRMinorChangeAdded"/>
          <w:noProof/>
        </w:rPr>
        <w:t>8)</w:t>
      </w:r>
      <w:r>
        <w:rPr>
          <w:rStyle w:val="CRMinorChangeDeleted"/>
          <w:noProof/>
        </w:rPr>
        <w:t>9a)</w:t>
      </w:r>
      <w:r>
        <w:rPr>
          <w:noProof/>
        </w:rPr>
        <w:tab/>
        <w:t>„regionálním inovačním programem“ informační program zaměřený na partnerství mezi vysokoškolskými institucemi, výzkumnými organizacemi, společnostmi a dalšími zúčastněnými stranami, jehož cílem je podporovat inovace v celé Unii;</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čl. 1 bod 1 písm. h)</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nový</w:t>
      </w:r>
    </w:p>
    <w:p>
      <w:pPr>
        <w:pStyle w:val="Point0"/>
        <w:rPr>
          <w:noProof/>
        </w:rPr>
      </w:pPr>
      <w:r>
        <w:rPr>
          <w:noProof/>
        </w:rPr>
        <w:tab/>
      </w:r>
      <w:r>
        <w:rPr>
          <w:rStyle w:val="CRMinorChangeAdded"/>
          <w:noProof/>
        </w:rPr>
        <w:t>9)</w:t>
      </w:r>
      <w:r>
        <w:rPr>
          <w:rStyle w:val="CRMinorChangeDeleted"/>
          <w:noProof/>
        </w:rPr>
        <w:t>10)</w:t>
      </w:r>
      <w:r>
        <w:rPr>
          <w:noProof/>
        </w:rPr>
        <w:tab/>
        <w:t xml:space="preserve">„fórem zúčastněných stran“ platforma otevřená zástupcům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orgánů Unie,</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color w:val="000000"/>
        </w:rPr>
        <w:t xml:space="preserve"> </w:t>
      </w:r>
      <w:r>
        <w:rPr>
          <w:noProof/>
        </w:rPr>
        <w:t>vnitrostátních, regionálních a místních orgánů, organizovaným zájmovým subjektům i jednotlivcům z oblasti podnikání, vysokoškolského vzdělávání, výzkumu, sdružením, občanské společnosti a klastrovým organizacím, stejně jako jiným zúčastněným stranám z celého znalostního trojúhelníku;</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ò</w:instrText>
      </w:r>
      <w:r>
        <w:rPr>
          <w:noProof/>
          <w:highlight w:val="lightGray"/>
        </w:rPr>
        <w:instrText xml:space="preserve">" </w:instrText>
      </w:r>
      <w:r>
        <w:rPr>
          <w:noProof/>
          <w:highlight w:val="lightGray"/>
        </w:rPr>
        <w:fldChar w:fldCharType="separate"/>
      </w:r>
      <w:r>
        <w:rPr>
          <w:rStyle w:val="CRMarker"/>
          <w:rFonts w:cs="Wingdings"/>
          <w:noProof/>
          <w:highlight w:val="lightGray"/>
        </w:rPr>
        <w:t>ò</w:t>
      </w:r>
      <w:r>
        <w:rPr>
          <w:noProof/>
          <w:highlight w:val="lightGray"/>
        </w:rPr>
        <w:fldChar w:fldCharType="end"/>
      </w:r>
      <w:r>
        <w:rPr>
          <w:noProof/>
          <w:highlight w:val="lightGray"/>
        </w:rPr>
        <w:t> nový</w:t>
      </w:r>
    </w:p>
    <w:p>
      <w:pPr>
        <w:pStyle w:val="Point0"/>
        <w:ind w:firstLine="0"/>
        <w:rPr>
          <w:noProof/>
          <w:highlight w:val="lightGray"/>
        </w:rPr>
      </w:pPr>
      <w:r>
        <w:rPr>
          <w:noProof/>
          <w:highlight w:val="lightGray"/>
        </w:rPr>
        <w:t>10) „plánem činnosti znalostního a inovačního společenství“ dokument popisující cíle a plánované činnosti znalostního a inovačního společenství s přidanou hodnotou;</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čl. 1 bod 1 písm. h)</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nový</w:t>
      </w:r>
    </w:p>
    <w:p>
      <w:pPr>
        <w:pStyle w:val="Point0"/>
        <w:rPr>
          <w:rStyle w:val="CRMinorChangeDeleted"/>
          <w:noProof/>
        </w:rPr>
      </w:pPr>
      <w:r>
        <w:rPr>
          <w:noProof/>
        </w:rPr>
        <w:tab/>
        <w:t>11)</w:t>
      </w:r>
      <w:r>
        <w:rPr>
          <w:noProof/>
        </w:rPr>
        <w:tab/>
        <w:t xml:space="preserve">„činnostmi znalostních a inovačních společenství s přidanou hodnotou“ činnosti prováděné partnerskými organizacemi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znalostních a inovačních společenství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nebo případně právními subjekty</w:t>
      </w:r>
      <w:r>
        <w:rPr>
          <w:noProof/>
          <w:highlight w:val="lightGray"/>
        </w:rPr>
        <w:t xml:space="preserve"> </w:t>
      </w:r>
      <w:r>
        <w:rPr>
          <w:rStyle w:val="CRRefonteDeleted"/>
          <w:noProof/>
          <w:highlight w:val="lightGray"/>
        </w:rPr>
        <w:t>znalostních a inovačních společenství</w:t>
      </w:r>
      <w:r>
        <w:rPr>
          <w:noProof/>
        </w:rPr>
        <w:t xml:space="preserve">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v souladu s plánem činnosti znalostního a inovačního společenství</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 jež přispívají k začlenění znalostního trojúhelníku vysokoškolského vzdělávání, výzkumu a inovací, včetně činností spojených se zřízením, správou a koordinací znalostních a inovačních společenství, a k dosažení celkových cílů EIT</w:t>
      </w:r>
      <w:r>
        <w:rPr>
          <w:rStyle w:val="CRMinorChangeAdded"/>
          <w:noProof/>
        </w:rPr>
        <w:t>;</w:t>
      </w:r>
      <w:r>
        <w:rPr>
          <w:rStyle w:val="CRMinorChangeDeleted"/>
          <w:noProof/>
        </w:rPr>
        <w:t>.</w:t>
      </w:r>
    </w:p>
    <w:p>
      <w:pPr>
        <w:pStyle w:val="CRSeparator"/>
        <w:rPr>
          <w:noProof/>
        </w:rPr>
      </w:pPr>
    </w:p>
    <w:p>
      <w:pPr>
        <w:pStyle w:val="CRReference"/>
        <w:pBdr>
          <w:top w:val="single" w:sz="4" w:space="0" w:color="auto"/>
        </w:pBdr>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ò</w:instrText>
      </w:r>
      <w:r>
        <w:rPr>
          <w:noProof/>
          <w:highlight w:val="lightGray"/>
        </w:rPr>
        <w:instrText xml:space="preserve">" </w:instrText>
      </w:r>
      <w:r>
        <w:rPr>
          <w:noProof/>
          <w:highlight w:val="lightGray"/>
        </w:rPr>
        <w:fldChar w:fldCharType="separate"/>
      </w:r>
      <w:r>
        <w:rPr>
          <w:rStyle w:val="CRMarker"/>
          <w:rFonts w:cs="Wingdings"/>
          <w:noProof/>
          <w:highlight w:val="lightGray"/>
        </w:rPr>
        <w:t>ò</w:t>
      </w:r>
      <w:r>
        <w:rPr>
          <w:noProof/>
          <w:highlight w:val="lightGray"/>
        </w:rPr>
        <w:fldChar w:fldCharType="end"/>
      </w:r>
      <w:r>
        <w:rPr>
          <w:noProof/>
          <w:highlight w:val="lightGray"/>
        </w:rPr>
        <w:t> nový</w:t>
      </w:r>
    </w:p>
    <w:p>
      <w:pPr>
        <w:pStyle w:val="Point0"/>
        <w:ind w:firstLine="0"/>
        <w:rPr>
          <w:noProof/>
          <w:highlight w:val="lightGray"/>
        </w:rPr>
      </w:pPr>
      <w:r>
        <w:rPr>
          <w:noProof/>
          <w:highlight w:val="lightGray"/>
        </w:rPr>
        <w:t>12) „memorandem o spolupráci“ dohoda mezi EIT a znalostním a inovačním společenstvím, jejímž cílem je zajistit, aby znalostní a inovační společenství zůstalo aktivním členem společenství EIT i po datu ukončení rámcové dohody o partnerství, a sice bez jakéhokoli finančního příspěvku od EIT;</w:t>
      </w:r>
    </w:p>
    <w:p>
      <w:pPr>
        <w:pStyle w:val="Point0"/>
        <w:ind w:firstLine="0"/>
        <w:rPr>
          <w:noProof/>
        </w:rPr>
      </w:pPr>
      <w:r>
        <w:rPr>
          <w:noProof/>
          <w:highlight w:val="lightGray"/>
        </w:rPr>
        <w:t>13) „finanční udržitelností“ schopnost znalostního a inovačního společenství nezávisle financovat své činnosti v rámci znalostního trojúhelníku i po datu ukončení rámcové dohody o partnerství.</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čl. 1 bod 2 (přizpůsobený)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nový</w:t>
      </w:r>
    </w:p>
    <w:p>
      <w:pPr>
        <w:pStyle w:val="Titrearticle"/>
        <w:rPr>
          <w:noProof/>
        </w:rPr>
      </w:pPr>
      <w:r>
        <w:rPr>
          <w:noProof/>
        </w:rPr>
        <w:t>Článek 3</w:t>
      </w:r>
    </w:p>
    <w:p>
      <w:pPr>
        <w:pStyle w:val="NormalCentered"/>
        <w:rPr>
          <w:b/>
          <w:bCs/>
          <w:noProof/>
        </w:rPr>
      </w:pPr>
      <w:r>
        <w:rPr>
          <w:b/>
          <w:noProof/>
        </w:rPr>
        <w:t>Poslání a cíle</w:t>
      </w:r>
    </w:p>
    <w:p>
      <w:pPr>
        <w:rPr>
          <w:noProof/>
        </w:rPr>
      </w:pPr>
      <w:r>
        <w:rPr>
          <w:noProof/>
        </w:rPr>
        <w:t xml:space="preserve">Posláním EIT je přispívat k udržitelnému hospodářskému růstu a ke konkurenceschopnosti </w:t>
      </w:r>
      <w:r>
        <w:rPr>
          <w:rStyle w:val="CRDeleted"/>
          <w:noProof/>
        </w:rPr>
        <w:t>v Evropě</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posilováním inovační kapacity členských států a Unie s cílem reagovat na zásadní výzvy, jimž čelí </w:t>
      </w:r>
      <w:r>
        <w:rPr>
          <w:rStyle w:val="CRDeleted"/>
          <w:noProof/>
        </w:rPr>
        <w:t>evropská</w:t>
      </w:r>
      <w:r>
        <w:rPr>
          <w:noProof/>
        </w:rPr>
        <w:t xml:space="preserve"> společnost. K naplnění tohoto cíle EIT podporuje součinnost a spolupráci mezi vysokoškolským vzděláváním, výzkumem a inovacemi na nejvyšší úrovni a začleňuje je, včetně podporou podnikání.</w:t>
      </w:r>
    </w:p>
    <w:p>
      <w:pPr>
        <w:rPr>
          <w:rStyle w:val="CRRefonteDeleted"/>
          <w:noProof/>
          <w:highlight w:val="lightGray"/>
        </w:rPr>
      </w:pPr>
      <w:r>
        <w:rPr>
          <w:noProof/>
        </w:rPr>
        <w:t xml:space="preserve"> </w:t>
      </w:r>
      <w:r>
        <w:rPr>
          <w:rStyle w:val="CRRefonteDeleted"/>
          <w:noProof/>
          <w:highlight w:val="lightGray"/>
        </w:rPr>
        <w:t>Obecné cíle, specifické cíle a ukazatele výsledků EIT pro období 2014–2020 jsou popsány v programu Horizont 2020.</w:t>
      </w:r>
    </w:p>
    <w:p>
      <w:pPr>
        <w:pStyle w:val="CRSeparator"/>
        <w:rPr>
          <w:rStyle w:val="CRRefonteDeleted"/>
          <w:noProof/>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spacing w:after="0"/>
        <w:rPr>
          <w:b/>
          <w:bCs/>
          <w:noProof/>
          <w:highlight w:val="lightGray"/>
        </w:rPr>
      </w:pPr>
      <w:r>
        <w:rPr>
          <w:noProof/>
          <w:color w:val="000000"/>
          <w:highlight w:val="lightGray"/>
        </w:rPr>
        <w:t>EIT přispívá k plnění obecných a specifických cílů rámcového programu Unie pro podporu výzkumu a inovací.</w:t>
      </w:r>
      <w:r>
        <w:rPr>
          <w:noProof/>
          <w:highlight w:val="lightGray"/>
        </w:rPr>
        <w:t xml:space="preserve"> </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w:t>
      </w:r>
    </w:p>
    <w:p>
      <w:pPr>
        <w:pStyle w:val="Titrearticle"/>
        <w:rPr>
          <w:noProof/>
        </w:rPr>
      </w:pPr>
      <w:r>
        <w:rPr>
          <w:noProof/>
        </w:rPr>
        <w:t>Článek </w:t>
      </w:r>
      <w:r>
        <w:rPr>
          <w:rStyle w:val="CRMinorChangeAdded"/>
          <w:noProof/>
        </w:rPr>
        <w:t>4</w:t>
      </w:r>
      <w:r>
        <w:rPr>
          <w:rStyle w:val="CRMinorChangeDeleted"/>
          <w:noProof/>
        </w:rPr>
        <w:t>17</w:t>
      </w:r>
    </w:p>
    <w:p>
      <w:pPr>
        <w:pStyle w:val="NormalCentered"/>
        <w:rPr>
          <w:b/>
          <w:bCs/>
          <w:noProof/>
        </w:rPr>
      </w:pPr>
      <w:r>
        <w:rPr>
          <w:b/>
          <w:bCs/>
          <w:noProof/>
        </w:rPr>
        <w:t>Strategický program inovací</w:t>
      </w:r>
    </w:p>
    <w:p>
      <w:pPr>
        <w:rPr>
          <w:rStyle w:val="CRRefonteDeleted"/>
          <w:noProof/>
          <w:highlight w:val="lightGray"/>
        </w:rPr>
      </w:pPr>
      <w:r>
        <w:rPr>
          <w:rStyle w:val="CRRefonteDeleted"/>
          <w:noProof/>
          <w:highlight w:val="lightGray"/>
        </w:rPr>
        <w:t>1.</w:t>
      </w:r>
      <w:r>
        <w:rPr>
          <w:rStyle w:val="CRRefonteDeleted"/>
          <w:noProof/>
          <w:highlight w:val="lightGray"/>
        </w:rPr>
        <w:tab/>
        <w:t>Poprvé do 30. června 2011 a dále každých sedm let vypracuje EIT návrh sedmiletého strategického programu inovací a předloží jej Komisi.</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čl. 1 bod 14 písm. a) (přizpůsobený)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nový</w:t>
      </w:r>
    </w:p>
    <w:p>
      <w:pPr>
        <w:rPr>
          <w:noProof/>
        </w:rPr>
      </w:pPr>
      <w:r>
        <w:rPr>
          <w:rStyle w:val="CRMinorChangeAdded"/>
          <w:noProof/>
        </w:rPr>
        <w:t>1</w:t>
      </w:r>
      <w:r>
        <w:rPr>
          <w:rStyle w:val="CRMinorChangeDeleted"/>
          <w:noProof/>
        </w:rPr>
        <w:t>2</w:t>
      </w:r>
      <w:r>
        <w:rPr>
          <w:noProof/>
        </w:rPr>
        <w:t>.</w:t>
      </w:r>
      <w:r>
        <w:rPr>
          <w:noProof/>
        </w:rPr>
        <w:tab/>
        <w:t xml:space="preserve">Ve strategickém programu inovací se stanoví prioritní oblasti a </w:t>
      </w:r>
      <w:r>
        <w:rPr>
          <w:rStyle w:val="CRRefonteDeleted"/>
          <w:noProof/>
          <w:highlight w:val="lightGray"/>
        </w:rPr>
        <w:t>dlouhodobá</w:t>
      </w:r>
      <w:r>
        <w:rPr>
          <w:noProof/>
        </w:rPr>
        <w:t xml:space="preserve"> strategie pro EIT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t>
      </w:r>
      <w:r>
        <w:rPr>
          <w:noProof/>
          <w:color w:val="000000"/>
          <w:highlight w:val="lightGray"/>
        </w:rPr>
        <w:t>na dotčené sedmileté období,</w:t>
      </w:r>
      <w:r>
        <w:rPr>
          <w:noProof/>
          <w:highlight w:val="lightGray"/>
        </w:rPr>
        <w:t> s přihlédnutím k rámcovému programu Unie pro podporu výzkumu a inovací,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a posoudí sociálně-hospodářský dopad a schopnost vytvořit nejlepší přidanou hodnotu z hlediska inovací. Ve strategickém programu inovací jsou zohledněny výsledky sledování a hodnocení EIT, jak je uvedeno v článku </w:t>
      </w:r>
      <w:r>
        <w:rPr>
          <w:rStyle w:val="CRMinorChangeAdded"/>
          <w:noProof/>
        </w:rPr>
        <w:t>19</w:t>
      </w:r>
      <w:r>
        <w:rPr>
          <w:rStyle w:val="CRDeleted"/>
          <w:noProof/>
        </w:rPr>
        <w:t>16</w:t>
      </w:r>
      <w:r>
        <w:rPr>
          <w:noProof/>
        </w:rPr>
        <w:t>.</w:t>
      </w:r>
    </w:p>
    <w:p>
      <w:pPr>
        <w:pStyle w:val="CRSeparator"/>
        <w:rPr>
          <w:noProof/>
          <w:highlight w:val="yellow"/>
        </w:rPr>
      </w:pPr>
    </w:p>
    <w:p>
      <w:pPr>
        <w:pStyle w:val="CRReference"/>
        <w:rPr>
          <w:noProof/>
          <w:highlight w:val="yellow"/>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čl. 1 bod 14 písm. b)</w:t>
      </w:r>
    </w:p>
    <w:p>
      <w:pPr>
        <w:pStyle w:val="CRReference"/>
        <w:rPr>
          <w:rStyle w:val="CRMinorChangeAdded"/>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nový</w:t>
      </w:r>
    </w:p>
    <w:p>
      <w:pPr>
        <w:rPr>
          <w:noProof/>
        </w:rPr>
      </w:pPr>
      <w:r>
        <w:rPr>
          <w:noProof/>
        </w:rPr>
        <w:t>2</w:t>
      </w:r>
      <w:r>
        <w:rPr>
          <w:rStyle w:val="CRMinorChangeDeleted"/>
          <w:noProof/>
        </w:rPr>
        <w:t>a</w:t>
      </w:r>
      <w:r>
        <w:rPr>
          <w:noProof/>
        </w:rPr>
        <w:t>.</w:t>
      </w:r>
      <w:r>
        <w:rPr>
          <w:noProof/>
        </w:rPr>
        <w:tab/>
        <w:t xml:space="preserve">Strategický program inovací </w:t>
      </w:r>
      <w:r>
        <w:rPr>
          <w:rStyle w:val="CRRefonteDeleted"/>
          <w:noProof/>
          <w:highlight w:val="lightGray"/>
        </w:rPr>
        <w:t>obsahuje analýzu možné a</w:t>
      </w:r>
      <w:r>
        <w:rPr>
          <w:noProof/>
        </w:rPr>
        <w:t xml:space="preserve">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se uvede do souladu s cíli rámcového programu Unie pro podporu výzkumu a inovací, strategického víceletého plánování, podávání zpráv, monitorování a hodnocení a jiných požadavků uvedeného programu a podpoří součinnost s dalšími příslušnými programy Unie v rámci daného VFR, zejména s programy, které podporují vzdělávání a regionální rozvoj. Vytvoří rovněž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color w:val="1F497D"/>
        </w:rPr>
        <w:t xml:space="preserve"> </w:t>
      </w:r>
      <w:r>
        <w:rPr>
          <w:noProof/>
        </w:rPr>
        <w:t xml:space="preserve">vhodné součinnosti a návaznosti mezi činnostmi EIT a jinými iniciativami,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politikami a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nástroji </w:t>
      </w:r>
      <w:r>
        <w:rPr>
          <w:rStyle w:val="CRRefonteDeleted"/>
          <w:noProof/>
          <w:highlight w:val="lightGray"/>
        </w:rPr>
        <w:t>a programy</w:t>
      </w:r>
      <w:r>
        <w:rPr>
          <w:noProof/>
        </w:rPr>
        <w:t xml:space="preserve"> Unie.</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(přizpůsobený)</w:t>
      </w:r>
    </w:p>
    <w:p>
      <w:pPr>
        <w:rPr>
          <w:noProof/>
        </w:rPr>
      </w:pPr>
      <w:r>
        <w:rPr>
          <w:noProof/>
        </w:rPr>
        <w:t>3.</w:t>
      </w:r>
      <w:r>
        <w:rPr>
          <w:noProof/>
        </w:rPr>
        <w:tab/>
        <w:t xml:space="preserve">Strategický program inovací zahrnuje odhad finančních potřeb a zdrojů s ohledem na budoucí činnosti, dlouhodobý rozvoj a financování EIT. Program rovněž obsahuje orientační finanční plán pokrývající období </w:t>
      </w:r>
      <w:r>
        <w:rPr>
          <w:rStyle w:val="CRDeleted"/>
          <w:noProof/>
        </w:rPr>
        <w:t>finančního rámce</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příslušného</w:t>
      </w:r>
      <w:r>
        <w:rPr>
          <w:noProof/>
          <w:color w:val="1F497D"/>
        </w:rPr>
        <w:t xml:space="preserve"> </w:t>
      </w:r>
      <w:r>
        <w:rPr>
          <w:noProof/>
        </w:rPr>
        <w:t>VFR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rPr>
          <w:noProof/>
        </w:rPr>
      </w:pPr>
      <w:r>
        <w:rPr>
          <w:noProof/>
          <w:color w:val="000000"/>
          <w:highlight w:val="lightGray"/>
        </w:rPr>
        <w:t>4. EIT předloží svůj příspěvek k návrhu Komise týkajícímu se strategického programu inovací.</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xml:space="preserve"> 1292/2013 čl. 1 bod 14 písm. c) </w:t>
      </w:r>
    </w:p>
    <w:p>
      <w:pPr>
        <w:rPr>
          <w:noProof/>
        </w:rPr>
      </w:pPr>
      <w:r>
        <w:rPr>
          <w:rStyle w:val="CRMinorChangeAdded"/>
          <w:noProof/>
        </w:rPr>
        <w:t>5</w:t>
      </w:r>
      <w:r>
        <w:rPr>
          <w:rStyle w:val="CRMinorChangeDeleted"/>
          <w:noProof/>
        </w:rPr>
        <w:t>4</w:t>
      </w:r>
      <w:r>
        <w:rPr>
          <w:noProof/>
        </w:rPr>
        <w:t>.</w:t>
      </w:r>
      <w:r>
        <w:rPr>
          <w:noProof/>
        </w:rPr>
        <w:tab/>
        <w:t>Evropský parlament a Rada přijmou na návrh Komise strategický program inovací v souladu čl. 173 odst. 3 Smlouvy o fungování Evropské unie.</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w:t>
      </w:r>
    </w:p>
    <w:p>
      <w:pPr>
        <w:pStyle w:val="Titrearticle"/>
        <w:rPr>
          <w:noProof/>
        </w:rPr>
      </w:pPr>
      <w:r>
        <w:rPr>
          <w:noProof/>
        </w:rPr>
        <w:t>Článek </w:t>
      </w:r>
      <w:r>
        <w:rPr>
          <w:rStyle w:val="CRMinorChangeAdded"/>
          <w:noProof/>
        </w:rPr>
        <w:t>5</w:t>
      </w:r>
      <w:r>
        <w:rPr>
          <w:rStyle w:val="CRMinorChangeDeleted"/>
          <w:noProof/>
        </w:rPr>
        <w:t>4</w:t>
      </w:r>
    </w:p>
    <w:p>
      <w:pPr>
        <w:pStyle w:val="NormalCentered"/>
        <w:rPr>
          <w:b/>
          <w:bCs/>
          <w:noProof/>
        </w:rPr>
      </w:pPr>
      <w:r>
        <w:rPr>
          <w:b/>
          <w:bCs/>
          <w:noProof/>
        </w:rPr>
        <w:t>Orgány EIT</w:t>
      </w:r>
    </w:p>
    <w:p>
      <w:pPr>
        <w:rPr>
          <w:noProof/>
        </w:rPr>
      </w:pPr>
      <w:r>
        <w:rPr>
          <w:noProof/>
        </w:rPr>
        <w:t>1.</w:t>
      </w:r>
      <w:r>
        <w:rPr>
          <w:noProof/>
        </w:rPr>
        <w:tab/>
        <w:t>Orgány EIT jsou tyto:</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čl. 1 bod 3 písm. a) (přizpůsobený)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nový</w:t>
      </w:r>
    </w:p>
    <w:p>
      <w:pPr>
        <w:pStyle w:val="Point0"/>
        <w:rPr>
          <w:rStyle w:val="CRMinorChangeDeleted"/>
          <w:noProof/>
        </w:rPr>
      </w:pPr>
      <w:r>
        <w:rPr>
          <w:noProof/>
        </w:rPr>
        <w:tab/>
        <w:t>a)</w:t>
      </w:r>
      <w:r>
        <w:rPr>
          <w:noProof/>
        </w:rPr>
        <w:tab/>
        <w:t xml:space="preserve">správní rada složená z vysoce kvalifikovaných členů na vysoké úrovni se zkušenostmi v oblasti vysokoškolského vzdělávání, inovací, výzkumu a podnikání. Správní rada odpovídá za řízení činností EIT, za výběr, určení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 monitorování</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color w:val="000000"/>
        </w:rPr>
        <w:t xml:space="preserve"> </w:t>
      </w:r>
      <w:r>
        <w:rPr>
          <w:noProof/>
        </w:rPr>
        <w:t>a hodnocení znalostních a inovačních společenství a za všechna ostatní strategická rozhodnutí</w:t>
      </w:r>
      <w:r>
        <w:rPr>
          <w:rStyle w:val="CRMinorChangeAdded"/>
          <w:noProof/>
        </w:rPr>
        <w:t>;</w:t>
      </w:r>
      <w:r>
        <w:rPr>
          <w:rStyle w:val="CRMinorChangeDeleted"/>
          <w:noProof/>
        </w:rPr>
        <w:t>.</w:t>
      </w:r>
    </w:p>
    <w:p>
      <w:pPr>
        <w:pStyle w:val="Point0"/>
        <w:rPr>
          <w:noProof/>
        </w:rPr>
      </w:pPr>
      <w:r>
        <w:rPr>
          <w:noProof/>
        </w:rPr>
        <w:t xml:space="preserve"> </w:t>
      </w:r>
      <w:r>
        <w:rPr>
          <w:noProof/>
        </w:rPr>
        <w:tab/>
      </w:r>
      <w:r>
        <w:rPr>
          <w:rStyle w:val="CRMinorChangeAdded"/>
          <w:noProof/>
        </w:rPr>
        <w:t>b)</w:t>
      </w:r>
      <w:r>
        <w:rPr>
          <w:noProof/>
        </w:rPr>
        <w:tab/>
      </w:r>
      <w:r>
        <w:rPr>
          <w:rStyle w:val="CRDeleted"/>
          <w:noProof/>
        </w:rPr>
        <w:t>Správní radě je nápomocen</w:t>
      </w:r>
      <w:r>
        <w:rPr>
          <w:noProof/>
        </w:rPr>
        <w:t xml:space="preserve"> výkonný výbor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složený z vybraných členů a předsedy správní rady.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Výbor pomáhá správní radě při plnění jejích úkolů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a připravuje zasedání správní rady ve spolupráci s ředitelem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čl. 1 bod 3 písm. c) (přizpůsobený)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nový</w:t>
      </w:r>
    </w:p>
    <w:p>
      <w:pPr>
        <w:pStyle w:val="Point0"/>
        <w:rPr>
          <w:noProof/>
        </w:rPr>
      </w:pPr>
      <w:r>
        <w:rPr>
          <w:noProof/>
        </w:rPr>
        <w:tab/>
        <w:t>c)</w:t>
      </w:r>
      <w:r>
        <w:rPr>
          <w:noProof/>
        </w:rPr>
        <w:tab/>
        <w:t xml:space="preserve">ředitel, jmenovaný správní radou, který </w:t>
      </w:r>
      <w:r>
        <w:rPr>
          <w:rStyle w:val="CRDeleted"/>
          <w:noProof/>
        </w:rPr>
        <w:t>je odpovědný správní radě za správní a finanční řízení EIT a který</w:t>
      </w:r>
      <w:r>
        <w:rPr>
          <w:noProof/>
        </w:rPr>
        <w:t xml:space="preserve"> právně jedná za EIT</w:t>
      </w:r>
      <w:r>
        <w:rPr>
          <w:noProof/>
          <w:color w:val="000000"/>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w:t>
      </w:r>
      <w:r>
        <w:rPr>
          <w:noProof/>
          <w:color w:val="000000"/>
        </w:rPr>
        <w:t>a je odpovědný za jeho provoz a každodenní řízení.</w:t>
      </w:r>
      <w:r>
        <w:rPr>
          <w:noProof/>
        </w:rPr>
        <w:t>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color w:val="000000"/>
        </w:rPr>
        <w:t xml:space="preserve">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Ředitel je odpovědný správní radě a podává jí průběžně zprávy o vývoji činností EIT a o všech činnostech spadajících do jeho odpovědnosti</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color w:val="000000"/>
        </w:rPr>
        <w:t>;</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nový</w:t>
      </w:r>
    </w:p>
    <w:p>
      <w:pPr>
        <w:pStyle w:val="Point0"/>
        <w:rPr>
          <w:noProof/>
        </w:rPr>
      </w:pPr>
      <w:r>
        <w:rPr>
          <w:noProof/>
        </w:rPr>
        <w:tab/>
        <w:t>d)</w:t>
      </w:r>
      <w:r>
        <w:rPr>
          <w:noProof/>
        </w:rPr>
        <w:tab/>
        <w:t xml:space="preserve">útvar interního auditu, který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funguje zcela nezávisle a v souladu s příslušnými mezinárodními normami a</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color w:val="000000"/>
        </w:rPr>
        <w:t xml:space="preserve"> </w:t>
      </w:r>
      <w:r>
        <w:rPr>
          <w:noProof/>
        </w:rPr>
        <w:t>poskytuje správní radě a řediteli poradenství ohledně finančního a správního řízení a kontrolních struktur v rámci EIT, ohledně uspořádání finančních vztahů se znalostními a inovačními společenstvími a ohledně kterékoli jiné záležitosti na žádost správní rady.</w:t>
      </w:r>
    </w:p>
    <w:p>
      <w:pPr>
        <w:rPr>
          <w:noProof/>
          <w:highlight w:val="lightGray"/>
        </w:rPr>
      </w:pPr>
      <w:r>
        <w:rPr>
          <w:rStyle w:val="CRRefonteDeleted"/>
          <w:noProof/>
          <w:highlight w:val="lightGray"/>
        </w:rPr>
        <w:t>2.</w:t>
      </w:r>
      <w:r>
        <w:rPr>
          <w:rStyle w:val="CRRefonteDeleted"/>
          <w:noProof/>
          <w:highlight w:val="lightGray"/>
        </w:rPr>
        <w:tab/>
        <w:t>Komise může jmenovat pozorovatele, kteří se budou účastnit zasedání správní rady.</w:t>
      </w:r>
    </w:p>
    <w:p>
      <w:pPr>
        <w:rPr>
          <w:noProof/>
        </w:rPr>
      </w:pPr>
      <w:r>
        <w:rPr>
          <w:rStyle w:val="CRMinorChangeAdded"/>
          <w:noProof/>
        </w:rPr>
        <w:t>2</w:t>
      </w:r>
      <w:r>
        <w:rPr>
          <w:rStyle w:val="CRMinorChangeDeleted"/>
          <w:noProof/>
        </w:rPr>
        <w:t>3</w:t>
      </w:r>
      <w:r>
        <w:rPr>
          <w:noProof/>
        </w:rPr>
        <w:t>.</w:t>
      </w:r>
      <w:r>
        <w:rPr>
          <w:noProof/>
        </w:rPr>
        <w:tab/>
        <w:t>Podrobná ustanovení o orgánech EIT jsou uvedena ve stanovách EIT obsažených v příloze tohoto nařízení.</w:t>
      </w:r>
    </w:p>
    <w:p>
      <w:pPr>
        <w:pStyle w:val="Titrearticle"/>
        <w:rPr>
          <w:noProof/>
        </w:rPr>
      </w:pPr>
      <w:r>
        <w:rPr>
          <w:noProof/>
        </w:rPr>
        <w:t>Článek </w:t>
      </w:r>
      <w:r>
        <w:rPr>
          <w:rStyle w:val="CRMinorChangeAdded"/>
          <w:noProof/>
        </w:rPr>
        <w:t>6</w:t>
      </w:r>
      <w:r>
        <w:rPr>
          <w:rStyle w:val="CRMinorChangeDeleted"/>
          <w:noProof/>
        </w:rPr>
        <w:t>5</w:t>
      </w:r>
    </w:p>
    <w:p>
      <w:pPr>
        <w:pStyle w:val="NormalCentered"/>
        <w:rPr>
          <w:b/>
          <w:bCs/>
          <w:noProof/>
        </w:rPr>
      </w:pPr>
      <w:r>
        <w:rPr>
          <w:b/>
          <w:bCs/>
          <w:noProof/>
        </w:rPr>
        <w:t>Úkoly</w:t>
      </w:r>
    </w:p>
    <w:p>
      <w:pPr>
        <w:rPr>
          <w:noProof/>
        </w:rPr>
      </w:pPr>
      <w:r>
        <w:rPr>
          <w:noProof/>
        </w:rPr>
        <w:tab/>
        <w:t xml:space="preserve">K dosažení tohoto cíle EIT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zejména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čl. 1 bod 4 písm. a)</w:t>
      </w:r>
    </w:p>
    <w:p>
      <w:pPr>
        <w:pStyle w:val="Point0"/>
        <w:rPr>
          <w:noProof/>
        </w:rPr>
      </w:pPr>
      <w:r>
        <w:rPr>
          <w:noProof/>
        </w:rPr>
        <w:tab/>
        <w:t>a)</w:t>
      </w:r>
      <w:r>
        <w:rPr>
          <w:noProof/>
        </w:rPr>
        <w:tab/>
        <w:t>v souladu se strategickým programem inovací stanoví své hlavní priority a činnosti;</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w:t>
      </w:r>
    </w:p>
    <w:p>
      <w:pPr>
        <w:pStyle w:val="Point0"/>
        <w:rPr>
          <w:noProof/>
        </w:rPr>
      </w:pPr>
      <w:r>
        <w:rPr>
          <w:noProof/>
        </w:rPr>
        <w:tab/>
        <w:t>b)</w:t>
      </w:r>
      <w:r>
        <w:rPr>
          <w:noProof/>
        </w:rPr>
        <w:tab/>
        <w:t>zvyšuje povědomí mezi potenciálními partnerskými organizacemi a podporuje jejich účast na svých činnostech;</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čl. 1 bod 4 písm. b) (přizpůsobený)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pPr>
        <w:pStyle w:val="Point0"/>
        <w:rPr>
          <w:noProof/>
        </w:rPr>
      </w:pPr>
      <w:r>
        <w:rPr>
          <w:noProof/>
        </w:rPr>
        <w:tab/>
        <w:t>c)</w:t>
      </w:r>
      <w:r>
        <w:rPr>
          <w:noProof/>
        </w:rPr>
        <w:tab/>
        <w:t xml:space="preserve">vybírá a určuje znalostní a inovační společenství v prioritních oblastech podle článku </w:t>
      </w:r>
      <w:r>
        <w:rPr>
          <w:rStyle w:val="CRMinorChangeAdded"/>
          <w:noProof/>
        </w:rPr>
        <w:t>9</w:t>
      </w:r>
      <w:r>
        <w:rPr>
          <w:rStyle w:val="CRDeleted"/>
          <w:noProof/>
        </w:rPr>
        <w:t>7</w:t>
      </w:r>
      <w:r>
        <w:rPr>
          <w:noProof/>
        </w:rPr>
        <w:t xml:space="preserve"> a formou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t>
      </w:r>
      <w:r>
        <w:rPr>
          <w:noProof/>
          <w:color w:val="000000"/>
          <w:highlight w:val="lightGray"/>
        </w:rPr>
        <w:t>rámcových dohod o partnerství a grantových</w:t>
      </w:r>
      <w:r>
        <w:rPr>
          <w:noProof/>
          <w:highlight w:val="lightGray"/>
        </w:rPr>
        <w: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color w:val="000000"/>
        </w:rPr>
        <w:t xml:space="preserve"> </w:t>
      </w:r>
      <w:r>
        <w:rPr>
          <w:rStyle w:val="CRDeleted"/>
          <w:noProof/>
        </w:rPr>
        <w:t>dohody</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dohod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vymezuje jejich práva a povinnosti, poskytuje jim náležitou podporu, uplatňuje vhodná opatření ke kontrole kvality</w:t>
      </w:r>
      <w:r>
        <w:rPr>
          <w:rStyle w:val="CRMinorChangeDeleted"/>
          <w:noProof/>
        </w:rPr>
        <w:t>,</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a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průběžně sleduje a pravidelně vyhodnocuje jejich činnosti;</w:t>
      </w:r>
    </w:p>
    <w:p>
      <w:pPr>
        <w:pStyle w:val="Point0"/>
        <w:ind w:firstLine="0"/>
        <w:rPr>
          <w:noProof/>
        </w:rPr>
      </w:pPr>
      <w:r>
        <w:rPr>
          <w:rStyle w:val="CRMinorChangeAdded"/>
          <w:noProof/>
        </w:rPr>
        <w:t>d)</w:t>
      </w:r>
      <w:r>
        <w:rPr>
          <w:noProof/>
        </w:rPr>
        <w:t xml:space="preserve"> zajišťuje náležitou koordinaci mezi nimi a usnadňuje jejich komunikaci a tematickou spolupráci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 vyhlašuje výzvy pro činnosti napříč znalostními a inovačními společenstvími a sdílené služby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(přizpůsobený)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nový</w:t>
      </w:r>
    </w:p>
    <w:p>
      <w:pPr>
        <w:pStyle w:val="Point0"/>
        <w:rPr>
          <w:rStyle w:val="CRDeleted"/>
          <w:noProof/>
          <w:highlight w:val="lightGray"/>
        </w:rPr>
      </w:pPr>
      <w:r>
        <w:rPr>
          <w:noProof/>
        </w:rPr>
        <w:tab/>
      </w:r>
      <w:r>
        <w:rPr>
          <w:rStyle w:val="CRRefonteDeleted"/>
          <w:noProof/>
          <w:highlight w:val="lightGray"/>
        </w:rPr>
        <w:t>d)</w:t>
      </w:r>
      <w:r>
        <w:rPr>
          <w:rStyle w:val="CRRefonteDeleted"/>
          <w:noProof/>
          <w:highlight w:val="lightGray"/>
        </w:rPr>
        <w:tab/>
        <w:t>zajišťuje finanční prostředky z veřejných a soukromých zdrojů a využívá své zdroje v souladu s tímto nařízením. Zejména usiluje o získávání významného a rostoucího podílu svého rozpočtu ze soukromých zdrojů a z příjmu vytvořeného vlastní činností</w:t>
      </w:r>
    </w:p>
    <w:p>
      <w:pPr>
        <w:pStyle w:val="Point0"/>
        <w:rPr>
          <w:noProof/>
        </w:rPr>
      </w:pPr>
      <w:r>
        <w:rPr>
          <w:noProof/>
        </w:rPr>
        <w:t xml:space="preserve">             e)</w:t>
      </w:r>
      <w:r>
        <w:rPr>
          <w:noProof/>
        </w:rPr>
        <w:tab/>
      </w:r>
      <w:r>
        <w:rPr>
          <w:rStyle w:val="CRDeleted"/>
          <w:noProof/>
        </w:rPr>
        <w:t>podporuje</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posiluje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uznávání titulů a diplomů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mimo společenství EIT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v členských státech</w:t>
      </w:r>
      <w:r>
        <w:rPr>
          <w:noProof/>
        </w:rPr>
        <w:t xml:space="preserve"> udělených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zúčastněnými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vysokoškolskými institucemi </w:t>
      </w:r>
      <w:r>
        <w:rPr>
          <w:rStyle w:val="CRRefonteDeleted"/>
          <w:noProof/>
          <w:highlight w:val="lightGray"/>
        </w:rPr>
        <w:t>, jež jsou partnerskými organizacemi v rámci znalostního a inovačního společenství</w:t>
      </w:r>
      <w:r>
        <w:rPr>
          <w:noProof/>
        </w:rPr>
        <w:t>, jež mohou být označovány jako tituly a diplomy EIT</w:t>
      </w:r>
      <w:r>
        <w:rPr>
          <w:noProof/>
          <w:color w:val="000000"/>
        </w:rPr>
        <w:t xml:space="preserve">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a rozšířeny na programy celoživotního učení</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čl. 1 bod 4 písm. c)</w:t>
      </w:r>
    </w:p>
    <w:p>
      <w:pPr>
        <w:pStyle w:val="Point0"/>
        <w:rPr>
          <w:noProof/>
        </w:rPr>
      </w:pPr>
      <w:r>
        <w:rPr>
          <w:noProof/>
        </w:rPr>
        <w:tab/>
        <w:t>f)</w:t>
      </w:r>
      <w:r>
        <w:rPr>
          <w:noProof/>
        </w:rPr>
        <w:tab/>
        <w:t>podporuje šíření osvědčených postupů pro začlenění znalostního trojúhelníku, a to i mezi znalostními a inovačními společenstvími, s cílem vytvořit společnou inovační kulturu a kulturu předávání znalostí, a vybízí k účasti na informačních činnostech, mimo jiné v rámci regionálního inovačního programu;</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(přizpůsobený)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nový</w:t>
      </w:r>
    </w:p>
    <w:p>
      <w:pPr>
        <w:pStyle w:val="Point0"/>
        <w:rPr>
          <w:noProof/>
        </w:rPr>
      </w:pPr>
      <w:r>
        <w:rPr>
          <w:noProof/>
        </w:rPr>
        <w:tab/>
        <w:t>g)</w:t>
      </w:r>
      <w:r>
        <w:rPr>
          <w:noProof/>
        </w:rPr>
        <w:tab/>
      </w:r>
      <w:r>
        <w:rPr>
          <w:rStyle w:val="CRRefonteDeleted"/>
          <w:noProof/>
          <w:highlight w:val="lightGray"/>
        </w:rPr>
        <w:t>usiluje o to, aby se stal subjektem světové úrovně díky</w:t>
      </w:r>
      <w:r>
        <w:rPr>
          <w:noProof/>
        </w:rPr>
        <w:t xml:space="preserve">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posiluje</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color w:val="000000"/>
        </w:rPr>
        <w:t xml:space="preserve"> </w:t>
      </w:r>
      <w:r>
        <w:rPr>
          <w:noProof/>
        </w:rPr>
        <w:t>excelenci v oblasti vysokoškolského vzdělávání, výzkumu a inovací</w:t>
      </w:r>
      <w:r>
        <w:rPr>
          <w:noProof/>
          <w:color w:val="000000"/>
        </w:rPr>
        <w:t xml:space="preserve">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xml:space="preserve"> , </w:t>
      </w:r>
      <w:r>
        <w:rPr>
          <w:noProof/>
          <w:color w:val="000000"/>
          <w:highlight w:val="lightGray"/>
        </w:rPr>
        <w:t>zejména</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w:t>
      </w:r>
      <w:r>
        <w:rPr>
          <w:noProof/>
          <w:color w:val="000000"/>
        </w:rPr>
        <w:t>podporou znalostních a inovačních společenství jako vynikajících inovačních partnerů</w:t>
      </w:r>
      <w:r>
        <w:rPr>
          <w:noProof/>
        </w:rPr>
        <w:t>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čl. 1 bod 4 písm. d)</w:t>
      </w:r>
    </w:p>
    <w:p>
      <w:pPr>
        <w:pStyle w:val="Point0"/>
        <w:rPr>
          <w:noProof/>
        </w:rPr>
      </w:pPr>
      <w:r>
        <w:rPr>
          <w:noProof/>
        </w:rPr>
        <w:tab/>
        <w:t>h)</w:t>
      </w:r>
      <w:r>
        <w:rPr>
          <w:noProof/>
        </w:rPr>
        <w:tab/>
        <w:t>podporuje multidisciplinární přístupy k inovacím, včetně začlenění technologických, sociálních a netechnologických řešení, organizačních přístupů a nových obchodních modelů;</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čl. 1 bod 4 písm. e) (přizpůsobený)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nový</w:t>
      </w:r>
    </w:p>
    <w:p>
      <w:pPr>
        <w:pStyle w:val="Point0"/>
        <w:rPr>
          <w:noProof/>
        </w:rPr>
      </w:pPr>
      <w:r>
        <w:rPr>
          <w:noProof/>
        </w:rPr>
        <w:tab/>
        <w:t>i)</w:t>
      </w:r>
      <w:r>
        <w:rPr>
          <w:noProof/>
        </w:rPr>
        <w:tab/>
        <w:t>zajišťuje doplňkovost a součinnost mezi činnostmi EIT a jinými programy Unie tam, kde je to vhodné;</w:t>
      </w:r>
    </w:p>
    <w:p>
      <w:pPr>
        <w:pStyle w:val="Point0"/>
        <w:rPr>
          <w:noProof/>
          <w:highlight w:val="lightGray"/>
        </w:rPr>
      </w:pPr>
      <w:r>
        <w:rPr>
          <w:noProof/>
        </w:rPr>
        <w:tab/>
      </w:r>
      <w:r>
        <w:rPr>
          <w:rStyle w:val="CRRefonteDeleted"/>
          <w:noProof/>
          <w:highlight w:val="lightGray"/>
        </w:rPr>
        <w:t>j)</w:t>
      </w:r>
      <w:r>
        <w:rPr>
          <w:rStyle w:val="CRRefonteDeleted"/>
          <w:noProof/>
          <w:highlight w:val="lightGray"/>
        </w:rPr>
        <w:tab/>
        <w:t>podporuje znalostní a inovační společenství jako vynikající inovační partnery uvnitř i mimo území Unie;</w:t>
      </w:r>
    </w:p>
    <w:p>
      <w:pPr>
        <w:pStyle w:val="Point0"/>
        <w:rPr>
          <w:noProof/>
        </w:rPr>
      </w:pPr>
      <w:r>
        <w:rPr>
          <w:noProof/>
        </w:rPr>
        <w:tab/>
      </w:r>
      <w:r>
        <w:rPr>
          <w:rStyle w:val="CRMinorChangeAdded"/>
          <w:noProof/>
        </w:rPr>
        <w:t>j</w:t>
      </w:r>
      <w:r>
        <w:rPr>
          <w:rStyle w:val="CRMinorChangeDeleted"/>
          <w:noProof/>
        </w:rPr>
        <w:t>k</w:t>
      </w:r>
      <w:r>
        <w:rPr>
          <w:noProof/>
        </w:rPr>
        <w:t xml:space="preserve">) </w:t>
      </w:r>
      <w:r>
        <w:rPr>
          <w:noProof/>
        </w:rPr>
        <w:tab/>
      </w:r>
      <w:r>
        <w:rPr>
          <w:rStyle w:val="CRDeleted"/>
          <w:noProof/>
        </w:rPr>
        <w:t>zřídí</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w:t>
      </w:r>
      <w:r>
        <w:rPr>
          <w:noProof/>
          <w:color w:val="000000"/>
        </w:rPr>
        <w:t>organizuje pravidelná</w:t>
      </w:r>
      <w:r>
        <w:rPr>
          <w:b/>
          <w:noProof/>
          <w:color w:val="000000"/>
        </w:rPr>
        <w:t xml:space="preserve"> </w:t>
      </w:r>
      <w:r>
        <w:rPr>
          <w:noProof/>
          <w:color w:val="000000"/>
        </w:rPr>
        <w:t>zasedání</w:t>
      </w:r>
      <w:r>
        <w:rPr>
          <w:noProof/>
        </w:rPr>
        <w:t>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color w:val="000000"/>
        </w:rPr>
        <w:t xml:space="preserve"> </w:t>
      </w:r>
      <w:r>
        <w:rPr>
          <w:noProof/>
        </w:rPr>
        <w:t>fóra zúčastněných stran, aby je informoval o činnostech EIT, jeho zkušenostech, osvědčených postupech a příspěvku k politikám a cílům Unie v oblasti inovací, výzkumu a vzdělávání a aby umožnil zúčastněným stranám vyjádřit svůj názor</w:t>
      </w:r>
      <w:r>
        <w:rPr>
          <w:rStyle w:val="CRMinorChangeAdded"/>
          <w:noProof/>
        </w:rPr>
        <w:t>;</w:t>
      </w:r>
      <w:r>
        <w:rPr>
          <w:rStyle w:val="CRMinorChangeDeleted"/>
          <w:noProof/>
        </w:rPr>
        <w:t>.</w:t>
      </w:r>
      <w:r>
        <w:rPr>
          <w:noProof/>
        </w:rPr>
        <w:t xml:space="preserve"> </w:t>
      </w:r>
      <w:r>
        <w:rPr>
          <w:rStyle w:val="CRRefonteDeleted"/>
          <w:noProof/>
          <w:highlight w:val="lightGray"/>
        </w:rPr>
        <w:t>Zasedání fóra zúčastněných stran se svolává alespoň jednou ročně.</w:t>
      </w:r>
    </w:p>
    <w:p>
      <w:pPr>
        <w:pStyle w:val="Point0"/>
        <w:ind w:firstLine="0"/>
        <w:rPr>
          <w:rStyle w:val="CRMinorChangeDeleted"/>
          <w:noProof/>
        </w:rPr>
      </w:pPr>
      <w:r>
        <w:rPr>
          <w:rStyle w:val="CRMinorChangeAdded"/>
          <w:noProof/>
        </w:rPr>
        <w:t>k)</w:t>
      </w:r>
      <w:r>
        <w:rPr>
          <w:noProof/>
        </w:rPr>
        <w:tab/>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w:t>
      </w:r>
      <w:r>
        <w:rPr>
          <w:noProof/>
          <w:color w:val="000000"/>
        </w:rPr>
        <w:t>organizuje zasedání</w:t>
      </w:r>
      <w:r>
        <w:rPr>
          <w:noProof/>
        </w:rPr>
        <w:t>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skupiny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zástupců členských států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 xml:space="preserve"> alespoň dvakrát ročně, nezávisle na</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w:t>
      </w:r>
      <w:r>
        <w:rPr>
          <w:rStyle w:val="CRRefonteDeleted"/>
          <w:noProof/>
          <w:highlight w:val="lightGray"/>
        </w:rPr>
        <w:t>se scházejí ve zvláštním složení</w:t>
      </w:r>
      <w:r>
        <w:rPr>
          <w:noProof/>
        </w:rPr>
        <w:t xml:space="preserve"> </w:t>
      </w:r>
      <w:r>
        <w:rPr>
          <w:rStyle w:val="CRDeleted"/>
          <w:noProof/>
        </w:rPr>
        <w:t>zasedání</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w:t>
      </w:r>
      <w:r>
        <w:rPr>
          <w:noProof/>
          <w:color w:val="000000"/>
        </w:rPr>
        <w:t>zasedáních</w:t>
      </w:r>
      <w:r>
        <w:rPr>
          <w:noProof/>
        </w:rPr>
        <w:t>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color w:val="000000"/>
        </w:rPr>
        <w:t xml:space="preserve"> </w:t>
      </w:r>
      <w:r>
        <w:rPr>
          <w:noProof/>
        </w:rPr>
        <w:t xml:space="preserve">fóra zúčastněných stran, aby zaručili odpovídající komunikaci a tok informací mezi nimi a EIT a aby byli informováni o dosažených úspěších, mohli EIT a znalostním a inovačním společenstvím poskytovat poradenství a sdílet s nimi zkušenosti.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Skupina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zástupců členských států </w:t>
      </w:r>
      <w:r>
        <w:rPr>
          <w:rStyle w:val="CRRefonteDeleted"/>
          <w:noProof/>
          <w:highlight w:val="lightGray"/>
        </w:rPr>
        <w:t>ve zvláštním složení</w:t>
      </w:r>
      <w:r>
        <w:rPr>
          <w:noProof/>
        </w:rPr>
        <w:t xml:space="preserve"> </w:t>
      </w:r>
      <w:r>
        <w:rPr>
          <w:rStyle w:val="CRRefonteDeleted"/>
          <w:noProof/>
          <w:highlight w:val="lightGray"/>
        </w:rPr>
        <w:t>v rámci fóra zúčastněných stran</w:t>
      </w:r>
      <w:r>
        <w:rPr>
          <w:noProof/>
        </w:rPr>
        <w:t xml:space="preserve"> rovněž zajistí vhodnou součinnost a doplňkovost činností EIT a znalostních a inovačních společenství s vnitrostátními programy a iniciativami, včetně případného vnitrostátního spolufinancování činností znalostních a inovačních společenství</w:t>
      </w:r>
      <w:r>
        <w:rPr>
          <w:rStyle w:val="CRMinorChangeAdded"/>
          <w:noProof/>
        </w:rPr>
        <w:t>;</w:t>
      </w:r>
      <w:r>
        <w:rPr>
          <w:rStyle w:val="CRMinorChangeDeleted"/>
          <w:noProof/>
        </w:rPr>
        <w:t>.</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pStyle w:val="Point0"/>
        <w:ind w:firstLine="0"/>
        <w:rPr>
          <w:noProof/>
        </w:rPr>
      </w:pPr>
      <w:r>
        <w:rPr>
          <w:noProof/>
          <w:highlight w:val="lightGray"/>
        </w:rPr>
        <w:t xml:space="preserve"> l)</w:t>
      </w:r>
      <w:r>
        <w:rPr>
          <w:noProof/>
          <w:highlight w:val="lightGray"/>
        </w:rPr>
        <w:tab/>
      </w:r>
      <w:r>
        <w:rPr>
          <w:noProof/>
          <w:color w:val="000000"/>
          <w:highlight w:val="lightGray"/>
        </w:rPr>
        <w:t>vytváří a koordinuje podpůrné činnosti prováděné znalostními a inovačními společenstvími pro rozvoj podnikatelské a inovační kapacity vysokoškolských institucí a jejich začlenění do inovačních ekosystémů.</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w:t>
      </w:r>
    </w:p>
    <w:p>
      <w:pPr>
        <w:pStyle w:val="CRReference"/>
        <w:rPr>
          <w:rStyle w:val="CRRefonteDeleted"/>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pPr>
        <w:rPr>
          <w:noProof/>
          <w:highlight w:val="lightGray"/>
        </w:rPr>
      </w:pPr>
      <w:r>
        <w:rPr>
          <w:rStyle w:val="CRRefonteDeleted"/>
          <w:noProof/>
          <w:highlight w:val="lightGray"/>
        </w:rPr>
        <w:t>2.</w:t>
      </w:r>
      <w:r>
        <w:rPr>
          <w:rStyle w:val="CRRefonteDeleted"/>
          <w:noProof/>
          <w:highlight w:val="lightGray"/>
        </w:rPr>
        <w:tab/>
        <w:t>EIT má pravomoc zřídit nadaci (dále jen „nadace EIT“) se zvláštním cílem prosazovat a podporovat činnosti EIT.</w:t>
      </w:r>
    </w:p>
    <w:p>
      <w:pPr>
        <w:pStyle w:val="Titrearticle"/>
        <w:rPr>
          <w:noProof/>
        </w:rPr>
      </w:pPr>
      <w:r>
        <w:rPr>
          <w:noProof/>
        </w:rPr>
        <w:t>Článek </w:t>
      </w:r>
      <w:r>
        <w:rPr>
          <w:rStyle w:val="CRMinorChangeAdded"/>
          <w:noProof/>
        </w:rPr>
        <w:t>7</w:t>
      </w:r>
      <w:r>
        <w:rPr>
          <w:rStyle w:val="CRMinorChangeDeleted"/>
          <w:noProof/>
        </w:rPr>
        <w:t>6</w:t>
      </w:r>
    </w:p>
    <w:p>
      <w:pPr>
        <w:pStyle w:val="NormalCentered"/>
        <w:rPr>
          <w:b/>
          <w:bCs/>
          <w:noProof/>
        </w:rPr>
      </w:pPr>
      <w:r>
        <w:rPr>
          <w:b/>
          <w:bCs/>
          <w:noProof/>
        </w:rPr>
        <w:t>Znalostní a inovační společenství</w:t>
      </w:r>
    </w:p>
    <w:p>
      <w:pPr>
        <w:rPr>
          <w:noProof/>
        </w:rPr>
      </w:pPr>
      <w:r>
        <w:rPr>
          <w:noProof/>
        </w:rPr>
        <w:t>1.</w:t>
      </w:r>
      <w:r>
        <w:rPr>
          <w:noProof/>
        </w:rPr>
        <w:tab/>
        <w:t>Znalostní a inovační společenství se zejména zabývají:</w:t>
      </w:r>
    </w:p>
    <w:p>
      <w:pPr>
        <w:pStyle w:val="Point0"/>
        <w:rPr>
          <w:noProof/>
        </w:rPr>
      </w:pPr>
      <w:r>
        <w:rPr>
          <w:noProof/>
        </w:rPr>
        <w:tab/>
        <w:t>a)</w:t>
      </w:r>
      <w:r>
        <w:rPr>
          <w:noProof/>
        </w:rPr>
        <w:tab/>
        <w:t xml:space="preserve">inovačními činnostmi a investicemi s evropskou přidanou hodnotou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včetně podpory zakládání a rozvoje inovativních podniků,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plně integrujícími rozměr vysokoškolského vzdělávání a výzkumný rozměr za účelem získání kritického množství, a to podporou šíření a využívání výsledků;</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čl. 1 bod 5 písm. a) (přizpůsobený)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nový</w:t>
      </w:r>
    </w:p>
    <w:p>
      <w:pPr>
        <w:pStyle w:val="Point0"/>
        <w:rPr>
          <w:noProof/>
        </w:rPr>
      </w:pPr>
      <w:r>
        <w:rPr>
          <w:noProof/>
        </w:rPr>
        <w:tab/>
        <w:t>b)</w:t>
      </w:r>
      <w:r>
        <w:rPr>
          <w:noProof/>
        </w:rPr>
        <w:tab/>
      </w:r>
      <w:r>
        <w:rPr>
          <w:rStyle w:val="CRRefonteDeleted"/>
          <w:noProof/>
          <w:highlight w:val="lightGray"/>
        </w:rPr>
        <w:t>špičkovým výzkumem</w:t>
      </w:r>
      <w:r>
        <w:rPr>
          <w:noProof/>
        </w:rPr>
        <w:t xml:space="preserve">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experimentováním, vývojem prototypů a demonstrací</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color w:val="000000"/>
        </w:rPr>
        <w:t xml:space="preserve"> </w:t>
      </w:r>
      <w:r>
        <w:rPr>
          <w:noProof/>
        </w:rPr>
        <w:t xml:space="preserve">, jež jsou založeny na inovacích v oblastech klíčového hospodářského a společenského zájmu a vycházejí z výsledků </w:t>
      </w:r>
      <w:r>
        <w:rPr>
          <w:rStyle w:val="CRDeleted"/>
          <w:noProof/>
        </w:rPr>
        <w:t>evropského</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unijního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 vnitrostátního výzkumu, přičemž mohou posílit </w:t>
      </w:r>
      <w:r>
        <w:rPr>
          <w:rStyle w:val="CRDeleted"/>
          <w:noProof/>
        </w:rPr>
        <w:t>evropskou</w:t>
      </w:r>
      <w:r>
        <w:rPr>
          <w:noProof/>
        </w:rPr>
        <w:t xml:space="preserve"> konkurenceschopnost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na mezinárodní úrovni a nalézt řešení pro zásadní výzvy, jímž evropská společnost čelí;</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čl. 1 bod 5 písm. a)</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nový</w:t>
      </w:r>
    </w:p>
    <w:p>
      <w:pPr>
        <w:pStyle w:val="Point0"/>
        <w:rPr>
          <w:noProof/>
        </w:rPr>
      </w:pPr>
      <w:r>
        <w:rPr>
          <w:noProof/>
        </w:rPr>
        <w:tab/>
        <w:t>c)</w:t>
      </w:r>
      <w:r>
        <w:rPr>
          <w:noProof/>
        </w:rPr>
        <w:tab/>
        <w:t xml:space="preserve">vzdělávacími a školicími činnostmi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zejména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na magisterské a doktorandské úrovni, stejně jako kurzy odborné přípravy v oborech, které mají potenciál naplnit budoucí evropské společensko-hospodářské potřeby a které rozšiřují talentovou základnu Unie, podporují rozvoj dovedností souvisejících s inovacemi, zlepšení řídicích a podnikatelských dovedností a mobilitu výzkumných pracovníků a studentů a podporují sdílení znalostí, mentorství a spolupráci mezi osobami, které obdržely tituly označené jako tituly EIT a absolvovaly odborné vzdělávání EIT;</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čl. 1 bod 5 písm. a)</w:t>
      </w:r>
    </w:p>
    <w:p>
      <w:pPr>
        <w:pStyle w:val="Point0"/>
        <w:rPr>
          <w:noProof/>
        </w:rPr>
      </w:pPr>
      <w:r>
        <w:rPr>
          <w:noProof/>
        </w:rPr>
        <w:tab/>
        <w:t>d)</w:t>
      </w:r>
      <w:r>
        <w:rPr>
          <w:noProof/>
        </w:rPr>
        <w:tab/>
        <w:t>informační činností a šířením osvědčených postupů v oblasti inovací se zaměřením na rozvoj spolupráce mezi vysokoškolským vzděláváním, výzkumem a podnikatelskou sférou, včetně odvětví služeb a financí;</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čl. 1 bod 5 písm. a)</w:t>
      </w:r>
    </w:p>
    <w:p>
      <w:pPr>
        <w:pStyle w:val="Point0"/>
        <w:rPr>
          <w:noProof/>
        </w:rPr>
      </w:pPr>
      <w:r>
        <w:rPr>
          <w:noProof/>
        </w:rPr>
        <w:tab/>
        <w:t>e)</w:t>
      </w:r>
      <w:r>
        <w:rPr>
          <w:noProof/>
        </w:rPr>
        <w:tab/>
        <w:t>v případě potřeby hledáním součinnosti a doplňkovosti mezi činnostmi znalostních a inovačních společenství a stávajícími evropskými, vnitrostátními a regionálními programy.</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čl. 1 bod 5 písm. b) (přizpůsobený)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nový</w:t>
      </w:r>
    </w:p>
    <w:p>
      <w:pPr>
        <w:rPr>
          <w:noProof/>
        </w:rPr>
      </w:pPr>
      <w:r>
        <w:rPr>
          <w:noProof/>
        </w:rPr>
        <w:t>2.</w:t>
      </w:r>
      <w:r>
        <w:rPr>
          <w:noProof/>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Aniž jsou dotčeny rámcové dohody o partnerství a grantové dohody mezi EIT a znalostními a inovačními společenstvími,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mají znalostní a inovační společenství značnou celkovou nezávislost při určování své vnitřní organizace a struktury, jakož i svých konkrétních programů a pracovních postupů. Znalostní a inovační společenství především:</w:t>
      </w:r>
    </w:p>
    <w:p>
      <w:pPr>
        <w:pStyle w:val="Point0"/>
        <w:rPr>
          <w:noProof/>
        </w:rPr>
      </w:pPr>
      <w:r>
        <w:rPr>
          <w:noProof/>
        </w:rPr>
        <w:tab/>
        <w:t>a)</w:t>
      </w:r>
      <w:r>
        <w:rPr>
          <w:noProof/>
        </w:rPr>
        <w:tab/>
        <w:t xml:space="preserve">stanovují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vnitřní</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color w:val="000000"/>
        </w:rPr>
        <w:t xml:space="preserve"> </w:t>
      </w:r>
      <w:r>
        <w:rPr>
          <w:noProof/>
        </w:rPr>
        <w:t>opatření v oblasti řízení s ohledem na znalostní trojúhelník vysokoškolského vzdělávání, výzkumu a inovací;</w:t>
      </w:r>
    </w:p>
    <w:p>
      <w:pPr>
        <w:pStyle w:val="Point0"/>
        <w:rPr>
          <w:noProof/>
        </w:rPr>
      </w:pPr>
      <w:r>
        <w:rPr>
          <w:noProof/>
        </w:rPr>
        <w:tab/>
        <w:t>b)</w:t>
      </w:r>
      <w:r>
        <w:rPr>
          <w:noProof/>
        </w:rPr>
        <w:tab/>
      </w:r>
      <w:r>
        <w:rPr>
          <w:rStyle w:val="CRDeleted"/>
          <w:noProof/>
        </w:rPr>
        <w:t>mají za cíl otevřenost</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w:t>
      </w:r>
      <w:r>
        <w:rPr>
          <w:noProof/>
          <w:color w:val="000000"/>
        </w:rPr>
        <w:t>zajistí, že budou otevřená</w:t>
      </w:r>
      <w:r>
        <w:rPr>
          <w:noProof/>
        </w:rPr>
        <w:t>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color w:val="000000"/>
        </w:rPr>
        <w:t xml:space="preserve"> </w:t>
      </w:r>
      <w:r>
        <w:rPr>
          <w:noProof/>
        </w:rPr>
        <w:t>vůči novým členům, kdykoli tito členové představují přidanou hodnotu pro příslušné partnerství;</w:t>
      </w:r>
    </w:p>
    <w:p>
      <w:pPr>
        <w:pStyle w:val="Point0"/>
        <w:rPr>
          <w:noProof/>
        </w:rPr>
      </w:pPr>
      <w:r>
        <w:rPr>
          <w:noProof/>
        </w:rPr>
        <w:tab/>
        <w:t>c)</w:t>
      </w:r>
      <w:r>
        <w:rPr>
          <w:noProof/>
        </w:rPr>
        <w:tab/>
        <w:t>fungují otevřeným a transparentním způsobem v souladu se svými vnitřními pravidly;</w:t>
      </w:r>
    </w:p>
    <w:p>
      <w:pPr>
        <w:pStyle w:val="Point0"/>
        <w:rPr>
          <w:noProof/>
        </w:rPr>
      </w:pPr>
      <w:r>
        <w:rPr>
          <w:noProof/>
        </w:rPr>
        <w:tab/>
        <w:t>d)</w:t>
      </w:r>
      <w:r>
        <w:rPr>
          <w:noProof/>
        </w:rPr>
        <w:tab/>
        <w:t xml:space="preserve">stanovují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w:t>
      </w:r>
      <w:r>
        <w:rPr>
          <w:noProof/>
          <w:color w:val="000000"/>
        </w:rPr>
        <w:t>a realizují</w:t>
      </w:r>
      <w:r>
        <w:rPr>
          <w:noProof/>
        </w:rPr>
        <w:t>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color w:val="000000"/>
        </w:rPr>
        <w:t xml:space="preserve"> </w:t>
      </w:r>
      <w:r>
        <w:rPr>
          <w:noProof/>
        </w:rPr>
        <w:t xml:space="preserve">plány činnosti </w:t>
      </w:r>
      <w:r>
        <w:rPr>
          <w:rStyle w:val="CRRefonteDeleted"/>
          <w:noProof/>
          <w:highlight w:val="lightGray"/>
        </w:rPr>
        <w:t>obsahující cíle a klíčové ukazatele výkonnosti</w:t>
      </w:r>
      <w:r>
        <w:rPr>
          <w:noProof/>
        </w:rPr>
        <w:t>;</w:t>
      </w:r>
    </w:p>
    <w:p>
      <w:pPr>
        <w:pStyle w:val="Point0"/>
        <w:rPr>
          <w:noProof/>
        </w:rPr>
      </w:pPr>
      <w:r>
        <w:rPr>
          <w:noProof/>
        </w:rPr>
        <w:tab/>
        <w:t>e)</w:t>
      </w:r>
      <w:r>
        <w:rPr>
          <w:noProof/>
        </w:rPr>
        <w:tab/>
      </w:r>
      <w:r>
        <w:rPr>
          <w:rStyle w:val="CRDeleted"/>
          <w:noProof/>
        </w:rPr>
        <w:t>vypracovávají</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w:t>
      </w:r>
      <w:r>
        <w:rPr>
          <w:noProof/>
          <w:color w:val="000000"/>
        </w:rPr>
        <w:t>stanovují a realizují</w:t>
      </w:r>
      <w:r>
        <w:rPr>
          <w:noProof/>
        </w:rPr>
        <w:t>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color w:val="000000"/>
        </w:rPr>
        <w:t xml:space="preserve"> </w:t>
      </w:r>
      <w:r>
        <w:rPr>
          <w:noProof/>
        </w:rPr>
        <w:t>strategie pro finanční udržitelnost.</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pPr>
        <w:rPr>
          <w:noProof/>
        </w:rPr>
      </w:pPr>
      <w:r>
        <w:rPr>
          <w:noProof/>
        </w:rPr>
        <w:t>3.</w:t>
      </w:r>
      <w:r>
        <w:rPr>
          <w:noProof/>
        </w:rPr>
        <w:tab/>
        <w:t xml:space="preserve">Vztah mezi EIT a každým znalostním a inovačním společenstvím se zakládá na </w:t>
      </w:r>
      <w:r>
        <w:rPr>
          <w:rStyle w:val="CRRefonteDeleted"/>
          <w:noProof/>
          <w:highlight w:val="lightGray"/>
        </w:rPr>
        <w:t>smluvní vztah</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rámcových dohodách o partnerství a grantových dohodách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pStyle w:val="Titrearticle"/>
        <w:rPr>
          <w:noProof/>
          <w:highlight w:val="lightGray"/>
        </w:rPr>
      </w:pPr>
      <w:r>
        <w:rPr>
          <w:noProof/>
          <w:highlight w:val="lightGray"/>
        </w:rPr>
        <w:t>Článek 8</w:t>
      </w:r>
    </w:p>
    <w:p>
      <w:pPr>
        <w:pStyle w:val="NormalCentered"/>
        <w:rPr>
          <w:b/>
          <w:bCs/>
          <w:noProof/>
          <w:highlight w:val="lightGray"/>
        </w:rPr>
      </w:pPr>
      <w:r>
        <w:rPr>
          <w:b/>
          <w:bCs/>
          <w:noProof/>
          <w:highlight w:val="lightGray"/>
        </w:rPr>
        <w:t>Pravidla pro účast a šíření</w:t>
      </w:r>
    </w:p>
    <w:p>
      <w:pPr>
        <w:rPr>
          <w:noProof/>
          <w:highlight w:val="lightGray"/>
        </w:rPr>
      </w:pPr>
      <w:r>
        <w:rPr>
          <w:noProof/>
          <w:highlight w:val="lightGray"/>
        </w:rPr>
        <w:t>Použijí se pravidla pro účast a šíření platná pro rámcový program Unie pro podporu výzkumu a inovací. Odchylně od těchto pravidel:</w:t>
      </w:r>
    </w:p>
    <w:p>
      <w:pPr>
        <w:pStyle w:val="Point0"/>
        <w:ind w:hanging="130"/>
        <w:rPr>
          <w:noProof/>
          <w:highlight w:val="lightGray"/>
        </w:rPr>
      </w:pPr>
      <w:r>
        <w:rPr>
          <w:noProof/>
          <w:highlight w:val="lightGray"/>
        </w:rPr>
        <w:t>a)</w:t>
      </w:r>
      <w:r>
        <w:rPr>
          <w:noProof/>
          <w:highlight w:val="lightGray"/>
        </w:rPr>
        <w:tab/>
        <w:t>minimální podmínky pro vytvoření znalostního a inovačního společenství jsou stanoveny v čl. 9 odst. 3 a 4 tohoto nařízení;</w:t>
      </w:r>
    </w:p>
    <w:p>
      <w:pPr>
        <w:pStyle w:val="Point0"/>
        <w:ind w:hanging="130"/>
        <w:rPr>
          <w:noProof/>
          <w:highlight w:val="lightGray"/>
        </w:rPr>
      </w:pPr>
      <w:r>
        <w:rPr>
          <w:noProof/>
          <w:highlight w:val="lightGray"/>
        </w:rPr>
        <w:t>b)</w:t>
      </w:r>
      <w:r>
        <w:rPr>
          <w:noProof/>
          <w:highlight w:val="lightGray"/>
        </w:rPr>
        <w:tab/>
        <w:t>na činnosti znalostních a inovačních společenství s přidanou hodnotou se mohou použít zvláštní pravidla týkající se vlastnictví, přístupových práv, využívání a šíření.</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294/2008</w:t>
      </w:r>
    </w:p>
    <w:p>
      <w:pPr>
        <w:pStyle w:val="Titrearticle"/>
        <w:rPr>
          <w:noProof/>
        </w:rPr>
      </w:pPr>
      <w:r>
        <w:rPr>
          <w:noProof/>
        </w:rPr>
        <w:t>Článek </w:t>
      </w:r>
      <w:r>
        <w:rPr>
          <w:rStyle w:val="CRMinorChangeAdded"/>
          <w:noProof/>
        </w:rPr>
        <w:t>9</w:t>
      </w:r>
      <w:r>
        <w:rPr>
          <w:rStyle w:val="CRMinorChangeDeleted"/>
          <w:noProof/>
        </w:rPr>
        <w:t>7</w:t>
      </w:r>
    </w:p>
    <w:p>
      <w:pPr>
        <w:pStyle w:val="NormalCentered"/>
        <w:rPr>
          <w:b/>
          <w:bCs/>
          <w:noProof/>
        </w:rPr>
      </w:pPr>
      <w:r>
        <w:rPr>
          <w:b/>
          <w:bCs/>
          <w:noProof/>
        </w:rPr>
        <w:t>Výběr znalostních a inovačních společenství</w:t>
      </w:r>
    </w:p>
    <w:p>
      <w:pPr>
        <w:pStyle w:val="CRSeparator"/>
        <w:rPr>
          <w:noProof/>
        </w:rPr>
      </w:pPr>
    </w:p>
    <w:p>
      <w:pPr>
        <w:pStyle w:val="CRReference"/>
        <w:rPr>
          <w:noProof/>
          <w:highlight w:val="lightGray"/>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1292/2013 čl. 1 bod 6 písm. a) </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pPr>
        <w:rPr>
          <w:noProof/>
        </w:rPr>
      </w:pPr>
      <w:r>
        <w:rPr>
          <w:noProof/>
        </w:rPr>
        <w:t>1.</w:t>
      </w:r>
      <w:r>
        <w:rPr>
          <w:noProof/>
        </w:rPr>
        <w:tab/>
        <w:t xml:space="preserve">EIT vybere a určí ta partnerství, jež se mají stát znalostním a inovačním společenstvím, v konkurenčním, otevřeném a transparentním řízení. </w:t>
      </w:r>
      <w:r>
        <w:rPr>
          <w:rStyle w:val="CRRefonteDeleted"/>
          <w:noProof/>
          <w:highlight w:val="lightGray"/>
        </w:rPr>
        <w:t>EIT přijme a zveřejní podrobná</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Použijí se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kritéria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rámcového programu Unie pro podporu výzkumu a inovací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pro výběr </w:t>
      </w:r>
      <w:r>
        <w:rPr>
          <w:rStyle w:val="CRRefonteDeleted"/>
          <w:noProof/>
          <w:highlight w:val="lightGray"/>
        </w:rPr>
        <w:t>znalostních a inovačních společenství</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evropských partnerství. Správní rada EIT může tato kritéria dále specifikovat tím, že přijme a zveřejní kritéria pro výběr znalostních a inovačních společenství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na základě zásad excelence a významu pro inovace.</w:t>
      </w:r>
      <w:r>
        <w:rPr>
          <w:rStyle w:val="Heading5Char"/>
          <w:noProof/>
          <w:highlight w:val="lightGray"/>
        </w:rPr>
        <w:t xml:space="preserve"> </w:t>
      </w:r>
      <w:r>
        <w:rPr>
          <w:rStyle w:val="CRRefonteDeleted"/>
          <w:noProof/>
          <w:highlight w:val="lightGray"/>
        </w:rPr>
        <w:t>Procesu výběru se účastní externí a nezávislí odborníci.</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1292/2013 čl. 1 bod 6 písm. b)</w:t>
      </w:r>
    </w:p>
    <w:p>
      <w:pPr>
        <w:rPr>
          <w:noProof/>
        </w:rPr>
      </w:pPr>
      <w:r>
        <w:rPr>
          <w:rStyle w:val="CRMinorChangeAdded"/>
          <w:noProof/>
        </w:rPr>
        <w:t>2</w:t>
      </w:r>
      <w:r>
        <w:rPr>
          <w:rStyle w:val="CRMinorChangeDeleted"/>
          <w:noProof/>
        </w:rPr>
        <w:t>1a</w:t>
      </w:r>
      <w:r>
        <w:rPr>
          <w:noProof/>
        </w:rPr>
        <w:t>.</w:t>
      </w:r>
      <w:r>
        <w:rPr>
          <w:noProof/>
        </w:rPr>
        <w:tab/>
        <w:t>EIT zahájí výběr a určení znalostních a inovačních společenství v souladu s prioritními oblastmi a harmonogramem stanovenými ve strategickém programu inovací.</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1292/2013 čl. 1 bod 6 písm. c)</w:t>
      </w:r>
    </w:p>
    <w:p>
      <w:pPr>
        <w:rPr>
          <w:rStyle w:val="CRRefonteDeleted"/>
          <w:noProof/>
          <w:highlight w:val="lightGray"/>
        </w:rPr>
      </w:pPr>
      <w:r>
        <w:rPr>
          <w:rStyle w:val="CRRefonteDeleted"/>
          <w:noProof/>
          <w:highlight w:val="lightGray"/>
        </w:rPr>
        <w:t>2.</w:t>
      </w:r>
      <w:r>
        <w:rPr>
          <w:rStyle w:val="CRRefonteDeleted"/>
          <w:noProof/>
          <w:highlight w:val="lightGray"/>
        </w:rPr>
        <w:tab/>
        <w:t>V souladu se zásadami uvedenými v odstavci 1 kritéria pro výběr a určení znalostních a inovačních společenství zahrnují zejména:</w:t>
      </w:r>
    </w:p>
    <w:p>
      <w:pPr>
        <w:pStyle w:val="Point0"/>
        <w:rPr>
          <w:rStyle w:val="CRRefonteDeleted"/>
          <w:noProof/>
          <w:highlight w:val="lightGray"/>
        </w:rPr>
      </w:pPr>
      <w:r>
        <w:rPr>
          <w:rStyle w:val="CRRefonteDeleted"/>
          <w:noProof/>
          <w:highlight w:val="lightGray"/>
        </w:rPr>
        <w:tab/>
        <w:t>a)</w:t>
      </w:r>
      <w:r>
        <w:rPr>
          <w:rStyle w:val="CRRefonteDeleted"/>
          <w:noProof/>
          <w:highlight w:val="lightGray"/>
        </w:rPr>
        <w:tab/>
        <w:t>stávající a potenciální inovační kapacitu včetně podnikání v rámci partnerství a jeho vynikající výsledky v oblasti vysokoškolského vzdělávání, výzkumu a inovací;</w:t>
      </w:r>
    </w:p>
    <w:p>
      <w:pPr>
        <w:pStyle w:val="Point0"/>
        <w:rPr>
          <w:rStyle w:val="CRRefonteDeleted"/>
          <w:noProof/>
          <w:highlight w:val="lightGray"/>
        </w:rPr>
      </w:pPr>
      <w:r>
        <w:rPr>
          <w:rStyle w:val="CRRefonteDeleted"/>
          <w:noProof/>
          <w:highlight w:val="lightGray"/>
        </w:rPr>
        <w:tab/>
        <w:t>b)</w:t>
      </w:r>
      <w:r>
        <w:rPr>
          <w:rStyle w:val="CRRefonteDeleted"/>
          <w:noProof/>
          <w:highlight w:val="lightGray"/>
        </w:rPr>
        <w:tab/>
        <w:t>schopnost partnerství dosáhnout cílů strategického programu inovací a přispět tím k realizaci obecného cíle a priorit programu Horizont 2020;</w:t>
      </w:r>
    </w:p>
    <w:p>
      <w:pPr>
        <w:pStyle w:val="Point0"/>
        <w:rPr>
          <w:rStyle w:val="CRRefonteDeleted"/>
          <w:noProof/>
          <w:highlight w:val="lightGray"/>
        </w:rPr>
      </w:pPr>
      <w:r>
        <w:rPr>
          <w:rStyle w:val="CRRefonteDeleted"/>
          <w:noProof/>
          <w:highlight w:val="lightGray"/>
        </w:rPr>
        <w:tab/>
        <w:t>c)</w:t>
      </w:r>
      <w:r>
        <w:rPr>
          <w:rStyle w:val="CRRefonteDeleted"/>
          <w:noProof/>
          <w:highlight w:val="lightGray"/>
        </w:rPr>
        <w:tab/>
        <w:t>multidisciplinární přístup k inovacím, včetně začlenění technologických, společenských a netechnologických řešení;</w:t>
      </w:r>
    </w:p>
    <w:p>
      <w:pPr>
        <w:pStyle w:val="Point0"/>
        <w:rPr>
          <w:rStyle w:val="CRRefonteDeleted"/>
          <w:noProof/>
          <w:highlight w:val="lightGray"/>
        </w:rPr>
      </w:pPr>
      <w:r>
        <w:rPr>
          <w:rStyle w:val="CRRefonteDeleted"/>
          <w:noProof/>
          <w:highlight w:val="lightGray"/>
        </w:rPr>
        <w:tab/>
        <w:t>d)</w:t>
      </w:r>
      <w:r>
        <w:rPr>
          <w:rStyle w:val="CRRefonteDeleted"/>
          <w:noProof/>
          <w:highlight w:val="lightGray"/>
        </w:rPr>
        <w:tab/>
        <w:t>schopnost partnerství zajistit udržitelné, dlouhodobé a nezávislé financování, včetně významného a rostoucího příspěvku ze soukromého sektoru, průmyslu a služeb;</w:t>
      </w:r>
    </w:p>
    <w:p>
      <w:pPr>
        <w:pStyle w:val="Point0"/>
        <w:rPr>
          <w:rStyle w:val="CRRefonteDeleted"/>
          <w:noProof/>
          <w:highlight w:val="lightGray"/>
        </w:rPr>
      </w:pPr>
      <w:r>
        <w:rPr>
          <w:rStyle w:val="CRRefonteDeleted"/>
          <w:noProof/>
          <w:highlight w:val="lightGray"/>
        </w:rPr>
        <w:tab/>
        <w:t>e)</w:t>
      </w:r>
      <w:r>
        <w:rPr>
          <w:rStyle w:val="CRRefonteDeleted"/>
          <w:noProof/>
          <w:highlight w:val="lightGray"/>
        </w:rPr>
        <w:tab/>
        <w:t>vhodně vyváženou účast organizací, které působí ve znalostním trojúhelníku vysokoškolského vzdělávání, výzkumu a inovací, v partnerství;</w:t>
      </w:r>
    </w:p>
    <w:p>
      <w:pPr>
        <w:pStyle w:val="Point0"/>
        <w:rPr>
          <w:rStyle w:val="CRRefonteDeleted"/>
          <w:noProof/>
          <w:highlight w:val="lightGray"/>
        </w:rPr>
      </w:pPr>
      <w:r>
        <w:rPr>
          <w:rStyle w:val="CRRefonteDeleted"/>
          <w:noProof/>
          <w:highlight w:val="lightGray"/>
        </w:rPr>
        <w:tab/>
        <w:t>f)</w:t>
      </w:r>
      <w:r>
        <w:rPr>
          <w:rStyle w:val="CRRefonteDeleted"/>
          <w:noProof/>
          <w:highlight w:val="lightGray"/>
        </w:rPr>
        <w:tab/>
        <w:t>prokázání plánu správy duševního vlastnictví vhodného pro dané odvětví, včetně způsobu, jakým byly zohledněny příspěvky od jednotlivých partnerských organizací;</w:t>
      </w:r>
    </w:p>
    <w:p>
      <w:pPr>
        <w:pStyle w:val="Point0"/>
        <w:rPr>
          <w:rStyle w:val="CRRefonteDeleted"/>
          <w:noProof/>
          <w:highlight w:val="lightGray"/>
        </w:rPr>
      </w:pPr>
      <w:r>
        <w:rPr>
          <w:rStyle w:val="CRRefonteDeleted"/>
          <w:noProof/>
          <w:highlight w:val="lightGray"/>
        </w:rPr>
        <w:tab/>
        <w:t>g)</w:t>
      </w:r>
      <w:r>
        <w:rPr>
          <w:rStyle w:val="CRRefonteDeleted"/>
          <w:noProof/>
          <w:highlight w:val="lightGray"/>
        </w:rPr>
        <w:tab/>
        <w:t>opatření na podporu zapojení soukromého sektoru a spolupráce s ním, včetně finančního sektoru a zejména malých a středních podniků, jakož i zakládání nových podniků, osamostatněných podniků a malých a středních podniků s cílem obchodního využití výsledků činnosti znalostních a inovačních společenství;</w:t>
      </w:r>
    </w:p>
    <w:p>
      <w:pPr>
        <w:pStyle w:val="Point0"/>
        <w:rPr>
          <w:rStyle w:val="CRRefonteDeleted"/>
          <w:noProof/>
          <w:highlight w:val="lightGray"/>
        </w:rPr>
      </w:pPr>
      <w:r>
        <w:rPr>
          <w:rStyle w:val="CRRefonteDeleted"/>
          <w:noProof/>
          <w:highlight w:val="lightGray"/>
        </w:rPr>
        <w:tab/>
        <w:t>h)</w:t>
      </w:r>
      <w:r>
        <w:rPr>
          <w:rStyle w:val="CRRefonteDeleted"/>
          <w:noProof/>
          <w:highlight w:val="lightGray"/>
        </w:rPr>
        <w:tab/>
        <w:t>v náležitých případech připravenost zavést konkrétní opatření zaměřená na interakci a spolupráci s veřejným sektorem a třetím sektorem;</w:t>
      </w:r>
    </w:p>
    <w:p>
      <w:pPr>
        <w:pStyle w:val="Point0"/>
        <w:rPr>
          <w:rStyle w:val="CRRefonteDeleted"/>
          <w:noProof/>
          <w:highlight w:val="lightGray"/>
        </w:rPr>
      </w:pPr>
      <w:r>
        <w:rPr>
          <w:rStyle w:val="CRRefonteDeleted"/>
          <w:noProof/>
          <w:highlight w:val="lightGray"/>
        </w:rPr>
        <w:tab/>
        <w:t>i)</w:t>
      </w:r>
      <w:r>
        <w:rPr>
          <w:rStyle w:val="CRRefonteDeleted"/>
          <w:noProof/>
          <w:highlight w:val="lightGray"/>
        </w:rPr>
        <w:tab/>
        <w:t>připravenost spolupracovat s dalšími organizacemi a sítěmi mimo znalostní a inovační společenství s cílem sdílet osvědčené postupy a excelenci;</w:t>
      </w:r>
    </w:p>
    <w:p>
      <w:pPr>
        <w:pStyle w:val="Point0"/>
        <w:rPr>
          <w:rStyle w:val="CRRefonteDeleted"/>
          <w:noProof/>
          <w:highlight w:val="lightGray"/>
        </w:rPr>
      </w:pPr>
      <w:r>
        <w:rPr>
          <w:rStyle w:val="CRRefonteDeleted"/>
          <w:noProof/>
          <w:highlight w:val="lightGray"/>
        </w:rPr>
        <w:tab/>
        <w:t>j)</w:t>
      </w:r>
      <w:r>
        <w:rPr>
          <w:rStyle w:val="CRRefonteDeleted"/>
          <w:noProof/>
          <w:highlight w:val="lightGray"/>
        </w:rPr>
        <w:tab/>
        <w:t>připravenost k vypracování konkrétních návrhů na zajištění součinnosti s iniciativami Unie a jinými relevantními iniciativami.</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1292/2013 čl. 1 bod 6 písm. d)</w:t>
      </w:r>
    </w:p>
    <w:p>
      <w:pPr>
        <w:pStyle w:val="CRReference"/>
        <w:rPr>
          <w:rStyle w:val="CRMinorChangeAdded"/>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pPr>
        <w:rPr>
          <w:noProof/>
        </w:rPr>
      </w:pPr>
      <w:r>
        <w:rPr>
          <w:noProof/>
        </w:rPr>
        <w:t>3.</w:t>
      </w:r>
      <w:r>
        <w:rPr>
          <w:noProof/>
        </w:rPr>
        <w:tab/>
        <w:t xml:space="preserve">Minimální podmínkou pro vytvoření znalostního a inovačního společenství je účast alespoň tří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nezávislých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partnerských organizací usazených alespoň ve třech různých členských státech. </w:t>
      </w:r>
      <w:r>
        <w:rPr>
          <w:rStyle w:val="CRRefonteDeleted"/>
          <w:noProof/>
          <w:highlight w:val="lightGray"/>
        </w:rPr>
        <w:t>Všechny tyto partnerské organizace musí být vzájemně nezávislé ve smyslu článku 8 nařízení Evropského parlamentu a Rady (EU) č. 1290/2013</w:t>
      </w:r>
      <w:r>
        <w:rPr>
          <w:rStyle w:val="CRRefonteDeleted"/>
          <w:noProof/>
          <w:highlight w:val="lightGray"/>
          <w:vertAlign w:val="superscript"/>
        </w:rPr>
        <w:footnoteReference w:id="19"/>
      </w:r>
      <w:r>
        <w:rPr>
          <w:rStyle w:val="CRRefonteDeleted"/>
          <w:noProof/>
          <w:highlight w:val="lightGray"/>
        </w:rPr>
        <w:t>.</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1292/2013 čl. 1 bod 6 písm. e)</w:t>
      </w:r>
    </w:p>
    <w:p>
      <w:pPr>
        <w:pStyle w:val="CRReference"/>
        <w:rPr>
          <w:rStyle w:val="CRMinorChangeAdded"/>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pPr>
        <w:rPr>
          <w:noProof/>
        </w:rPr>
      </w:pPr>
      <w:r>
        <w:rPr>
          <w:noProof/>
        </w:rPr>
        <w:t>4.</w:t>
      </w:r>
      <w:r>
        <w:rPr>
          <w:noProof/>
        </w:rPr>
        <w:tab/>
        <w:t xml:space="preserve">Kromě splnění podmínek stanovených v odstavci 3 musí být alespoň dvě třetiny partnerských organizací tvořících znalostní a inovační společenství usazeny v členských státech. Součástí každého znalostního a inovačního společenství musí být alespoň jedna vysokoškolská instituce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t>
      </w:r>
      <w:r>
        <w:rPr>
          <w:noProof/>
          <w:color w:val="000000"/>
          <w:highlight w:val="lightGray"/>
        </w:rPr>
        <w:t>, jedna výzkumná organizace</w:t>
      </w:r>
      <w:r>
        <w:rPr>
          <w:noProof/>
          <w:highlight w:val="lightGray"/>
        </w:rPr>
        <w: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color w:val="000000"/>
        </w:rPr>
        <w:t xml:space="preserve"> </w:t>
      </w:r>
      <w:r>
        <w:rPr>
          <w:noProof/>
        </w:rPr>
        <w:t>a jedna soukromá společnost.</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1292/2013 čl. 1 bod 6 písm. f)</w:t>
      </w:r>
    </w:p>
    <w:p>
      <w:pPr>
        <w:pStyle w:val="CRReference"/>
        <w:rPr>
          <w:rStyle w:val="CRMinorChangeAdded"/>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pPr>
        <w:rPr>
          <w:noProof/>
        </w:rPr>
      </w:pPr>
      <w:r>
        <w:rPr>
          <w:noProof/>
        </w:rPr>
        <w:t>5.</w:t>
      </w:r>
      <w:r>
        <w:rPr>
          <w:noProof/>
        </w:rPr>
        <w:tab/>
        <w:t xml:space="preserve">EIT ještě před zahájením procesu výběru nových znalostních a inovačních společenství přijme a zveřejní kritéria a postupy pro financování, sledování a hodnocení činností znalostních a inovačních společenství.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Skupina </w:t>
      </w:r>
      <w:r>
        <w:rPr>
          <w:noProof/>
          <w:highlight w:val="lightGray"/>
        </w:rPr>
        <w:fldChar w:fldCharType="begin"/>
      </w:r>
      <w:r>
        <w:rPr>
          <w:noProof/>
          <w:highlight w:val="lightGray"/>
        </w:rPr>
        <w:instrText xml:space="preserve"> QUOTE "</w:instrText>
      </w:r>
      <w:r>
        <w:rPr>
          <w:rStyle w:val="CRMarker"/>
          <w:rFonts w:hint="eastAsia"/>
          <w:noProof/>
          <w:highlight w:val="lightGray"/>
        </w:rPr>
        <w:instrText>ï</w:instrText>
      </w:r>
      <w:r>
        <w:rPr>
          <w:noProof/>
          <w:highlight w:val="lightGray"/>
        </w:rPr>
        <w:instrText xml:space="preserve">" </w:instrText>
      </w:r>
      <w:r>
        <w:rPr>
          <w:noProof/>
          <w:highlight w:val="lightGray"/>
        </w:rPr>
        <w:fldChar w:fldCharType="separate"/>
      </w:r>
      <w:r>
        <w:rPr>
          <w:rStyle w:val="CRMarker"/>
          <w:rFonts w:hint="eastAsia"/>
          <w:noProof/>
          <w:highlight w:val="lightGray"/>
        </w:rPr>
        <w:t>ï</w:t>
      </w:r>
      <w:r>
        <w:rPr>
          <w:noProof/>
          <w:highlight w:val="lightGray"/>
        </w:rPr>
        <w:fldChar w:fldCharType="end"/>
      </w:r>
      <w:r>
        <w:rPr>
          <w:noProof/>
        </w:rPr>
        <w:t xml:space="preserve"> zástupců členských států </w:t>
      </w:r>
      <w:r>
        <w:rPr>
          <w:rStyle w:val="CRRefonteDeleted"/>
          <w:noProof/>
          <w:highlight w:val="lightGray"/>
        </w:rPr>
        <w:t>ve zvláštním složení</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uvedená v čl. 6 písm. k) </w:t>
      </w:r>
      <w:r>
        <w:rPr>
          <w:noProof/>
          <w:highlight w:val="lightGray"/>
        </w:rPr>
        <w:fldChar w:fldCharType="begin"/>
      </w:r>
      <w:r>
        <w:rPr>
          <w:noProof/>
          <w:highlight w:val="lightGray"/>
        </w:rPr>
        <w:instrText xml:space="preserve"> QUOTE "</w:instrText>
      </w:r>
      <w:r>
        <w:rPr>
          <w:rStyle w:val="CRMarker"/>
          <w:rFonts w:hint="eastAsia"/>
          <w:noProof/>
          <w:highlight w:val="lightGray"/>
        </w:rPr>
        <w:instrText>ï</w:instrText>
      </w:r>
      <w:r>
        <w:rPr>
          <w:noProof/>
          <w:highlight w:val="lightGray"/>
        </w:rPr>
        <w:instrText xml:space="preserve">" </w:instrText>
      </w:r>
      <w:r>
        <w:rPr>
          <w:noProof/>
          <w:highlight w:val="lightGray"/>
        </w:rPr>
        <w:fldChar w:fldCharType="separate"/>
      </w:r>
      <w:r>
        <w:rPr>
          <w:rStyle w:val="CRMarker"/>
          <w:rFonts w:hint="eastAsia"/>
          <w:noProof/>
          <w:highlight w:val="lightGray"/>
        </w:rPr>
        <w:t>ï</w:t>
      </w:r>
      <w:r>
        <w:rPr>
          <w:noProof/>
          <w:highlight w:val="lightGray"/>
        </w:rPr>
        <w:fldChar w:fldCharType="end"/>
      </w:r>
      <w:r>
        <w:rPr>
          <w:noProof/>
        </w:rPr>
        <w:t xml:space="preserve"> </w:t>
      </w:r>
      <w:r>
        <w:rPr>
          <w:rStyle w:val="CRRefonteDeleted"/>
          <w:noProof/>
          <w:highlight w:val="lightGray"/>
        </w:rPr>
        <w:t>v rámci fóra zúčastněných stran</w:t>
      </w:r>
      <w:r>
        <w:rPr>
          <w:noProof/>
        </w:rPr>
        <w:t xml:space="preserve"> je o nich ihned informována.</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čl. 1 bod 7 (přizpůsobený)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nový</w:t>
      </w:r>
    </w:p>
    <w:p>
      <w:pPr>
        <w:pStyle w:val="Titrearticle"/>
        <w:rPr>
          <w:noProof/>
        </w:rPr>
      </w:pPr>
      <w:r>
        <w:rPr>
          <w:noProof/>
        </w:rPr>
        <w:t xml:space="preserve">Článek </w:t>
      </w:r>
      <w:r>
        <w:rPr>
          <w:rStyle w:val="CRMinorChangeAdded"/>
          <w:noProof/>
        </w:rPr>
        <w:t>10</w:t>
      </w:r>
      <w:r>
        <w:rPr>
          <w:rStyle w:val="CRDeleted"/>
          <w:noProof/>
        </w:rPr>
        <w:t>7a</w:t>
      </w:r>
    </w:p>
    <w:p>
      <w:pPr>
        <w:pStyle w:val="NormalCentered"/>
        <w:rPr>
          <w:b/>
          <w:bCs/>
          <w:noProof/>
        </w:rPr>
      </w:pPr>
      <w:r>
        <w:rPr>
          <w:b/>
          <w:bCs/>
          <w:noProof/>
        </w:rPr>
        <w:t>Zásady hodnocení a sledování znalostních a inovačních společenství</w:t>
      </w:r>
    </w:p>
    <w:p>
      <w:pPr>
        <w:rPr>
          <w:noProof/>
        </w:rPr>
      </w:pPr>
      <w:r>
        <w:rPr>
          <w:noProof/>
        </w:rPr>
        <w:t xml:space="preserve">EIT na základě </w:t>
      </w:r>
      <w:r>
        <w:rPr>
          <w:rStyle w:val="CRRefonteDeleted"/>
          <w:noProof/>
          <w:highlight w:val="lightGray"/>
        </w:rPr>
        <w:t>klíčových</w:t>
      </w:r>
      <w:r>
        <w:rPr>
          <w:noProof/>
        </w:rPr>
        <w:t xml:space="preserve"> ukazatelů </w:t>
      </w:r>
      <w:r>
        <w:rPr>
          <w:rStyle w:val="CRRefonteDeleted"/>
          <w:noProof/>
          <w:highlight w:val="lightGray"/>
        </w:rPr>
        <w:t>výkonnosti</w:t>
      </w:r>
      <w:r>
        <w:rPr>
          <w:noProof/>
        </w:rPr>
        <w:t xml:space="preserve"> stanovených mimo jiné v </w:t>
      </w:r>
      <w:r>
        <w:rPr>
          <w:rStyle w:val="CRRefonteDeleted"/>
          <w:noProof/>
          <w:highlight w:val="lightGray"/>
        </w:rPr>
        <w:t>nařízení (EU) č. 1291/2013</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t>
      </w:r>
      <w:r>
        <w:rPr>
          <w:bCs/>
          <w:noProof/>
          <w:highlight w:val="lightGray"/>
        </w:rPr>
        <w:t>rámcovém programu Unie pro podporu výzkumu a inovací</w:t>
      </w:r>
      <w:r>
        <w:rPr>
          <w:noProof/>
          <w:highlight w:val="lightGray"/>
        </w:rPr>
        <w: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a ve strategickém programu inovací a v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t>
      </w:r>
      <w:r>
        <w:rPr>
          <w:noProof/>
          <w:color w:val="000000"/>
          <w:highlight w:val="lightGray"/>
        </w:rPr>
        <w:t>úzké</w:t>
      </w:r>
      <w:r>
        <w:rPr>
          <w:noProof/>
          <w:highlight w:val="lightGray"/>
        </w:rPr>
        <w: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color w:val="000000"/>
        </w:rPr>
        <w:t xml:space="preserve"> </w:t>
      </w:r>
      <w:r>
        <w:rPr>
          <w:noProof/>
        </w:rPr>
        <w:t xml:space="preserve">spolupráci s Komisí zajišťuje průběžné sledování a pravidelná externí hodnocení výstupů, výsledků a dopadu každého znalostního a inovačního společenství. Výsledky těchto opatření pro sledování a hodnocení se oznamují Evropskému parlamentu a Radě a zveřejňují se. </w:t>
      </w:r>
    </w:p>
    <w:p>
      <w:pPr>
        <w:pStyle w:val="Titrearticle"/>
        <w:rPr>
          <w:noProof/>
        </w:rPr>
      </w:pPr>
      <w:r>
        <w:rPr>
          <w:noProof/>
        </w:rPr>
        <w:t xml:space="preserve">Článek </w:t>
      </w:r>
      <w:r>
        <w:rPr>
          <w:rStyle w:val="CRMinorChangeAdded"/>
          <w:noProof/>
        </w:rPr>
        <w:t>11</w:t>
      </w:r>
      <w:r>
        <w:rPr>
          <w:rStyle w:val="CRMinorChangeDeleted"/>
          <w:noProof/>
        </w:rPr>
        <w:t>7b</w:t>
      </w:r>
    </w:p>
    <w:p>
      <w:pPr>
        <w:pStyle w:val="NormalCentered"/>
        <w:rPr>
          <w:b/>
          <w:bCs/>
          <w:noProof/>
        </w:rPr>
      </w:pPr>
      <w:r>
        <w:rPr>
          <w:b/>
          <w:bCs/>
          <w:noProof/>
        </w:rPr>
        <w:t>Trvání, pokračování a ukončení znalostního a inovačního společenství</w:t>
      </w:r>
    </w:p>
    <w:p>
      <w:pPr>
        <w:rPr>
          <w:rStyle w:val="CRRefonteDeleted"/>
          <w:noProof/>
          <w:highlight w:val="lightGray"/>
        </w:rPr>
      </w:pPr>
      <w:r>
        <w:rPr>
          <w:rStyle w:val="CRRefonteDeleted"/>
          <w:noProof/>
          <w:highlight w:val="lightGray"/>
        </w:rPr>
        <w:t>1.</w:t>
      </w:r>
      <w:r>
        <w:rPr>
          <w:rStyle w:val="CRRefonteDeleted"/>
          <w:noProof/>
          <w:highlight w:val="lightGray"/>
        </w:rPr>
        <w:tab/>
        <w:t>V závislosti na výsledcích průběžného sledování a pravidelných hodnocení a specifických rysů určitých oblastí je standardní dobou trvání znalostního a inovačního společenství sedm až patnáct let.</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1292/2013 čl. 1 bod 7 (přizpůsobený)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pPr>
        <w:rPr>
          <w:noProof/>
        </w:rPr>
      </w:pPr>
      <w:r>
        <w:rPr>
          <w:rStyle w:val="CRMinorChangeDeleted"/>
          <w:noProof/>
          <w:lang w:val="pl-PL"/>
        </w:rPr>
        <w:t>2</w:t>
      </w:r>
      <w:r>
        <w:rPr>
          <w:noProof/>
        </w:rPr>
        <w:t xml:space="preserve"> </w:t>
      </w:r>
      <w:r>
        <w:rPr>
          <w:rStyle w:val="CRMinorChangeAdded"/>
          <w:noProof/>
          <w:lang w:val="pl-PL"/>
        </w:rPr>
        <w:t>1</w:t>
      </w:r>
      <w:r>
        <w:rPr>
          <w:noProof/>
        </w:rPr>
        <w:t>.</w:t>
      </w:r>
      <w:r>
        <w:rPr>
          <w:noProof/>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Odchylně od čl. 130 odst. 4 písm. c) finančního nařízení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může EIT se znalostním a inovačním společenstvím sjednat rámcovou dohodu o partnerství na počáteční období sedmi let.</w:t>
      </w:r>
    </w:p>
    <w:p>
      <w:pPr>
        <w:rPr>
          <w:noProof/>
        </w:rPr>
      </w:pPr>
      <w:r>
        <w:rPr>
          <w:rStyle w:val="CRMinorChangeDeleted"/>
          <w:noProof/>
        </w:rPr>
        <w:t>3</w:t>
      </w:r>
      <w:r>
        <w:rPr>
          <w:noProof/>
        </w:rPr>
        <w:t xml:space="preserve"> </w:t>
      </w:r>
      <w:r>
        <w:rPr>
          <w:rStyle w:val="CRMinorChangeAdded"/>
          <w:noProof/>
        </w:rPr>
        <w:t>2</w:t>
      </w:r>
      <w:r>
        <w:rPr>
          <w:noProof/>
        </w:rPr>
        <w:t>.</w:t>
      </w:r>
      <w:r>
        <w:rPr>
          <w:noProof/>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t>
      </w:r>
      <w:r>
        <w:rPr>
          <w:noProof/>
          <w:color w:val="000000"/>
          <w:highlight w:val="lightGray"/>
        </w:rPr>
        <w:t>V závislosti na výsledku komplexního přezkumu v polovině období před uplynutím počátečního období sedmi let</w:t>
      </w:r>
      <w:r>
        <w:rPr>
          <w:noProof/>
          <w:highlight w:val="lightGray"/>
        </w:rPr>
        <w: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color w:val="000000"/>
        </w:rPr>
        <w:t xml:space="preserve"> </w:t>
      </w:r>
      <w:r>
        <w:rPr>
          <w:noProof/>
        </w:rPr>
        <w:t xml:space="preserve">může správní rada rozhodnout o prodloužení rámcové dohody o partnerství se znalostním a inovačním společenstvím nad rámec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color w:val="000000"/>
        </w:rPr>
        <w:t>počátečního</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color w:val="000000"/>
        </w:rPr>
        <w:t xml:space="preserve"> </w:t>
      </w:r>
      <w:r>
        <w:rPr>
          <w:noProof/>
        </w:rPr>
        <w:t xml:space="preserve">období </w:t>
      </w:r>
      <w:r>
        <w:rPr>
          <w:rStyle w:val="CRDeleted"/>
          <w:noProof/>
        </w:rPr>
        <w:t>původně stanoveného</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na další období v délce maximálně </w:t>
      </w:r>
      <w:r>
        <w:rPr>
          <w:noProof/>
          <w:color w:val="000000"/>
          <w:highlight w:val="lightGray"/>
        </w:rPr>
        <w:t>sedmi let nebo přerušit finanční příspěvek od EIT a rámcovou dohodu o partnerství neprodloužit. Správní rada zohlední zejména dosaženou úroveň finanční udržitelnosti znalostního a inovačního společenství, jeho kapacitu pro zajištění otevřenosti vůči novým členům a rovněž</w:t>
      </w:r>
      <w:r>
        <w:rPr>
          <w:noProof/>
          <w:highlight w:val="lightGray"/>
        </w:rPr>
        <w: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color w:val="000000"/>
        </w:rPr>
        <w:t xml:space="preserve"> </w:t>
      </w:r>
      <w:r>
        <w:rPr>
          <w:rStyle w:val="CRDeleted"/>
          <w:noProof/>
        </w:rPr>
        <w:t>v</w:t>
      </w:r>
      <w:r>
        <w:rPr>
          <w:noProof/>
        </w:rPr>
        <w:t xml:space="preserve"> meze finančního </w:t>
      </w:r>
      <w:r>
        <w:rPr>
          <w:rStyle w:val="CRRefonteDeleted"/>
          <w:noProof/>
          <w:highlight w:val="lightGray"/>
        </w:rPr>
        <w:t>krytí</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příspěvku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Unie uvedeného v článku </w:t>
      </w:r>
      <w:r>
        <w:rPr>
          <w:rStyle w:val="CRMinorChangeAdded"/>
          <w:noProof/>
        </w:rPr>
        <w:t>20</w:t>
      </w:r>
      <w:r>
        <w:rPr>
          <w:rStyle w:val="CRDeleted"/>
          <w:noProof/>
        </w:rPr>
        <w:t>19</w:t>
      </w:r>
      <w:r>
        <w:rPr>
          <w:rStyle w:val="CRRefonteDeleted"/>
          <w:noProof/>
          <w:highlight w:val="lightGray"/>
        </w:rPr>
        <w:t>, pokud lze tímto způsobem nejvhodněji dosáhnout</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t>
      </w:r>
      <w:r>
        <w:rPr>
          <w:noProof/>
          <w:color w:val="000000"/>
          <w:highlight w:val="lightGray"/>
        </w:rPr>
        <w:t>a význam s ohledem na</w:t>
      </w:r>
      <w:r>
        <w:rPr>
          <w:noProof/>
          <w:highlight w:val="lightGray"/>
        </w:rPr>
        <w: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color w:val="000000"/>
        </w:rPr>
        <w:t xml:space="preserve"> </w:t>
      </w:r>
      <w:r>
        <w:rPr>
          <w:noProof/>
        </w:rPr>
        <w:t>cíle EIT.</w:t>
      </w:r>
    </w:p>
    <w:p>
      <w:pPr>
        <w:rPr>
          <w:noProof/>
        </w:rPr>
      </w:pPr>
      <w:r>
        <w:rPr>
          <w:rStyle w:val="CRMinorChangeDeleted"/>
          <w:noProof/>
        </w:rPr>
        <w:t>4</w:t>
      </w:r>
      <w:r>
        <w:rPr>
          <w:noProof/>
        </w:rPr>
        <w:t xml:space="preserve"> </w:t>
      </w:r>
      <w:r>
        <w:rPr>
          <w:rStyle w:val="CRMinorChangeAdded"/>
          <w:noProof/>
        </w:rPr>
        <w:t>3</w:t>
      </w:r>
      <w:r>
        <w:rPr>
          <w:noProof/>
        </w:rPr>
        <w:t>.</w:t>
      </w:r>
      <w:r>
        <w:rPr>
          <w:noProof/>
        </w:rPr>
        <w:tab/>
        <w:t>Nevykazují-li hodnocení znalostního a inovačního společenství odpovídající výsledky</w:t>
      </w:r>
      <w:r>
        <w:rPr>
          <w:noProof/>
          <w:color w:val="000000"/>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t>
      </w:r>
      <w:r>
        <w:rPr>
          <w:noProof/>
          <w:color w:val="000000"/>
          <w:highlight w:val="lightGray"/>
        </w:rPr>
        <w:t xml:space="preserve">nebo dostatečnou </w:t>
      </w:r>
      <w:r>
        <w:rPr>
          <w:noProof/>
          <w:highlight w:val="lightGray"/>
        </w:rPr>
        <w:t>evropskou přidanou hodnotu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 přijme správní rada odpovídající opatření, včetně snížení, úpravy nebo odnětí finančního </w:t>
      </w:r>
      <w:r>
        <w:rPr>
          <w:rStyle w:val="CRDeleted"/>
          <w:noProof/>
        </w:rPr>
        <w:t>podpory</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color w:val="000000"/>
        </w:rPr>
        <w:t>příspěvku</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color w:val="000000"/>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color w:val="000000"/>
        </w:rPr>
        <w:t>od EIT</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color w:val="000000"/>
        </w:rPr>
        <w:t xml:space="preserve"> </w:t>
      </w:r>
      <w:r>
        <w:rPr>
          <w:noProof/>
        </w:rPr>
        <w:t xml:space="preserve">nebo ukončení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color w:val="000000"/>
        </w:rPr>
        <w:t>rámcové</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color w:val="000000"/>
        </w:rPr>
        <w:t xml:space="preserve"> </w:t>
      </w:r>
      <w:r>
        <w:rPr>
          <w:noProof/>
        </w:rPr>
        <w:t xml:space="preserve">dohody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color w:val="000000"/>
        </w:rPr>
        <w:t>o partnerství</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color w:val="000000"/>
        </w:rPr>
        <w:t xml:space="preserve"> </w:t>
      </w:r>
      <w:r>
        <w:rPr>
          <w:noProof/>
        </w:rPr>
        <w:t>.</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rPr>
          <w:rFonts w:eastAsia="Times New Roman"/>
          <w:noProof/>
          <w:color w:val="000000"/>
          <w:highlight w:val="lightGray"/>
        </w:rPr>
      </w:pPr>
      <w:r>
        <w:rPr>
          <w:noProof/>
          <w:highlight w:val="lightGray"/>
        </w:rPr>
        <w:t>4.</w:t>
      </w:r>
      <w:r>
        <w:rPr>
          <w:noProof/>
          <w:highlight w:val="lightGray"/>
        </w:rPr>
        <w:tab/>
      </w:r>
      <w:r>
        <w:rPr>
          <w:noProof/>
          <w:color w:val="000000"/>
          <w:highlight w:val="lightGray"/>
        </w:rPr>
        <w:t>V závislosti na výsledku závěrečného přezkumu před uplynutím čtrnáctého roku rámcové dohody o partnerství může EIT uzavřít se znalostním a inovačním společenstvím memorandum o spolupráci.</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294/2008 (přizpůsobený)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pPr>
        <w:pStyle w:val="Titrearticle"/>
        <w:rPr>
          <w:noProof/>
        </w:rPr>
      </w:pPr>
      <w:r>
        <w:rPr>
          <w:noProof/>
        </w:rPr>
        <w:t>Článek </w:t>
      </w:r>
      <w:r>
        <w:rPr>
          <w:rStyle w:val="CRMinorChangeAdded"/>
          <w:noProof/>
        </w:rPr>
        <w:t>12</w:t>
      </w:r>
      <w:r>
        <w:rPr>
          <w:rStyle w:val="CRMinorChangeDeleted"/>
          <w:noProof/>
        </w:rPr>
        <w:t>8</w:t>
      </w:r>
    </w:p>
    <w:p>
      <w:pPr>
        <w:pStyle w:val="NormalCentered"/>
        <w:rPr>
          <w:b/>
          <w:bCs/>
          <w:noProof/>
        </w:rPr>
      </w:pPr>
      <w:r>
        <w:rPr>
          <w:b/>
          <w:bCs/>
          <w:noProof/>
        </w:rPr>
        <w:t>Tituly a diplomy</w:t>
      </w:r>
    </w:p>
    <w:p>
      <w:pPr>
        <w:rPr>
          <w:noProof/>
        </w:rPr>
      </w:pPr>
      <w:r>
        <w:rPr>
          <w:noProof/>
        </w:rPr>
        <w:t>1.</w:t>
      </w:r>
      <w:r>
        <w:rPr>
          <w:noProof/>
        </w:rPr>
        <w:tab/>
        <w:t>Tituly a diplomy související s činnostmi vysokoškolského vzdělávání uvedené v čl. </w:t>
      </w:r>
      <w:r>
        <w:rPr>
          <w:rStyle w:val="CRMinorChangeAdded"/>
          <w:noProof/>
        </w:rPr>
        <w:t>7</w:t>
      </w:r>
      <w:r>
        <w:rPr>
          <w:rStyle w:val="CRMinorChangeDeleted"/>
          <w:noProof/>
        </w:rPr>
        <w:t>6</w:t>
      </w:r>
      <w:r>
        <w:rPr>
          <w:noProof/>
        </w:rPr>
        <w:t xml:space="preserve"> odst. 1 písm. c) udělují zúčastněné vysokoškolské instituce v souladu s vnitrostátními pravidly a akreditačními postupy.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Rámcové dohody o partnerství a grantové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Deleted"/>
          <w:noProof/>
        </w:rPr>
        <w:t>dohoda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dohody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mezi EIT a znalostními a inovačními společenstvími stanoví, že tyto tituly a diplomy mohou být rovněž označovány jako tituly a diplomy EIT.</w:t>
      </w:r>
    </w:p>
    <w:p>
      <w:pPr>
        <w:rPr>
          <w:noProof/>
        </w:rPr>
      </w:pPr>
      <w:r>
        <w:rPr>
          <w:noProof/>
        </w:rPr>
        <w:t>2.</w:t>
      </w:r>
      <w:r>
        <w:rPr>
          <w:noProof/>
        </w:rPr>
        <w:tab/>
        <w:t>EIT podporuje zúčastněné vysokoškolské instituce při:</w:t>
      </w:r>
    </w:p>
    <w:p>
      <w:pPr>
        <w:pStyle w:val="Point0"/>
        <w:ind w:hanging="130"/>
        <w:rPr>
          <w:noProof/>
        </w:rPr>
      </w:pPr>
      <w:r>
        <w:rPr>
          <w:noProof/>
        </w:rPr>
        <w:t>a)</w:t>
      </w:r>
      <w:r>
        <w:rPr>
          <w:noProof/>
        </w:rPr>
        <w:tab/>
        <w:t>udělování společných nebo několikanásobných titulů a diplomů, které odrážejí integrovanou povahu znalostních a inovačních společenství. Tyto tituly a diplomy však může udělovat rovněž jediná vysokoškolská instituce;</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1292/2013 čl. 1 bod 8</w:t>
      </w:r>
    </w:p>
    <w:p>
      <w:pPr>
        <w:pStyle w:val="Point0"/>
        <w:ind w:hanging="130"/>
        <w:rPr>
          <w:noProof/>
        </w:rPr>
      </w:pPr>
      <w:r>
        <w:rPr>
          <w:rStyle w:val="CRMinorChangeAdded"/>
          <w:noProof/>
        </w:rPr>
        <w:t>b</w:t>
      </w:r>
      <w:r>
        <w:rPr>
          <w:rStyle w:val="CRMinorChangeDeleted"/>
          <w:noProof/>
        </w:rPr>
        <w:t>aa</w:t>
      </w:r>
      <w:r>
        <w:rPr>
          <w:noProof/>
        </w:rPr>
        <w:t>)</w:t>
      </w:r>
      <w:r>
        <w:rPr>
          <w:noProof/>
        </w:rPr>
        <w:tab/>
        <w:t>šíření osvědčených postupů v oblasti horizontálních otázek;</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294/2008 (přizpůsobený)</w:t>
      </w:r>
    </w:p>
    <w:p>
      <w:pPr>
        <w:pStyle w:val="Point0"/>
        <w:ind w:hanging="130"/>
        <w:rPr>
          <w:noProof/>
        </w:rPr>
      </w:pPr>
      <w:r>
        <w:rPr>
          <w:rStyle w:val="CRMinorChangeAdded"/>
          <w:noProof/>
        </w:rPr>
        <w:t>c</w:t>
      </w:r>
      <w:r>
        <w:rPr>
          <w:rStyle w:val="CRMinorChangeDeleted"/>
          <w:noProof/>
        </w:rPr>
        <w:t>b</w:t>
      </w:r>
      <w:r>
        <w:rPr>
          <w:noProof/>
        </w:rPr>
        <w:t>)</w:t>
      </w:r>
      <w:r>
        <w:rPr>
          <w:noProof/>
        </w:rPr>
        <w:tab/>
        <w:t>zohledňování:</w:t>
      </w:r>
    </w:p>
    <w:p>
      <w:pPr>
        <w:pStyle w:val="Point1"/>
        <w:ind w:firstLine="0"/>
        <w:rPr>
          <w:noProof/>
        </w:rPr>
      </w:pPr>
      <w:r>
        <w:rPr>
          <w:noProof/>
        </w:rPr>
        <w:t>i)</w:t>
      </w:r>
      <w:r>
        <w:rPr>
          <w:noProof/>
        </w:rPr>
        <w:tab/>
        <w:t xml:space="preserve">opatření </w:t>
      </w:r>
      <w:r>
        <w:rPr>
          <w:rStyle w:val="CRDeleted"/>
          <w:noProof/>
        </w:rPr>
        <w:t>Společenství</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učiněných v souladu s články </w:t>
      </w:r>
      <w:r>
        <w:rPr>
          <w:rStyle w:val="CRDeleted"/>
          <w:noProof/>
        </w:rPr>
        <w:t>149</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color w:val="000000"/>
        </w:rPr>
        <w:t>165</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color w:val="000000"/>
        </w:rPr>
        <w:t xml:space="preserve"> </w:t>
      </w:r>
      <w:r>
        <w:rPr>
          <w:noProof/>
        </w:rPr>
        <w:t>a </w:t>
      </w:r>
      <w:r>
        <w:rPr>
          <w:rStyle w:val="CRDeleted"/>
          <w:noProof/>
        </w:rPr>
        <w:t>150</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color w:val="000000"/>
        </w:rPr>
        <w:t>166</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color w:val="000000"/>
        </w:rPr>
        <w:t xml:space="preserve"> </w:t>
      </w:r>
      <w:r>
        <w:rPr>
          <w:noProof/>
        </w:rPr>
        <w:t>Smlouvy;</w:t>
      </w:r>
    </w:p>
    <w:p>
      <w:pPr>
        <w:pStyle w:val="Point1"/>
        <w:ind w:firstLine="0"/>
        <w:rPr>
          <w:noProof/>
        </w:rPr>
      </w:pPr>
      <w:r>
        <w:rPr>
          <w:noProof/>
        </w:rPr>
        <w:t>ii)</w:t>
      </w:r>
      <w:r>
        <w:rPr>
          <w:noProof/>
        </w:rPr>
        <w:tab/>
        <w:t>opatření učiněných v souvislosti s evropským prostorem vysokoškolského vzdělávání.</w:t>
      </w:r>
    </w:p>
    <w:p>
      <w:pPr>
        <w:pStyle w:val="Titrearticle"/>
        <w:rPr>
          <w:noProof/>
        </w:rPr>
      </w:pPr>
      <w:r>
        <w:rPr>
          <w:noProof/>
        </w:rPr>
        <w:t>Článek </w:t>
      </w:r>
      <w:r>
        <w:rPr>
          <w:rStyle w:val="CRMinorChangeAdded"/>
          <w:noProof/>
        </w:rPr>
        <w:t>13</w:t>
      </w:r>
      <w:r>
        <w:rPr>
          <w:rStyle w:val="CRMinorChangeDeleted"/>
          <w:noProof/>
        </w:rPr>
        <w:t>9</w:t>
      </w:r>
    </w:p>
    <w:p>
      <w:pPr>
        <w:pStyle w:val="NormalCentered"/>
        <w:rPr>
          <w:b/>
          <w:bCs/>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bCs/>
          <w:noProof/>
          <w:color w:val="000000"/>
        </w:rPr>
        <w:t>Operační</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b/>
          <w:bCs/>
          <w:noProof/>
          <w:color w:val="000000"/>
        </w:rPr>
        <w:t xml:space="preserve"> </w:t>
      </w:r>
      <w:r>
        <w:rPr>
          <w:rStyle w:val="CRMinorChangeAdded"/>
          <w:b/>
          <w:noProof/>
          <w:color w:val="000000"/>
        </w:rPr>
        <w:t>n</w:t>
      </w:r>
      <w:r>
        <w:rPr>
          <w:rStyle w:val="CRMinorChangeDeleted"/>
          <w:b/>
          <w:noProof/>
        </w:rPr>
        <w:t>N</w:t>
      </w:r>
      <w:r>
        <w:rPr>
          <w:b/>
          <w:bCs/>
          <w:noProof/>
        </w:rPr>
        <w:t xml:space="preserve">ezávislost EIT a soulad s činnostmi na úrovni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bCs/>
          <w:noProof/>
        </w:rPr>
        <w:t>Unie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b/>
          <w:bCs/>
          <w:noProof/>
        </w:rPr>
        <w:t xml:space="preserve"> </w:t>
      </w:r>
      <w:r>
        <w:rPr>
          <w:rStyle w:val="CRDeleted"/>
          <w:b/>
          <w:noProof/>
        </w:rPr>
        <w:t>Společenství</w:t>
      </w:r>
      <w:r>
        <w:rPr>
          <w:b/>
          <w:bCs/>
          <w:noProof/>
        </w:rPr>
        <w:t>, členských států nebo na mezivládní úrovni</w:t>
      </w:r>
    </w:p>
    <w:p>
      <w:pPr>
        <w:rPr>
          <w:noProof/>
        </w:rPr>
      </w:pPr>
      <w:r>
        <w:rPr>
          <w:noProof/>
        </w:rPr>
        <w:t>1.</w:t>
      </w:r>
      <w:r>
        <w:rPr>
          <w:noProof/>
        </w:rPr>
        <w:tab/>
        <w:t>EIT provádí své činnosti nezávisle na vnitrostátních orgánech a vnějších tlacích.</w:t>
      </w:r>
    </w:p>
    <w:p>
      <w:pPr>
        <w:rPr>
          <w:noProof/>
        </w:rPr>
      </w:pPr>
      <w:r>
        <w:rPr>
          <w:noProof/>
        </w:rPr>
        <w:t>2.</w:t>
      </w:r>
      <w:r>
        <w:rPr>
          <w:noProof/>
        </w:rPr>
        <w:tab/>
        <w:t xml:space="preserve">Činnost EIT je v souladu s dalšími činnostmi a nástroji, jež mají být provedeny na úrovni </w:t>
      </w:r>
      <w:r>
        <w:rPr>
          <w:rStyle w:val="CRDeleted"/>
          <w:noProof/>
        </w:rPr>
        <w:t>Společenství</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zejména v oblasti vysokoškolského vzdělávání, výzkumu a inovací.</w:t>
      </w:r>
    </w:p>
    <w:p>
      <w:pPr>
        <w:rPr>
          <w:noProof/>
        </w:rPr>
      </w:pPr>
      <w:r>
        <w:rPr>
          <w:noProof/>
        </w:rPr>
        <w:t>3.</w:t>
      </w:r>
      <w:r>
        <w:rPr>
          <w:noProof/>
        </w:rPr>
        <w:tab/>
        <w:t>EIT rovněž řádně zohlední politiky a iniciativy na regionální, státní a mezivládní úrovni s cílem využít osvědčených postupů, zavedených koncepcí a stávajících zdrojů.</w:t>
      </w:r>
    </w:p>
    <w:p>
      <w:pPr>
        <w:pStyle w:val="CRSeparator"/>
        <w:pBdr>
          <w:top w:val="single" w:sz="4" w:space="2" w:color="auto"/>
        </w:pBd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(přizpůsobený)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nový</w:t>
      </w:r>
    </w:p>
    <w:p>
      <w:pPr>
        <w:pStyle w:val="Titrearticle"/>
        <w:rPr>
          <w:noProof/>
        </w:rPr>
      </w:pPr>
      <w:r>
        <w:rPr>
          <w:noProof/>
        </w:rPr>
        <w:t>Článek </w:t>
      </w:r>
      <w:r>
        <w:rPr>
          <w:rStyle w:val="CRMinorChangeAdded"/>
          <w:noProof/>
        </w:rPr>
        <w:t>14</w:t>
      </w:r>
      <w:r>
        <w:rPr>
          <w:rStyle w:val="CRMinorChangeDeleted"/>
          <w:noProof/>
        </w:rPr>
        <w:t>11</w:t>
      </w:r>
    </w:p>
    <w:p>
      <w:pPr>
        <w:pStyle w:val="NormalCentered"/>
        <w:rPr>
          <w:b/>
          <w:bCs/>
          <w:noProof/>
        </w:rPr>
      </w:pPr>
      <w:r>
        <w:rPr>
          <w:b/>
          <w:bCs/>
          <w:noProof/>
        </w:rPr>
        <w:t>Právní postavení</w:t>
      </w:r>
    </w:p>
    <w:p>
      <w:pPr>
        <w:rPr>
          <w:noProof/>
        </w:rPr>
      </w:pPr>
      <w:r>
        <w:rPr>
          <w:noProof/>
        </w:rPr>
        <w:t>1.</w:t>
      </w:r>
      <w:r>
        <w:rPr>
          <w:noProof/>
        </w:rPr>
        <w:tab/>
        <w:t xml:space="preserve">EIT je subjektem </w:t>
      </w:r>
      <w:r>
        <w:rPr>
          <w:rStyle w:val="CRDeleted"/>
          <w:noProof/>
        </w:rPr>
        <w:t>Společenství</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Unie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a má právní subjektivitu. V jednotlivých členských státech mu přísluší nejširší způsobilost k právům a právním úkonům, jakou vnitrostátní právo přiznává právnickým osobám. Zejména může nabývat nebo zcizovat movitý nebo nemovitý majetek a vystupovat před soudem.</w:t>
      </w:r>
    </w:p>
    <w:p>
      <w:pPr>
        <w:rPr>
          <w:noProof/>
        </w:rPr>
      </w:pPr>
      <w:r>
        <w:rPr>
          <w:noProof/>
        </w:rPr>
        <w:t>2.</w:t>
      </w:r>
      <w:r>
        <w:rPr>
          <w:noProof/>
        </w:rPr>
        <w:tab/>
        <w:t xml:space="preserve">Na EIT se vztahuje Protokol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č. 7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o výsadách a imunitách </w:t>
      </w:r>
      <w:r>
        <w:rPr>
          <w:rStyle w:val="CRDeleted"/>
          <w:noProof/>
        </w:rPr>
        <w:t>Evropských společenství</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Evropské unie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w:t>
      </w:r>
    </w:p>
    <w:p>
      <w:pPr>
        <w:pStyle w:val="Titrearticle"/>
        <w:rPr>
          <w:noProof/>
        </w:rPr>
      </w:pPr>
      <w:r>
        <w:rPr>
          <w:noProof/>
        </w:rPr>
        <w:t>Článek </w:t>
      </w:r>
      <w:r>
        <w:rPr>
          <w:rStyle w:val="CRMinorChangeAdded"/>
          <w:noProof/>
        </w:rPr>
        <w:t>15</w:t>
      </w:r>
      <w:r>
        <w:rPr>
          <w:rStyle w:val="CRMinorChangeDeleted"/>
          <w:noProof/>
        </w:rPr>
        <w:t>12</w:t>
      </w:r>
    </w:p>
    <w:p>
      <w:pPr>
        <w:pStyle w:val="NormalCentered"/>
        <w:rPr>
          <w:b/>
          <w:bCs/>
          <w:noProof/>
        </w:rPr>
      </w:pPr>
      <w:r>
        <w:rPr>
          <w:b/>
          <w:bCs/>
          <w:noProof/>
        </w:rPr>
        <w:t>Odpovědnost</w:t>
      </w:r>
    </w:p>
    <w:p>
      <w:pPr>
        <w:rPr>
          <w:noProof/>
        </w:rPr>
      </w:pPr>
      <w:r>
        <w:rPr>
          <w:noProof/>
        </w:rPr>
        <w:t>1.</w:t>
      </w:r>
      <w:r>
        <w:rPr>
          <w:noProof/>
        </w:rPr>
        <w:tab/>
        <w:t>EIT nese výhradní odpovědnost za plnění svých povinností.</w:t>
      </w:r>
    </w:p>
    <w:p>
      <w:pPr>
        <w:rPr>
          <w:noProof/>
        </w:rPr>
      </w:pPr>
      <w:r>
        <w:rPr>
          <w:noProof/>
        </w:rPr>
        <w:t>2.</w:t>
      </w:r>
      <w:r>
        <w:rPr>
          <w:noProof/>
        </w:rPr>
        <w:tab/>
        <w:t>Smluvní odpovědnost EIT se řídí příslušnými smluvními ustanoveními a právem rozhodným pro danou smlouvu. Soudní dvůr Evropských společenství (díle jen „Soudní dvůr“) má pravomoc rozhodovat na základě rozhodčí doložky obsažené ve smlouvách uzavřených EIT.</w:t>
      </w:r>
    </w:p>
    <w:p>
      <w:pPr>
        <w:rPr>
          <w:noProof/>
        </w:rPr>
      </w:pPr>
      <w:r>
        <w:rPr>
          <w:noProof/>
        </w:rPr>
        <w:t>3.</w:t>
      </w:r>
      <w:r>
        <w:rPr>
          <w:noProof/>
        </w:rPr>
        <w:tab/>
        <w:t>V případě mimosmluvní odpovědnosti nahradí EIT v souladu s obecnými zásadami společnými právním řádům členských států veškeré škody způsobené EIT nebo jeho zaměstnanci při výkonu jejich funkcí.</w:t>
      </w:r>
    </w:p>
    <w:p>
      <w:pPr>
        <w:rPr>
          <w:noProof/>
        </w:rPr>
      </w:pPr>
      <w:r>
        <w:rPr>
          <w:noProof/>
        </w:rPr>
        <w:t>Soudní dvůr má pravomoc rozhodovat ve sporech týkajících se náhrady takto způsobené škody.</w:t>
      </w:r>
    </w:p>
    <w:p>
      <w:pPr>
        <w:rPr>
          <w:noProof/>
        </w:rPr>
      </w:pPr>
      <w:r>
        <w:rPr>
          <w:noProof/>
        </w:rPr>
        <w:t>4.</w:t>
      </w:r>
      <w:r>
        <w:rPr>
          <w:noProof/>
        </w:rPr>
        <w:tab/>
        <w:t>Všechny platby ze strany EIT k pokrytí odpovědnosti uvedené v odstavcích 2 a 3 a náklady a výdaje vzniklé v této souvislosti se považují za výdaje EIT a jsou hrazeny ze zdrojů EIT.</w:t>
      </w:r>
    </w:p>
    <w:p>
      <w:pPr>
        <w:rPr>
          <w:noProof/>
        </w:rPr>
      </w:pPr>
      <w:r>
        <w:rPr>
          <w:noProof/>
        </w:rPr>
        <w:t>5.</w:t>
      </w:r>
      <w:r>
        <w:rPr>
          <w:noProof/>
        </w:rPr>
        <w:tab/>
        <w:t>Soudní dvůr má pravomoc rozhodovat o žalobách podaných proti EIT za podmínek stanovených v článcích </w:t>
      </w:r>
      <w:r>
        <w:rPr>
          <w:rStyle w:val="CRDeleted"/>
          <w:noProof/>
        </w:rPr>
        <w:t>230</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w:t>
      </w:r>
      <w:r>
        <w:rPr>
          <w:noProof/>
          <w:color w:val="000000"/>
        </w:rPr>
        <w:t>263</w:t>
      </w:r>
      <w:r>
        <w:rPr>
          <w:noProof/>
        </w:rPr>
        <w:t>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color w:val="000000"/>
        </w:rPr>
        <w:t xml:space="preserve"> </w:t>
      </w:r>
      <w:r>
        <w:rPr>
          <w:noProof/>
        </w:rPr>
        <w:t>a </w:t>
      </w:r>
      <w:r>
        <w:rPr>
          <w:rStyle w:val="CRDeleted"/>
          <w:noProof/>
        </w:rPr>
        <w:t>232</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w:t>
      </w:r>
      <w:r>
        <w:rPr>
          <w:noProof/>
          <w:color w:val="000000"/>
        </w:rPr>
        <w:t>265</w:t>
      </w:r>
      <w:r>
        <w:rPr>
          <w:noProof/>
        </w:rPr>
        <w:t>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color w:val="000000"/>
        </w:rPr>
        <w:t xml:space="preserve"> </w:t>
      </w:r>
      <w:r>
        <w:rPr>
          <w:noProof/>
        </w:rPr>
        <w:t>Smlouvy.</w:t>
      </w:r>
    </w:p>
    <w:p>
      <w:pPr>
        <w:pStyle w:val="Titrearticle"/>
        <w:rPr>
          <w:noProof/>
        </w:rPr>
      </w:pPr>
      <w:r>
        <w:rPr>
          <w:noProof/>
        </w:rPr>
        <w:t>Článek </w:t>
      </w:r>
      <w:r>
        <w:rPr>
          <w:rStyle w:val="CRMinorChangeAdded"/>
          <w:noProof/>
        </w:rPr>
        <w:t>16</w:t>
      </w:r>
      <w:r>
        <w:rPr>
          <w:rStyle w:val="CRMinorChangeDeleted"/>
          <w:noProof/>
        </w:rPr>
        <w:t>13</w:t>
      </w:r>
    </w:p>
    <w:p>
      <w:pPr>
        <w:pStyle w:val="NormalCentered"/>
        <w:rPr>
          <w:b/>
          <w:bCs/>
          <w:noProof/>
        </w:rPr>
      </w:pPr>
      <w:r>
        <w:rPr>
          <w:b/>
          <w:bCs/>
          <w:noProof/>
        </w:rPr>
        <w:t>Průhlednost a přístup k dokumentům</w:t>
      </w:r>
    </w:p>
    <w:p>
      <w:pPr>
        <w:rPr>
          <w:noProof/>
        </w:rPr>
      </w:pPr>
      <w:r>
        <w:rPr>
          <w:noProof/>
        </w:rPr>
        <w:t>1.</w:t>
      </w:r>
      <w:r>
        <w:rPr>
          <w:noProof/>
        </w:rPr>
        <w:tab/>
        <w:t xml:space="preserve">EIT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a znalostní a inovační společenství</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color w:val="000000"/>
        </w:rPr>
        <w:t xml:space="preserve"> </w:t>
      </w:r>
      <w:r>
        <w:rPr>
          <w:noProof/>
        </w:rPr>
        <w:t xml:space="preserve">zajistí při provádění svých činností vysokou úroveň průhlednosti. EIT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a znalostní a inovační společenství</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color w:val="000000"/>
        </w:rPr>
        <w:t xml:space="preserve"> </w:t>
      </w:r>
      <w:r>
        <w:rPr>
          <w:noProof/>
        </w:rPr>
        <w:t>zřídí především přístupné, bezplatné internetové stránky, které budou poskytovat informace o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w:t>
      </w:r>
      <w:r>
        <w:rPr>
          <w:noProof/>
          <w:color w:val="000000"/>
        </w:rPr>
        <w:t>jejich</w:t>
      </w:r>
      <w:r>
        <w:rPr>
          <w:noProof/>
        </w:rPr>
        <w:t>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color w:val="000000"/>
        </w:rPr>
        <w:t xml:space="preserve"> </w:t>
      </w:r>
      <w:r>
        <w:rPr>
          <w:noProof/>
        </w:rPr>
        <w:t xml:space="preserve">činnostech </w:t>
      </w:r>
      <w:r>
        <w:rPr>
          <w:rStyle w:val="CRDeleted"/>
          <w:noProof/>
        </w:rPr>
        <w:t>EIT a jednotlivých znalostních a inovačních společenství</w:t>
      </w:r>
      <w:r>
        <w:rPr>
          <w:noProof/>
        </w:rPr>
        <w:t>.</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čl. 1 bod 10</w:t>
      </w:r>
    </w:p>
    <w:p>
      <w:pPr>
        <w:rPr>
          <w:noProof/>
        </w:rPr>
      </w:pPr>
      <w:r>
        <w:rPr>
          <w:noProof/>
        </w:rPr>
        <w:t>2.</w:t>
      </w:r>
      <w:r>
        <w:rPr>
          <w:noProof/>
        </w:rPr>
        <w:tab/>
        <w:t>EIT zveřejní svůj jednací řád, své zvláštní finanční předpisy podle čl. 2</w:t>
      </w:r>
      <w:r>
        <w:rPr>
          <w:rStyle w:val="CRMinorChangeAdded"/>
          <w:noProof/>
        </w:rPr>
        <w:t>2</w:t>
      </w:r>
      <w:r>
        <w:rPr>
          <w:rStyle w:val="CRMinorChangeDeleted"/>
          <w:noProof/>
        </w:rPr>
        <w:t>1</w:t>
      </w:r>
      <w:r>
        <w:rPr>
          <w:noProof/>
        </w:rPr>
        <w:t xml:space="preserve"> odst. 1 a podrobná kritéria pro výběr znalostních a inovačních společenství uvedených v článku </w:t>
      </w:r>
      <w:r>
        <w:rPr>
          <w:rStyle w:val="CRMinorChangeAdded"/>
          <w:noProof/>
        </w:rPr>
        <w:t>9</w:t>
      </w:r>
      <w:r>
        <w:rPr>
          <w:rStyle w:val="CRMinorChangeDeleted"/>
          <w:noProof/>
        </w:rPr>
        <w:t>7</w:t>
      </w:r>
      <w:r>
        <w:rPr>
          <w:noProof/>
        </w:rPr>
        <w:t xml:space="preserve"> před vydáním výzev k předkládání návrhů pro výběr znalostních a inovačních společenství.</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(přizpůsobený)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nový</w:t>
      </w:r>
    </w:p>
    <w:p>
      <w:pPr>
        <w:rPr>
          <w:noProof/>
        </w:rPr>
      </w:pPr>
      <w:r>
        <w:rPr>
          <w:noProof/>
        </w:rPr>
        <w:t>3.</w:t>
      </w:r>
      <w:r>
        <w:rPr>
          <w:noProof/>
        </w:rPr>
        <w:tab/>
        <w:t xml:space="preserve">EIT bezodkladně zveřejňuje svůj </w:t>
      </w:r>
      <w:r>
        <w:rPr>
          <w:rStyle w:val="CRRefonteDeleted"/>
          <w:noProof/>
          <w:highlight w:val="lightGray"/>
        </w:rPr>
        <w:t>klouzavý tříletý pracovní program</w:t>
      </w:r>
      <w:r>
        <w:rPr>
          <w:noProof/>
        </w:rPr>
        <w:t xml:space="preserve">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jednotný programový dokument</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color w:val="000000"/>
        </w:rPr>
        <w:t xml:space="preserve"> </w:t>
      </w:r>
      <w:r>
        <w:rPr>
          <w:noProof/>
        </w:rPr>
        <w:t>, jakož i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konsolidovanou</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color w:val="000000"/>
        </w:rPr>
        <w:t xml:space="preserve"> </w:t>
      </w:r>
      <w:r>
        <w:rPr>
          <w:noProof/>
        </w:rPr>
        <w:t>výroční zprávu o činnosti uvedenou v článku </w:t>
      </w:r>
      <w:r>
        <w:rPr>
          <w:rStyle w:val="CRMinorChangeAdded"/>
          <w:noProof/>
        </w:rPr>
        <w:t>18</w:t>
      </w:r>
      <w:r>
        <w:rPr>
          <w:rStyle w:val="CRDeleted"/>
          <w:noProof/>
        </w:rPr>
        <w:t>15</w:t>
      </w:r>
      <w:r>
        <w:rPr>
          <w:noProof/>
        </w:rPr>
        <w:t>.</w:t>
      </w:r>
    </w:p>
    <w:p>
      <w:pPr>
        <w:rPr>
          <w:noProof/>
        </w:rPr>
      </w:pPr>
      <w:r>
        <w:rPr>
          <w:noProof/>
        </w:rPr>
        <w:t>4.</w:t>
      </w:r>
      <w:r>
        <w:rPr>
          <w:noProof/>
        </w:rPr>
        <w:tab/>
        <w:t>Aniž jsou dotčeny odstavce 5 a 6, nesděluje EIT třetím osobám důvěrné informace, které obdrží a u nichž je požadováno a odůvodněno důvěrné zacházení.</w:t>
      </w:r>
    </w:p>
    <w:p>
      <w:pPr>
        <w:rPr>
          <w:noProof/>
        </w:rPr>
      </w:pPr>
      <w:r>
        <w:rPr>
          <w:noProof/>
        </w:rPr>
        <w:t>5.</w:t>
      </w:r>
      <w:r>
        <w:rPr>
          <w:noProof/>
        </w:rPr>
        <w:tab/>
        <w:t>Na členy orgánů EIT se vztahuje povinnost nevyzrazovat informace podle článku </w:t>
      </w:r>
      <w:r>
        <w:rPr>
          <w:rStyle w:val="CRDeleted"/>
          <w:noProof/>
        </w:rPr>
        <w:t>287</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w:t>
      </w:r>
      <w:r>
        <w:rPr>
          <w:noProof/>
          <w:color w:val="000000"/>
        </w:rPr>
        <w:t>339</w:t>
      </w:r>
      <w:r>
        <w:rPr>
          <w:noProof/>
        </w:rPr>
        <w:t>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color w:val="000000"/>
        </w:rPr>
        <w:t xml:space="preserve"> </w:t>
      </w:r>
      <w:r>
        <w:rPr>
          <w:noProof/>
        </w:rPr>
        <w:t>Smlouvy.</w:t>
      </w:r>
    </w:p>
    <w:p>
      <w:pPr>
        <w:rPr>
          <w:noProof/>
        </w:rPr>
      </w:pPr>
      <w:r>
        <w:rPr>
          <w:noProof/>
        </w:rPr>
        <w:t xml:space="preserve">Na informace shromážděné EIT v souladu s tímto nařízením se vztahuje </w:t>
      </w:r>
      <w:r>
        <w:rPr>
          <w:rStyle w:val="CRMinorChangeAdded"/>
          <w:noProof/>
          <w:color w:val="000000"/>
        </w:rPr>
        <w:t>nařízení Evropského parlamentu a Rady (EU) 2018/1725</w:t>
      </w:r>
      <w:r>
        <w:rPr>
          <w:rStyle w:val="CRMinorChangeAdded"/>
          <w:noProof/>
          <w:color w:val="000000"/>
          <w:vertAlign w:val="superscript"/>
        </w:rPr>
        <w:footnoteReference w:id="20"/>
      </w:r>
      <w:r>
        <w:rPr>
          <w:rStyle w:val="CRMinorChangeDeleted"/>
          <w:noProof/>
        </w:rPr>
        <w:t>nařízení Evropského parlamentu a Rady (ES) č. 45/2001 ze dne 18. prosince 2000 o ochraně fyzických osob v souvislosti se zpracováním osobních údajů orgány a institucemi Společenství a o volném pohybu těchto údajů</w:t>
      </w:r>
      <w:r>
        <w:rPr>
          <w:rStyle w:val="CRMinorChangeDeleted"/>
          <w:noProof/>
          <w:vertAlign w:val="superscript"/>
        </w:rPr>
        <w:footnoteReference w:id="21"/>
      </w:r>
      <w:r>
        <w:rPr>
          <w:noProof/>
        </w:rPr>
        <w:t>.</w:t>
      </w:r>
    </w:p>
    <w:p>
      <w:pPr>
        <w:rPr>
          <w:noProof/>
        </w:rPr>
      </w:pPr>
      <w:r>
        <w:rPr>
          <w:noProof/>
        </w:rPr>
        <w:t>6.</w:t>
      </w:r>
      <w:r>
        <w:rPr>
          <w:noProof/>
        </w:rPr>
        <w:tab/>
        <w:t xml:space="preserve">Nařízení Evropského parlamentu a Rady (ES) č. 1049/2001 </w:t>
      </w:r>
      <w:r>
        <w:rPr>
          <w:rStyle w:val="CRMinorChangeDeleted"/>
          <w:noProof/>
        </w:rPr>
        <w:t>ze dne 30. května 2001 o přístupu veřejnosti k dokumentům Evropského parlamentu, Rady a Komise</w:t>
      </w:r>
      <w:r>
        <w:rPr>
          <w:rStyle w:val="FootnoteReference"/>
          <w:noProof/>
        </w:rPr>
        <w:footnoteReference w:id="22"/>
      </w:r>
      <w:r>
        <w:rPr>
          <w:noProof/>
        </w:rPr>
        <w:t xml:space="preserve"> se vztahuje na dokumenty, které má EIT v držení. </w:t>
      </w:r>
      <w:r>
        <w:rPr>
          <w:rStyle w:val="CRDeleted"/>
          <w:noProof/>
        </w:rPr>
        <w:t>Správní rada přijme praktická opatření pro uplatňování uvedeného nařízení nejpozději šest měsíců po zřízení EIT.</w:t>
      </w:r>
    </w:p>
    <w:p>
      <w:pPr>
        <w:rPr>
          <w:noProof/>
        </w:rPr>
      </w:pPr>
      <w:r>
        <w:rPr>
          <w:noProof/>
        </w:rPr>
        <w:t>7.</w:t>
      </w:r>
      <w:r>
        <w:rPr>
          <w:noProof/>
        </w:rPr>
        <w:tab/>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Na EIT se použije</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w:t>
      </w:r>
      <w:r>
        <w:rPr>
          <w:rStyle w:val="CRRefonteDeleted"/>
          <w:noProof/>
          <w:highlight w:val="lightGray"/>
        </w:rPr>
        <w:t>Úřední dokumenty a publikace EIT se překládají v souladu s</w:t>
      </w:r>
      <w:r>
        <w:rPr>
          <w:noProof/>
        </w:rPr>
        <w:t xml:space="preserve"> nařízení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Rady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č. 1 ze dne 15. dubna 1958</w:t>
      </w:r>
      <w:r>
        <w:rPr>
          <w:rStyle w:val="CRMinorChangeDeleted"/>
          <w:noProof/>
        </w:rPr>
        <w:t xml:space="preserve"> o užívání jazyků v Evropském hospodářském společenství</w:t>
      </w:r>
      <w:r>
        <w:rPr>
          <w:rStyle w:val="FootnoteReference"/>
          <w:noProof/>
        </w:rPr>
        <w:footnoteReference w:id="23"/>
      </w:r>
      <w:r>
        <w:rPr>
          <w:noProof/>
        </w:rPr>
        <w:t xml:space="preserve">. </w:t>
      </w:r>
      <w:r>
        <w:rPr>
          <w:rStyle w:val="CRDeleted"/>
          <w:noProof/>
        </w:rPr>
        <w:t>Požadované</w:t>
      </w:r>
      <w:r>
        <w:rPr>
          <w:noProof/>
        </w:rPr>
        <w:t xml:space="preserve"> Překladatelské služby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w:t>
      </w:r>
      <w:r>
        <w:rPr>
          <w:noProof/>
          <w:color w:val="000000"/>
        </w:rPr>
        <w:t>nezbytné pro fungování EIT</w:t>
      </w:r>
      <w:r>
        <w:rPr>
          <w:noProof/>
        </w:rPr>
        <w:t>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poskytuje Překladatelské středisko pro instituce Evropské unie, zřízené nařízením Rady (ES) č. 2965/1994</w:t>
      </w:r>
      <w:r>
        <w:rPr>
          <w:rStyle w:val="FootnoteReference"/>
          <w:noProof/>
        </w:rPr>
        <w:footnoteReference w:id="24"/>
      </w:r>
      <w:r>
        <w:rPr>
          <w:noProof/>
        </w:rPr>
        <w:t>.</w:t>
      </w:r>
    </w:p>
    <w:p>
      <w:pPr>
        <w:pStyle w:val="Titrearticle"/>
        <w:rPr>
          <w:noProof/>
        </w:rPr>
      </w:pPr>
      <w:r>
        <w:rPr>
          <w:noProof/>
        </w:rPr>
        <w:t>Článek </w:t>
      </w:r>
      <w:r>
        <w:rPr>
          <w:rStyle w:val="CRMinorChangeAdded"/>
          <w:noProof/>
        </w:rPr>
        <w:t>17</w:t>
      </w:r>
      <w:r>
        <w:rPr>
          <w:rStyle w:val="CRMinorChangeDeleted"/>
          <w:noProof/>
        </w:rPr>
        <w:t>14</w:t>
      </w:r>
    </w:p>
    <w:p>
      <w:pPr>
        <w:pStyle w:val="NormalCentered"/>
        <w:rPr>
          <w:b/>
          <w:bCs/>
          <w:noProof/>
        </w:rPr>
      </w:pPr>
      <w:r>
        <w:rPr>
          <w:rStyle w:val="CRDeleted"/>
          <w:noProof/>
        </w:rPr>
        <w:t>Finanční zdroje</w:t>
      </w:r>
      <w:r>
        <w:rPr>
          <w:b/>
          <w:bCs/>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w:t>
      </w:r>
      <w:r>
        <w:rPr>
          <w:b/>
          <w:noProof/>
        </w:rPr>
        <w:t>Financování</w:t>
      </w:r>
      <w:r>
        <w:rPr>
          <w:noProof/>
        </w:rPr>
        <w:t xml:space="preserve"> </w:t>
      </w:r>
      <w:r>
        <w:rPr>
          <w:b/>
          <w:bCs/>
          <w:noProof/>
        </w:rPr>
        <w:t>znalostních a inovačních společenství</w:t>
      </w:r>
      <w:r>
        <w:rPr>
          <w:noProof/>
        </w:rPr>
        <w:t>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p>
    <w:p>
      <w:pPr>
        <w:rPr>
          <w:noProof/>
          <w:highlight w:val="lightGray"/>
        </w:rPr>
      </w:pPr>
      <w:r>
        <w:rPr>
          <w:rStyle w:val="CRRefonteDeleted"/>
          <w:noProof/>
          <w:highlight w:val="lightGray"/>
        </w:rPr>
        <w:t>1.</w:t>
      </w:r>
      <w:r>
        <w:rPr>
          <w:rStyle w:val="CRRefonteDeleted"/>
          <w:noProof/>
          <w:highlight w:val="lightGray"/>
        </w:rPr>
        <w:tab/>
        <w:t>EIT je financován prostřednictvím příspěvku ze souhrnného rozpočtu Evropské unie v rámci finančního krytí uvedeného v článku 19 a z jiných soukromých a veřejných zdrojů.</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čl. 1 bod 11 písm. a) (přizpůsobený)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nový</w:t>
      </w:r>
    </w:p>
    <w:p>
      <w:pPr>
        <w:rPr>
          <w:noProof/>
        </w:rPr>
      </w:pPr>
      <w:r>
        <w:rPr>
          <w:rStyle w:val="CRMinorChangeAdded"/>
          <w:noProof/>
        </w:rPr>
        <w:t>1</w:t>
      </w:r>
      <w:r>
        <w:rPr>
          <w:rStyle w:val="CRMinorChangeDeleted"/>
          <w:noProof/>
        </w:rPr>
        <w:t>2</w:t>
      </w:r>
      <w:r>
        <w:rPr>
          <w:noProof/>
        </w:rPr>
        <w:t>.</w:t>
      </w:r>
      <w:r>
        <w:rPr>
          <w:noProof/>
        </w:rPr>
        <w:tab/>
        <w:t>Znalostní a inovační společenství jsou financována zejména z těchto zdrojů:</w:t>
      </w:r>
    </w:p>
    <w:p>
      <w:pPr>
        <w:pStyle w:val="Point0"/>
        <w:ind w:hanging="130"/>
        <w:rPr>
          <w:noProof/>
        </w:rPr>
      </w:pPr>
      <w:r>
        <w:rPr>
          <w:noProof/>
        </w:rPr>
        <w:t>a)</w:t>
      </w:r>
      <w:r>
        <w:rPr>
          <w:noProof/>
        </w:rPr>
        <w:tab/>
        <w:t>příspěvků od partnerských organizací, které představují podstatný zdroj financování;</w:t>
      </w:r>
    </w:p>
    <w:p>
      <w:pPr>
        <w:pStyle w:val="Point0"/>
        <w:ind w:hanging="130"/>
        <w:rPr>
          <w:noProof/>
        </w:rPr>
      </w:pPr>
      <w:r>
        <w:rPr>
          <w:noProof/>
        </w:rPr>
        <w:t>b)</w:t>
      </w:r>
      <w:r>
        <w:rPr>
          <w:noProof/>
        </w:rPr>
        <w:tab/>
        <w:t xml:space="preserve">dobrovolných příspěvků od členských států,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w:t>
      </w:r>
      <w:r>
        <w:rPr>
          <w:noProof/>
          <w:color w:val="000000"/>
        </w:rPr>
        <w:t>přidružených zemí nebo</w:t>
      </w:r>
      <w:r>
        <w:rPr>
          <w:noProof/>
        </w:rPr>
        <w:t>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color w:val="000000"/>
        </w:rPr>
        <w:t xml:space="preserve"> </w:t>
      </w:r>
      <w:r>
        <w:rPr>
          <w:noProof/>
        </w:rPr>
        <w:t>třetích zemí nebo jejich veřejných orgánů;</w:t>
      </w:r>
    </w:p>
    <w:p>
      <w:pPr>
        <w:pStyle w:val="Point0"/>
        <w:ind w:hanging="130"/>
        <w:rPr>
          <w:noProof/>
        </w:rPr>
      </w:pPr>
      <w:r>
        <w:rPr>
          <w:noProof/>
        </w:rPr>
        <w:t>c)</w:t>
      </w:r>
      <w:r>
        <w:rPr>
          <w:noProof/>
        </w:rPr>
        <w:tab/>
        <w:t>příspěvků od mezinárodních subjektů nebo institucí;</w:t>
      </w:r>
    </w:p>
    <w:p>
      <w:pPr>
        <w:pStyle w:val="Point0"/>
        <w:ind w:hanging="130"/>
        <w:rPr>
          <w:noProof/>
        </w:rPr>
      </w:pPr>
      <w:r>
        <w:rPr>
          <w:noProof/>
        </w:rPr>
        <w:t>d)</w:t>
      </w:r>
      <w:r>
        <w:rPr>
          <w:noProof/>
        </w:rPr>
        <w:tab/>
        <w:t>příjmů získaných z vlastních aktiv a z vlastní činnosti a poplatků z práv duševního vlastnictví znalostních a inovačních společenství;</w:t>
      </w:r>
    </w:p>
    <w:p>
      <w:pPr>
        <w:pStyle w:val="Point0"/>
        <w:ind w:hanging="130"/>
        <w:rPr>
          <w:noProof/>
        </w:rPr>
      </w:pPr>
      <w:r>
        <w:rPr>
          <w:noProof/>
        </w:rPr>
        <w:t>e)</w:t>
      </w:r>
      <w:r>
        <w:rPr>
          <w:noProof/>
        </w:rPr>
        <w:tab/>
        <w:t>kapitálových dotací</w:t>
      </w:r>
      <w:r>
        <w:rPr>
          <w:rStyle w:val="CRRefonteDeleted"/>
          <w:noProof/>
          <w:highlight w:val="lightGray"/>
        </w:rPr>
        <w:t>, včetně dotací spravovaných nadací EIT</w:t>
      </w:r>
      <w:r>
        <w:rPr>
          <w:noProof/>
        </w:rPr>
        <w:t>;</w:t>
      </w:r>
    </w:p>
    <w:p>
      <w:pPr>
        <w:pStyle w:val="Point0"/>
        <w:ind w:hanging="130"/>
        <w:rPr>
          <w:noProof/>
        </w:rPr>
      </w:pPr>
      <w:r>
        <w:rPr>
          <w:noProof/>
        </w:rPr>
        <w:t>f)</w:t>
      </w:r>
      <w:r>
        <w:rPr>
          <w:noProof/>
        </w:rPr>
        <w:tab/>
        <w:t xml:space="preserve">odkazů, darů nebo příspěvků od jednotlivců, institucí, nadací nebo jiných </w:t>
      </w:r>
      <w:r>
        <w:rPr>
          <w:rStyle w:val="CRDeleted"/>
          <w:noProof/>
        </w:rPr>
        <w:t>vnitrostátních</w:t>
      </w:r>
      <w:r>
        <w:rPr>
          <w:noProof/>
        </w:rPr>
        <w:t xml:space="preserve"> subjektů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zřízených podle vnitrostátního práva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pPr>
        <w:pStyle w:val="Point0"/>
        <w:ind w:hanging="130"/>
        <w:rPr>
          <w:noProof/>
        </w:rPr>
      </w:pPr>
      <w:r>
        <w:rPr>
          <w:noProof/>
        </w:rPr>
        <w:t>g)</w:t>
      </w:r>
      <w:r>
        <w:rPr>
          <w:noProof/>
        </w:rP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finančních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příspěvků od EIT;</w:t>
      </w:r>
    </w:p>
    <w:p>
      <w:pPr>
        <w:pStyle w:val="Point0"/>
        <w:ind w:hanging="130"/>
        <w:rPr>
          <w:noProof/>
        </w:rPr>
      </w:pPr>
      <w:r>
        <w:rPr>
          <w:noProof/>
        </w:rPr>
        <w:t>h)</w:t>
      </w:r>
      <w:r>
        <w:rPr>
          <w:noProof/>
        </w:rPr>
        <w:tab/>
        <w:t>finančních nástrojů, včetně těch, které jsou financovány ze souhrnného rozpočtu Evropské unie.</w:t>
      </w:r>
    </w:p>
    <w:p>
      <w:pPr>
        <w:rPr>
          <w:noProof/>
          <w:highlight w:val="lightGray"/>
        </w:rPr>
      </w:pPr>
      <w:r>
        <w:rPr>
          <w:rStyle w:val="CRRefonteDeleted"/>
          <w:noProof/>
          <w:highlight w:val="lightGray"/>
        </w:rPr>
        <w:t>Příspěvky mohou zahrnovat věcné příspěvky.</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w:t>
      </w:r>
    </w:p>
    <w:p>
      <w:pPr>
        <w:rPr>
          <w:noProof/>
        </w:rPr>
      </w:pPr>
      <w:r>
        <w:rPr>
          <w:rStyle w:val="CRMinorChangeAdded"/>
          <w:noProof/>
        </w:rPr>
        <w:t>2</w:t>
      </w:r>
      <w:r>
        <w:rPr>
          <w:rStyle w:val="CRMinorChangeDeleted"/>
          <w:noProof/>
        </w:rPr>
        <w:t>3</w:t>
      </w:r>
      <w:r>
        <w:rPr>
          <w:noProof/>
        </w:rPr>
        <w:t>.</w:t>
      </w:r>
      <w:r>
        <w:rPr>
          <w:noProof/>
        </w:rPr>
        <w:tab/>
        <w:t>Postupy pro přístup k financování od EIT se stanoví ve finančních předpisech EIT uvedených v čl. 2</w:t>
      </w:r>
      <w:r>
        <w:rPr>
          <w:rStyle w:val="CRMinorChangeAdded"/>
          <w:noProof/>
        </w:rPr>
        <w:t>2</w:t>
      </w:r>
      <w:r>
        <w:rPr>
          <w:rStyle w:val="CRMinorChangeDeleted"/>
          <w:noProof/>
        </w:rPr>
        <w:t>1</w:t>
      </w:r>
      <w:r>
        <w:rPr>
          <w:noProof/>
        </w:rPr>
        <w:t xml:space="preserve"> odst. 1.</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rPr>
          <w:noProof/>
        </w:rPr>
      </w:pPr>
      <w:r>
        <w:rPr>
          <w:noProof/>
          <w:color w:val="000000"/>
          <w:highlight w:val="lightGray"/>
        </w:rPr>
        <w:t>3. Rozpočtové závazky na akce, jejichž trvání přesahuje jeden rozpočtový rok, mohou být rozloženy do ročních splátek po dobu několika let s výhradou odpovídajícího monitorování odhadovaných finančních potřeb znalostních a inovačních společenství, které budou určovány na ročním základě.</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čl. 1 bod 11 písm. b) (přizpůsobený)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nový</w:t>
      </w:r>
    </w:p>
    <w:p>
      <w:pPr>
        <w:rPr>
          <w:noProof/>
        </w:rPr>
      </w:pPr>
      <w:r>
        <w:rPr>
          <w:noProof/>
        </w:rPr>
        <w:t>4.</w:t>
      </w:r>
      <w:r>
        <w:rPr>
          <w:noProof/>
        </w:rP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Finanční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příspěvek EIT pro znalostní a inovační společenství může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t>
      </w:r>
      <w:r>
        <w:rPr>
          <w:noProof/>
          <w:color w:val="000000"/>
          <w:highlight w:val="lightGray"/>
        </w:rPr>
        <w:t>v počátečních fázích existence znalostních a inovačních společenství</w:t>
      </w:r>
      <w:r>
        <w:rPr>
          <w:noProof/>
          <w:highlight w:val="lightGray"/>
        </w:rPr>
        <w: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pokrýt až 100 % celkových způsobilých nákladů na činnosti znalostních a inovačních společenství s přidanou hodnotou.</w:t>
      </w:r>
      <w:r>
        <w:rPr>
          <w:noProof/>
          <w:color w:val="000000"/>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t>
      </w:r>
      <w:r>
        <w:rPr>
          <w:noProof/>
          <w:color w:val="000000"/>
          <w:highlight w:val="lightGray"/>
        </w:rPr>
        <w:t>Tento příspěvek se v průběhu času postupně snižuje v souladu se sazbami spolufinancování stanovenými ve strategickém programu inovací.</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(přizpůsobený)</w:t>
      </w:r>
    </w:p>
    <w:p>
      <w:pPr>
        <w:pStyle w:val="CRReference"/>
        <w:rPr>
          <w:rStyle w:val="CRMinorChangeAdded"/>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pPr>
        <w:rPr>
          <w:noProof/>
        </w:rPr>
      </w:pPr>
      <w:r>
        <w:rPr>
          <w:noProof/>
        </w:rPr>
        <w:t>5.</w:t>
      </w:r>
      <w:r>
        <w:rPr>
          <w:noProof/>
        </w:rPr>
        <w:tab/>
        <w:t>Znalostní a inovační společenství nebo jejich partnerské organizace mohou požádat o </w:t>
      </w:r>
      <w:r>
        <w:rPr>
          <w:rStyle w:val="CRDeleted"/>
          <w:noProof/>
        </w:rPr>
        <w:t xml:space="preserve">pomoc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finanční příspěvek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w:t>
      </w:r>
      <w:r>
        <w:rPr>
          <w:rStyle w:val="CRDeleted"/>
          <w:noProof/>
        </w:rPr>
        <w:t>Společenství</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Unie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zejména v rámci programů a fondů </w:t>
      </w:r>
      <w:r>
        <w:rPr>
          <w:rStyle w:val="CRDeleted"/>
          <w:noProof/>
        </w:rPr>
        <w:t>Společenství</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Unie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a to v souladu s jejich příslušnými předpisy </w:t>
      </w:r>
      <w:r>
        <w:rPr>
          <w:rStyle w:val="CRRefonteDeleted"/>
          <w:noProof/>
          <w:highlight w:val="lightGray"/>
        </w:rPr>
        <w:t>a za stejných podmínek jako u ostatních žádostí</w:t>
      </w:r>
      <w:r>
        <w:rPr>
          <w:noProof/>
        </w:rPr>
        <w:t xml:space="preserve">. V takovém případě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tento příspěvek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se tato pomoc</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nepokrývá tytéž náklady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neposkytuje na činnosti</w:t>
      </w:r>
      <w:r>
        <w:rPr>
          <w:noProof/>
        </w:rPr>
        <w:t xml:space="preserve">, které jsou již financovány </w:t>
      </w:r>
      <w:r>
        <w:rPr>
          <w:rStyle w:val="CRDeleted"/>
          <w:noProof/>
        </w:rPr>
        <w:t>ze souhrnného rozpočtu Evropské</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podle jiného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programu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Unie.</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čl. 1 bod 11 písm. c)</w:t>
      </w:r>
    </w:p>
    <w:p>
      <w:pPr>
        <w:rPr>
          <w:rStyle w:val="CRRefonteDeleted"/>
          <w:noProof/>
          <w:highlight w:val="lightGray"/>
        </w:rPr>
      </w:pPr>
      <w:r>
        <w:rPr>
          <w:rStyle w:val="CRRefonteDeleted"/>
          <w:noProof/>
          <w:highlight w:val="lightGray"/>
        </w:rPr>
        <w:t>6.-</w:t>
      </w:r>
      <w:r>
        <w:rPr>
          <w:rStyle w:val="CRRefonteDeleted"/>
          <w:noProof/>
          <w:highlight w:val="lightGray"/>
        </w:rPr>
        <w:tab/>
        <w:t>Příspěvek EIT nepřesáhne v průměru 25 % celkových finančních prostředků znalostního a inovačního společenství.</w:t>
      </w:r>
    </w:p>
    <w:p>
      <w:pPr>
        <w:pStyle w:val="CRSeparator"/>
        <w:rPr>
          <w:rStyle w:val="CRRefonteDeleted"/>
          <w:noProof/>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rPr>
          <w:noProof/>
        </w:rPr>
      </w:pPr>
      <w:r>
        <w:rPr>
          <w:noProof/>
          <w:highlight w:val="lightGray"/>
        </w:rPr>
        <w:t>6.</w:t>
      </w:r>
      <w:r>
        <w:rPr>
          <w:noProof/>
          <w:highlight w:val="lightGray"/>
        </w:rPr>
        <w:tab/>
        <w:t xml:space="preserve">Příspěvky od partnerských organizací na financování znalostních a inovačních společenství se určí v souladu se sazbami spolufinancování uvedenými v odstavci 4 tohoto článku a odrážejí strategii znalostních a inovačních společenství pro finanční udržitelnost. </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čl. 1 bod 11 písm. c) (přizpůsobený)</w:t>
      </w:r>
    </w:p>
    <w:p>
      <w:pPr>
        <w:pStyle w:val="CRReference"/>
        <w:rPr>
          <w:rStyle w:val="CRRefonteDeleted"/>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nový</w:t>
      </w:r>
    </w:p>
    <w:p>
      <w:pPr>
        <w:rPr>
          <w:noProof/>
        </w:rPr>
      </w:pPr>
      <w:r>
        <w:rPr>
          <w:noProof/>
        </w:rPr>
        <w:t>7.</w:t>
      </w:r>
      <w:r>
        <w:rPr>
          <w:noProof/>
        </w:rPr>
        <w:tab/>
        <w:t xml:space="preserve">EIT vytvoří mechanismus konkurenčního </w:t>
      </w:r>
      <w:r>
        <w:rPr>
          <w:rStyle w:val="CRDeleted"/>
          <w:noProof/>
        </w:rPr>
        <w:t>přezkumu pro</w:t>
      </w:r>
      <w:r>
        <w:rPr>
          <w:noProof/>
        </w:rPr>
        <w:t xml:space="preserve"> přidělování odpovídajícího podílu svého ročního finančního příspěvku znalostním a inovačním společenstvím. Tento mechanismus zahrne posuzování plánů činnosti a výkonnosti znalostních a inovačních společenství podle výsledků zjištěných v rámci průběžného sledování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 a zejména jejich pokroku v dosahování finanční udržitelnosti</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čl. 1 bod 12 (přizpůsobený)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nový</w:t>
      </w:r>
    </w:p>
    <w:p>
      <w:pPr>
        <w:pStyle w:val="Titrearticle"/>
        <w:rPr>
          <w:noProof/>
        </w:rPr>
      </w:pPr>
      <w:r>
        <w:rPr>
          <w:noProof/>
        </w:rPr>
        <w:t xml:space="preserve">Článek </w:t>
      </w:r>
      <w:r>
        <w:rPr>
          <w:rStyle w:val="CRMinorChangeAdded"/>
          <w:noProof/>
        </w:rPr>
        <w:t>18</w:t>
      </w:r>
      <w:r>
        <w:rPr>
          <w:rStyle w:val="CRMinorChangeDeleted"/>
          <w:noProof/>
        </w:rPr>
        <w:t>15</w:t>
      </w:r>
    </w:p>
    <w:p>
      <w:pPr>
        <w:pStyle w:val="NormalCentered"/>
        <w:rPr>
          <w:b/>
          <w:bCs/>
          <w:noProof/>
        </w:rPr>
      </w:pPr>
      <w:r>
        <w:rPr>
          <w:b/>
          <w:bCs/>
          <w:noProof/>
        </w:rPr>
        <w:t>Vytváření programů a podávání zpráv</w:t>
      </w:r>
    </w:p>
    <w:p>
      <w:pPr>
        <w:rPr>
          <w:noProof/>
        </w:rPr>
      </w:pPr>
      <w:r>
        <w:rPr>
          <w:noProof/>
        </w:rPr>
        <w:t>1.</w:t>
      </w:r>
      <w:r>
        <w:rPr>
          <w:noProof/>
        </w:rPr>
        <w:tab/>
        <w:t xml:space="preserve">EIT přijme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jednotný programový dokument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w:t>
      </w:r>
      <w:r>
        <w:rPr>
          <w:rStyle w:val="CRRefonteDeleted"/>
          <w:noProof/>
          <w:highlight w:val="lightGray"/>
        </w:rPr>
        <w:t>klouzavý tříletý pracovní program</w:t>
      </w:r>
      <w:r>
        <w:rPr>
          <w:noProof/>
        </w:rPr>
        <w:t xml:space="preserve"> vycházející ze </w:t>
      </w:r>
      <w:r>
        <w:rPr>
          <w:rStyle w:val="CRDeleted"/>
          <w:noProof/>
        </w:rPr>
        <w:t>přijatého</w:t>
      </w:r>
      <w:r>
        <w:rPr>
          <w:noProof/>
        </w:rPr>
        <w:t xml:space="preserve"> strategického programu inovací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v souladu s jeho finančními předpisy</w:t>
      </w:r>
      <w:r>
        <w:rPr>
          <w:noProof/>
          <w:highlight w:val="lightGray"/>
        </w:rPr>
        <w:fldChar w:fldCharType="begin"/>
      </w:r>
      <w:r>
        <w:rPr>
          <w:noProof/>
          <w:highlight w:val="lightGray"/>
        </w:rPr>
        <w:instrText xml:space="preserve"> </w:instrText>
      </w:r>
      <w:r>
        <w:rPr>
          <w:noProof/>
          <w:highlight w:val="lightGray"/>
        </w:rPr>
        <w:fldChar w:fldCharType="end"/>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 který obsahuje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rStyle w:val="CRMinorChangeAdded"/>
          <w:noProof/>
        </w:rPr>
        <w:t>a)</w:t>
      </w:r>
      <w:r>
        <w:rPr>
          <w:noProof/>
        </w:rPr>
        <w:t xml:space="preserve"> prohlášení o hlavních prioritách a plánovaných iniciativách EIT a znalostních a inovačních společenství</w:t>
      </w:r>
      <w:r>
        <w:rPr>
          <w:rStyle w:val="CRMinorChangeAdded"/>
          <w:noProof/>
        </w:rPr>
        <w:t>;</w:t>
      </w:r>
      <w:r>
        <w:rPr>
          <w:rStyle w:val="CRMinorChangeDeleted"/>
          <w:noProof/>
        </w:rPr>
        <w:t>,</w:t>
      </w:r>
    </w:p>
    <w:p>
      <w:pPr>
        <w:rPr>
          <w:noProof/>
        </w:rPr>
      </w:pPr>
      <w:r>
        <w:rPr>
          <w:rStyle w:val="CRMinorChangeAdded"/>
          <w:noProof/>
        </w:rPr>
        <w:t>b)</w:t>
      </w:r>
      <w:r>
        <w:rPr>
          <w:rStyle w:val="CRDeleted"/>
          <w:noProof/>
        </w:rPr>
        <w:t>včetně</w:t>
      </w:r>
      <w:r>
        <w:rPr>
          <w:noProof/>
        </w:rPr>
        <w:t xml:space="preserve"> odhad finančních potřeb a zdrojů</w:t>
      </w:r>
      <w:r>
        <w:rPr>
          <w:rStyle w:val="CRMinorChangeAdded"/>
          <w:noProof/>
        </w:rPr>
        <w:t>;</w:t>
      </w:r>
    </w:p>
    <w:p>
      <w:pPr>
        <w:rPr>
          <w:noProof/>
          <w:color w:val="000000"/>
        </w:rPr>
      </w:pPr>
      <w:r>
        <w:rPr>
          <w:rStyle w:val="CRMinorChangeAdded"/>
          <w:noProof/>
        </w:rPr>
        <w:t>c)</w:t>
      </w:r>
      <w:r>
        <w:rPr>
          <w:noProof/>
        </w:rPr>
        <w:t xml:space="preserve"> </w:t>
      </w:r>
      <w:r>
        <w:rPr>
          <w:rStyle w:val="CRDeleted"/>
          <w:noProof/>
        </w:rPr>
        <w:t>Obsahuje také</w:t>
      </w:r>
      <w:r>
        <w:rPr>
          <w:noProof/>
        </w:rPr>
        <w:t xml:space="preserve"> vhodné ukazatele pro sledování činností znalostních a inovačních společenství a EIT při uplatnění přístupu zaměřeného na </w:t>
      </w:r>
      <w:r>
        <w:rPr>
          <w:rStyle w:val="CRDeleted"/>
          <w:noProof/>
        </w:rPr>
        <w:t>výsledky</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dopady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Added"/>
          <w:noProof/>
        </w:rPr>
        <w:t>;</w:t>
      </w:r>
      <w:r>
        <w:rPr>
          <w:noProof/>
        </w:rPr>
        <w:t xml:space="preserve"> </w:t>
      </w:r>
      <w:r>
        <w:rPr>
          <w:rStyle w:val="CRRefonteDeleted"/>
          <w:noProof/>
          <w:highlight w:val="lightGray"/>
        </w:rPr>
        <w:t>EIT předloží předběžný klouzavý tříletý pracovní program Komisi do 31. prosince roku, který končí dva roky před vstupem dotčeného tříletého pracovního programu (rok N–2) v platnost.</w:t>
      </w:r>
      <w:r>
        <w:rPr>
          <w:noProof/>
          <w:color w:val="000000"/>
        </w:rPr>
        <w:t xml:space="preserve"> </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rPr>
          <w:noProof/>
        </w:rPr>
      </w:pPr>
      <w:r>
        <w:rPr>
          <w:noProof/>
          <w:color w:val="000000"/>
          <w:highlight w:val="lightGray"/>
        </w:rPr>
        <w:t>d) další složky, jak jsou stanoveny v jeho finančních předpisech.</w:t>
      </w:r>
      <w:r>
        <w:rPr>
          <w:noProof/>
          <w:highlight w:val="lightGray"/>
        </w:rPr>
        <w:t xml:space="preserve"> </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čl. 1 bod 12 (přizpůsobený)</w:t>
      </w:r>
    </w:p>
    <w:p>
      <w:pPr>
        <w:pStyle w:val="CRReference"/>
        <w:rPr>
          <w:rStyle w:val="CRRefonteDeleted"/>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nový</w:t>
      </w:r>
    </w:p>
    <w:p>
      <w:pPr>
        <w:rPr>
          <w:noProof/>
          <w:highlight w:val="lightGray"/>
        </w:rPr>
      </w:pPr>
      <w:r>
        <w:rPr>
          <w:rStyle w:val="CRRefonteDeleted"/>
          <w:noProof/>
          <w:highlight w:val="lightGray"/>
        </w:rPr>
        <w:t>Komise vydá do tří měsíců od předložení pracovního programu stanovisko týkající se specifických cílů EIT stanovených v programu Horizont 2020 a na jeho návaznost na politiky a nástroje Unie. EIT stanovisko Komise náležitě zohlední a v případě nesouhlasu svůj postoj odůvodní. EIT předloží konečný pracovní program pro informaci Evropskému parlamentu, Radě, Komisi, Evropskému hospodářskému a sociálnímu výboru a Výboru regionů. Ředitel na požádání sdělí konečný pracovní program příslušnému výboru v Evropském parlamentu.</w:t>
      </w:r>
    </w:p>
    <w:p>
      <w:pPr>
        <w:rPr>
          <w:rStyle w:val="CRRefonteDeleted"/>
          <w:noProof/>
          <w:highlight w:val="lightGray"/>
        </w:rPr>
      </w:pPr>
      <w:r>
        <w:rPr>
          <w:noProof/>
        </w:rPr>
        <w:t>2.</w:t>
      </w:r>
      <w:r>
        <w:rPr>
          <w:noProof/>
        </w:rPr>
        <w:tab/>
        <w:t xml:space="preserve">EIT přijme </w:t>
      </w:r>
      <w:r>
        <w:rPr>
          <w:rStyle w:val="CRRefonteDeleted"/>
          <w:noProof/>
          <w:highlight w:val="lightGray"/>
        </w:rPr>
        <w:t>každoročně do 30. června</w:t>
      </w:r>
      <w:r>
        <w:rPr>
          <w:noProof/>
        </w:rPr>
        <w:t xml:space="preserve">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konsolidovanou</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color w:val="000000"/>
        </w:rPr>
        <w:t xml:space="preserve"> </w:t>
      </w:r>
      <w:r>
        <w:rPr>
          <w:noProof/>
        </w:rPr>
        <w:t xml:space="preserve">výroční zprávu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w:t>
      </w:r>
      <w:r>
        <w:rPr>
          <w:noProof/>
          <w:color w:val="000000"/>
        </w:rPr>
        <w:t>o činnosti</w:t>
      </w:r>
      <w:r>
        <w:rPr>
          <w:noProof/>
        </w:rPr>
        <w:t>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xml:space="preserve"> </w:t>
      </w:r>
      <w:r>
        <w:rPr>
          <w:rStyle w:val="CRRefonteDeleted"/>
          <w:noProof/>
          <w:highlight w:val="lightGray"/>
        </w:rPr>
        <w:t>.Ve zprávě</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xml:space="preserve"> , </w:t>
      </w:r>
      <w:r>
        <w:rPr>
          <w:noProof/>
          <w:color w:val="000000"/>
        </w:rPr>
        <w:t>která</w:t>
      </w:r>
      <w:r>
        <w:rPr>
          <w:noProof/>
        </w:rPr>
        <w:t>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color w:val="000000"/>
        </w:rPr>
        <w:t xml:space="preserve"> </w:t>
      </w:r>
      <w:r>
        <w:rPr>
          <w:rStyle w:val="CRDeleted"/>
          <w:noProof/>
        </w:rPr>
        <w:t>jsou uvedeny</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w:t>
      </w:r>
      <w:r>
        <w:rPr>
          <w:noProof/>
          <w:color w:val="000000"/>
        </w:rPr>
        <w:t>zahrnuje komplexní informace o</w:t>
      </w:r>
      <w:r>
        <w:rPr>
          <w:noProof/>
        </w:rPr>
        <w:t>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color w:val="000000"/>
        </w:rPr>
        <w:t xml:space="preserve"> </w:t>
      </w:r>
      <w:r>
        <w:rPr>
          <w:noProof/>
        </w:rPr>
        <w:t xml:space="preserve">činnostech provedených ze strany EIT a znalostních a inovačních společenství v průběhu předchozího kalendářního roku a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o </w:t>
      </w:r>
      <w:r>
        <w:rPr>
          <w:noProof/>
          <w:color w:val="000000"/>
          <w:highlight w:val="lightGray"/>
        </w:rPr>
        <w:t>příspěvku EIT k cílům rámcového programu Unie pro podporu výzkumu a inovací a</w:t>
      </w:r>
      <w:r>
        <w:rPr>
          <w:noProof/>
          <w:highlight w:val="lightGray"/>
        </w:rPr>
        <w: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w:t>
      </w:r>
      <w:r>
        <w:rPr>
          <w:noProof/>
          <w:color w:val="000000"/>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color w:val="000000"/>
        </w:rPr>
        <w:t>k politikám a cílům Unie v oblasti inovací, výzkumu a vzdělávání. Hodnotí rovněž</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výsledky s ohledem na stanovené cíle, ukazatele a harmonogram, rizika spojená s prováděnými činnostmi, využívání zdrojů a celkovou činností EIT.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Konsolidovaná výroční zpráva o činnosti</w:t>
      </w:r>
      <w:r>
        <w:rPr>
          <w:noProof/>
          <w:highlight w:val="lightGray"/>
        </w:rPr>
        <w:t xml:space="preserve"> </w:t>
      </w:r>
      <w:r>
        <w:rPr>
          <w:noProof/>
          <w:color w:val="000000"/>
          <w:highlight w:val="lightGray"/>
        </w:rPr>
        <w:t>obsahuje další komplexní informace v souladu s finančními předpisy EIT.</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w:t>
      </w:r>
      <w:r>
        <w:rPr>
          <w:rStyle w:val="CRRefonteDeleted"/>
          <w:noProof/>
          <w:highlight w:val="lightGray"/>
        </w:rPr>
        <w:t>EIT předá tuto výroční zprávu Evropskému parlamentu a Radě a informuje je nejméně jednou za rok o svých činnostech a o svém příspěvku k programu Horizont 2020 a k politikám a cílům Unie v oblasti inovací, výzkumu a vzdělávání.</w:t>
      </w:r>
    </w:p>
    <w:p>
      <w:pPr>
        <w:pStyle w:val="CRSeparator"/>
        <w:rPr>
          <w:noProof/>
        </w:rPr>
      </w:pPr>
    </w:p>
    <w:p>
      <w:pPr>
        <w:pStyle w:val="CRReference"/>
        <w:pBdr>
          <w:top w:val="single" w:sz="4" w:space="0" w:color="auto"/>
        </w:pBdr>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294/2008 (přizpůsobený)</w:t>
      </w:r>
    </w:p>
    <w:p>
      <w:pPr>
        <w:pStyle w:val="CRReference"/>
        <w:pBdr>
          <w:top w:val="single" w:sz="4" w:space="0" w:color="auto"/>
        </w:pBdr>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pPr>
        <w:pStyle w:val="Titrearticle"/>
        <w:rPr>
          <w:noProof/>
        </w:rPr>
      </w:pPr>
      <w:r>
        <w:rPr>
          <w:noProof/>
        </w:rPr>
        <w:t>Článek </w:t>
      </w:r>
      <w:r>
        <w:rPr>
          <w:rStyle w:val="CRMinorChangeAdded"/>
          <w:noProof/>
        </w:rPr>
        <w:t>19</w:t>
      </w:r>
      <w:r>
        <w:rPr>
          <w:rStyle w:val="CRMinorChangeDeleted"/>
          <w:noProof/>
        </w:rPr>
        <w:t>16</w:t>
      </w:r>
    </w:p>
    <w:p>
      <w:pPr>
        <w:pStyle w:val="NormalCentered"/>
        <w:rPr>
          <w:b/>
          <w:bCs/>
          <w:noProof/>
        </w:rPr>
      </w:pPr>
      <w:r>
        <w:rPr>
          <w:b/>
          <w:bCs/>
          <w:noProof/>
        </w:rPr>
        <w:t>Sledování a hodnocení EIT</w:t>
      </w:r>
    </w:p>
    <w:p>
      <w:pPr>
        <w:rPr>
          <w:noProof/>
        </w:rPr>
      </w:pPr>
      <w:r>
        <w:rPr>
          <w:noProof/>
        </w:rPr>
        <w:t>1.</w:t>
      </w:r>
      <w:r>
        <w:rPr>
          <w:noProof/>
        </w:rPr>
        <w:tab/>
        <w:t xml:space="preserve">EIT zajišťuje průběžné a systematické sledování a pravidelné nezávislé hodnocení svých činností, včetně činností řízených prostřednictvím znalostních a inovačních společenství,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v souladu se svými finančními předpisy,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s cílem dosáhnout nejkvalitnějších výsledků, vědecké excelence a nejúčinnějšího využívání zdrojů. Výsledky hodnocení se zveřejňují.</w:t>
      </w:r>
    </w:p>
    <w:p>
      <w:pPr>
        <w:rPr>
          <w:noProof/>
        </w:rPr>
      </w:pPr>
      <w:r>
        <w:rPr>
          <w:noProof/>
        </w:rPr>
        <w:t>2.</w:t>
      </w:r>
      <w:r>
        <w:rPr>
          <w:noProof/>
        </w:rPr>
        <w:tab/>
      </w:r>
      <w:r>
        <w:rPr>
          <w:rStyle w:val="CRRefonteDeleted"/>
          <w:noProof/>
          <w:highlight w:val="lightGray"/>
        </w:rPr>
        <w:t>Do června roku 2011 a každé tři roky po vstupu v platnost nového finančního rámce</w:t>
      </w:r>
      <w:r>
        <w:rPr>
          <w:noProof/>
        </w:rPr>
        <w:t xml:space="preserve"> Komise předloží hodnocení EIT</w:t>
      </w:r>
      <w:r>
        <w:rPr>
          <w:noProof/>
          <w:color w:val="000000"/>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t>
      </w:r>
      <w:r>
        <w:rPr>
          <w:noProof/>
          <w:color w:val="000000"/>
          <w:highlight w:val="lightGray"/>
        </w:rPr>
        <w:t>s pomocí nezávislých odborníků vybraných na základě transparentního postupu v souladu s jeho finančními předpisy</w:t>
      </w:r>
      <w:r>
        <w:rPr>
          <w:noProof/>
          <w:highlight w:val="lightGray"/>
        </w:rPr>
        <w: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 </w:t>
      </w:r>
      <w:r>
        <w:rPr>
          <w:rStyle w:val="CRRefonteDeleted"/>
          <w:noProof/>
          <w:highlight w:val="lightGray"/>
        </w:rPr>
        <w:t>Toto hodnocení vychází z nezávislého externího hodnocení 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color w:val="000000"/>
        </w:rPr>
        <w:t>Uvedená hodnocení</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color w:val="000000"/>
        </w:rPr>
        <w:t xml:space="preserve"> </w:t>
      </w:r>
      <w:r>
        <w:rPr>
          <w:noProof/>
        </w:rPr>
        <w:t>přezkoumají, jak EIT plní své poslání</w:t>
      </w:r>
      <w:r>
        <w:rPr>
          <w:rStyle w:val="CRMinorChangeAdded"/>
          <w:noProof/>
        </w:rPr>
        <w:t>,</w:t>
      </w:r>
      <w:r>
        <w:rPr>
          <w:rStyle w:val="CRMinorChangeDeleted"/>
          <w:noProof/>
        </w:rPr>
        <w:t>.</w:t>
      </w:r>
      <w:r>
        <w:rPr>
          <w:noProof/>
        </w:rPr>
        <w:t xml:space="preserve"> týkají se všech činností EIT a znalostních a inovačních společenství a posuzují </w:t>
      </w:r>
      <w:r>
        <w:rPr>
          <w:noProof/>
          <w:highlight w:val="lightGray"/>
        </w:rPr>
        <w:fldChar w:fldCharType="begin"/>
      </w:r>
      <w:r>
        <w:rPr>
          <w:noProof/>
          <w:highlight w:val="lightGray"/>
        </w:rPr>
        <w:instrText xml:space="preserve"> QUOTE "</w:instrText>
      </w:r>
      <w:r>
        <w:rPr>
          <w:rStyle w:val="CRMarker"/>
          <w:rFonts w:hint="eastAsia"/>
          <w:noProof/>
          <w:highlight w:val="lightGray"/>
        </w:rPr>
        <w:instrText>ð</w:instrText>
      </w:r>
      <w:r>
        <w:rPr>
          <w:noProof/>
          <w:highlight w:val="lightGray"/>
        </w:rPr>
        <w:instrText xml:space="preserve">" </w:instrText>
      </w:r>
      <w:r>
        <w:rPr>
          <w:noProof/>
          <w:highlight w:val="lightGray"/>
        </w:rPr>
        <w:fldChar w:fldCharType="separate"/>
      </w:r>
      <w:r>
        <w:rPr>
          <w:rStyle w:val="CRMarker"/>
          <w:rFonts w:hint="eastAsia"/>
          <w:noProof/>
          <w:highlight w:val="lightGray"/>
        </w:rPr>
        <w:t>ð</w:t>
      </w:r>
      <w:r>
        <w:rPr>
          <w:noProof/>
          <w:highlight w:val="lightGray"/>
        </w:rPr>
        <w:fldChar w:fldCharType="end"/>
      </w:r>
      <w:r>
        <w:rPr>
          <w:noProof/>
          <w:highlight w:val="lightGray"/>
        </w:rPr>
        <w:t> evropskou </w:t>
      </w:r>
      <w:r>
        <w:rPr>
          <w:noProof/>
          <w:highlight w:val="lightGray"/>
        </w:rPr>
        <w:fldChar w:fldCharType="begin"/>
      </w:r>
      <w:r>
        <w:rPr>
          <w:noProof/>
          <w:highlight w:val="lightGray"/>
        </w:rPr>
        <w:instrText xml:space="preserve"> QUOTE "</w:instrText>
      </w:r>
      <w:r>
        <w:rPr>
          <w:rStyle w:val="CRMarker"/>
          <w:rFonts w:hint="eastAsia"/>
          <w:noProof/>
          <w:highlight w:val="lightGray"/>
        </w:rPr>
        <w:instrText>ï</w:instrText>
      </w:r>
      <w:r>
        <w:rPr>
          <w:noProof/>
          <w:highlight w:val="lightGray"/>
        </w:rPr>
        <w:instrText xml:space="preserve">" </w:instrText>
      </w:r>
      <w:r>
        <w:rPr>
          <w:noProof/>
          <w:highlight w:val="lightGray"/>
        </w:rPr>
        <w:fldChar w:fldCharType="separate"/>
      </w:r>
      <w:r>
        <w:rPr>
          <w:rStyle w:val="CRMarker"/>
          <w:rFonts w:hint="eastAsia"/>
          <w:noProof/>
          <w:highlight w:val="lightGray"/>
        </w:rPr>
        <w:t>ï</w:t>
      </w:r>
      <w:r>
        <w:rPr>
          <w:noProof/>
          <w:highlight w:val="lightGray"/>
        </w:rPr>
        <w:fldChar w:fldCharType="end"/>
      </w:r>
      <w:r>
        <w:rPr>
          <w:noProof/>
        </w:rPr>
        <w:t xml:space="preserve"> přidanou hodnotu EIT, dopad, efektivitu, udržitelnost, účinnost a význam prováděných činností a jejich </w:t>
      </w:r>
      <w:r>
        <w:rPr>
          <w:rStyle w:val="CRRefonteDeleted"/>
          <w:noProof/>
          <w:highlight w:val="lightGray"/>
        </w:rPr>
        <w:t>vztah</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soudržnost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a/nebo doplňkovost, pokud jde o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příslušné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stávající</w:t>
      </w:r>
      <w:r>
        <w:rPr>
          <w:noProof/>
        </w:rPr>
        <w:t xml:space="preserve"> vnitrostátní politiky a politiky </w:t>
      </w:r>
      <w:r>
        <w:rPr>
          <w:rStyle w:val="CRDeleted"/>
          <w:noProof/>
        </w:rPr>
        <w:t>Společenství</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včetně součinnosti s jinými složkami rámcového programu Unie pro podporu výzkumu a inovací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na podporu vysokoškolského vzdělávání, výzkumu a inovací</w:t>
      </w:r>
      <w:r>
        <w:rPr>
          <w:noProof/>
        </w:rPr>
        <w:t xml:space="preserve">. </w:t>
      </w:r>
      <w:r>
        <w:rPr>
          <w:rStyle w:val="CRDeleted"/>
          <w:noProof/>
        </w:rPr>
        <w:t>Zohledňuje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color w:val="000000"/>
        </w:rPr>
        <w:t>Zohledňují</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color w:val="000000"/>
        </w:rPr>
        <w:t xml:space="preserve"> </w:t>
      </w:r>
      <w:r>
        <w:rPr>
          <w:noProof/>
        </w:rPr>
        <w:t>názory zúčastněných stran jak na evropské, tak i na vnitrostátní úrovni</w:t>
      </w:r>
      <w:r>
        <w:rPr>
          <w:noProof/>
          <w:color w:val="000000"/>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t>
      </w:r>
      <w:r>
        <w:rPr>
          <w:noProof/>
          <w:color w:val="000000"/>
          <w:highlight w:val="lightGray"/>
        </w:rPr>
        <w:t xml:space="preserve">a jsou podkladem pro hodnocení programů Komise stanovená v </w:t>
      </w:r>
      <w:r>
        <w:rPr>
          <w:bCs/>
          <w:noProof/>
          <w:highlight w:val="lightGray"/>
        </w:rPr>
        <w:t>rámcovém programu Unie pro podporu výzkumu a inovací</w:t>
      </w:r>
      <w:r>
        <w:rPr>
          <w:noProof/>
          <w:highlight w:val="lightGray"/>
        </w:rPr>
        <w: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1292/2013 čl. 1 bod 13 písm. b) (přizpůsobený)</w:t>
      </w:r>
    </w:p>
    <w:p>
      <w:pPr>
        <w:pStyle w:val="CRReference"/>
        <w:rPr>
          <w:rStyle w:val="CRMinorChangeAdded"/>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pPr>
        <w:rPr>
          <w:noProof/>
        </w:rPr>
      </w:pPr>
      <w:r>
        <w:rPr>
          <w:rStyle w:val="CRMinorChangeAdded"/>
          <w:noProof/>
        </w:rPr>
        <w:t>3</w:t>
      </w:r>
      <w:r>
        <w:rPr>
          <w:rStyle w:val="CRMinorChangeDeleted"/>
          <w:noProof/>
        </w:rPr>
        <w:t>2a</w:t>
      </w:r>
      <w:r>
        <w:rPr>
          <w:noProof/>
        </w:rPr>
        <w:t>.</w:t>
      </w:r>
      <w:r>
        <w:rPr>
          <w:noProof/>
        </w:rPr>
        <w:tab/>
        <w:t xml:space="preserve">Komise může s pomocí nezávislých odborníků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t>
      </w:r>
      <w:r>
        <w:rPr>
          <w:noProof/>
          <w:color w:val="000000"/>
          <w:highlight w:val="lightGray"/>
        </w:rPr>
        <w:t>vybraných na základě transparentního postupu</w:t>
      </w:r>
      <w:r>
        <w:rPr>
          <w:noProof/>
          <w:highlight w:val="lightGray"/>
        </w:rPr>
        <w: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provádět další hodnocení témat či oblastí strategického významu, a sledovat tak pokrok, kterého EIT dosáhl při plnění stanovených cílů, určit faktory, které přispívají k provádění činností, a určit osvědčené postupy. </w:t>
      </w:r>
      <w:r>
        <w:rPr>
          <w:rStyle w:val="CRDeleted"/>
          <w:noProof/>
        </w:rPr>
        <w:t>Při provádění těchto činností</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Při provádění uvedených dalších hodnocení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vezme Komise plně v úvahu administrativní dopad na EIT a znalostní a inovační společenství.</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294/2008 (přizpůsobený)</w:t>
      </w:r>
    </w:p>
    <w:p>
      <w:pPr>
        <w:rPr>
          <w:noProof/>
        </w:rPr>
      </w:pPr>
      <w:r>
        <w:rPr>
          <w:rStyle w:val="CRMinorChangeAdded"/>
          <w:noProof/>
        </w:rPr>
        <w:t>4</w:t>
      </w:r>
      <w:r>
        <w:rPr>
          <w:rStyle w:val="CRMinorChangeDeleted"/>
          <w:noProof/>
        </w:rPr>
        <w:t>3</w:t>
      </w:r>
      <w:r>
        <w:rPr>
          <w:noProof/>
        </w:rPr>
        <w:t>.</w:t>
      </w:r>
      <w:r>
        <w:rPr>
          <w:noProof/>
        </w:rPr>
        <w:tab/>
        <w:t xml:space="preserve">Komise </w:t>
      </w:r>
      <w:r>
        <w:rPr>
          <w:rStyle w:val="CRDeleted"/>
          <w:noProof/>
        </w:rPr>
        <w:t>předloží</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color w:val="000000"/>
        </w:rPr>
        <w:t>sdělí</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color w:val="000000"/>
        </w:rPr>
        <w:t xml:space="preserve"> </w:t>
      </w:r>
      <w:r>
        <w:rPr>
          <w:noProof/>
        </w:rPr>
        <w:t xml:space="preserve">výsledky hodnocení </w:t>
      </w:r>
      <w:r>
        <w:rPr>
          <w:rStyle w:val="CRDeleted"/>
          <w:noProof/>
        </w:rPr>
        <w:t>společně se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color w:val="000000"/>
        </w:rPr>
        <w:t>doplněné o</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color w:val="000000"/>
        </w:rPr>
        <w:t>své připomínky</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color w:val="000000"/>
        </w:rPr>
        <w:t xml:space="preserve"> </w:t>
      </w:r>
      <w:r>
        <w:rPr>
          <w:rStyle w:val="CRDeleted"/>
          <w:noProof/>
        </w:rPr>
        <w:t>svým stanoviskem a s případnými návrhy na změnu tohoto nařízení</w:t>
      </w:r>
      <w:r>
        <w:rPr>
          <w:noProof/>
        </w:rPr>
        <w:t xml:space="preserve"> Evropskému parlamentu, Radě, Evropskému hospodářskému a sociálnímu výboru a Výboru regionů. Správní rada nálezy hodnocení náležitě zohlední v programech a činnostech EIT.</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(přizpůsobený)</w:t>
      </w:r>
    </w:p>
    <w:p>
      <w:pPr>
        <w:pStyle w:val="Titrearticle"/>
        <w:rPr>
          <w:noProof/>
        </w:rPr>
      </w:pPr>
      <w:r>
        <w:rPr>
          <w:rStyle w:val="CRDeleted"/>
          <w:noProof/>
        </w:rPr>
        <w:t>Článek 18</w:t>
      </w:r>
    </w:p>
    <w:p>
      <w:pPr>
        <w:pStyle w:val="NormalCentered"/>
        <w:rPr>
          <w:b/>
          <w:bCs/>
          <w:noProof/>
        </w:rPr>
      </w:pPr>
      <w:r>
        <w:rPr>
          <w:rStyle w:val="CRDeleted"/>
          <w:b/>
          <w:noProof/>
        </w:rPr>
        <w:t>Počáteční fáze</w:t>
      </w:r>
    </w:p>
    <w:p>
      <w:pPr>
        <w:rPr>
          <w:noProof/>
        </w:rPr>
      </w:pPr>
      <w:r>
        <w:rPr>
          <w:rStyle w:val="CRDeleted"/>
          <w:noProof/>
        </w:rPr>
        <w:t>1.</w:t>
      </w:r>
      <w:r>
        <w:rPr>
          <w:rStyle w:val="CRDeleted"/>
          <w:noProof/>
        </w:rPr>
        <w:tab/>
        <w:t>Do dvanácti měsíců od svého vytvoření předloží správní rada Evropskému parlamentu, Radě a Komisi návrh prvního klouzavého tříletého pracovního programu uvedeného v čl. 15 písm. a). Evropský parlament, Rada a Komise mohou předložit správní radě stanovisko k jakékoliv záležitosti uvedené v návrhu do tří měsíců od dne, kdy jej obdrží. Pokud jsou EIT taková stanoviska předložena, správní rada na ně odpoví do tří měsíců a uvede případné úpravy priorit a plánovaných činností.</w:t>
      </w:r>
    </w:p>
    <w:p>
      <w:pPr>
        <w:rPr>
          <w:noProof/>
        </w:rPr>
      </w:pPr>
      <w:r>
        <w:rPr>
          <w:rStyle w:val="CRDeleted"/>
          <w:noProof/>
        </w:rPr>
        <w:t>2.</w:t>
      </w:r>
      <w:r>
        <w:rPr>
          <w:rStyle w:val="CRDeleted"/>
          <w:noProof/>
        </w:rPr>
        <w:tab/>
        <w:t>Do osmnácti měsíců od vytvoření správní rady EIT v souladu s kritérii a postupy stanovenými v článku 7 vybere a určí dvě nebo tři znalostní a inovační společenství.</w:t>
      </w:r>
    </w:p>
    <w:p>
      <w:pPr>
        <w:rPr>
          <w:noProof/>
        </w:rPr>
      </w:pPr>
      <w:r>
        <w:rPr>
          <w:rStyle w:val="CRDeleted"/>
          <w:noProof/>
        </w:rPr>
        <w:t>3.</w:t>
      </w:r>
      <w:r>
        <w:rPr>
          <w:rStyle w:val="CRDeleted"/>
          <w:noProof/>
        </w:rPr>
        <w:tab/>
        <w:t>Komise předloží návrh prvního strategického programu inovací na základě návrhu, který předloží EIT Evropskému parlamentu a Radě do konce roku 2011.</w:t>
      </w:r>
    </w:p>
    <w:p>
      <w:pPr>
        <w:rPr>
          <w:noProof/>
        </w:rPr>
      </w:pPr>
      <w:r>
        <w:rPr>
          <w:rStyle w:val="CRDeleted"/>
          <w:noProof/>
        </w:rPr>
        <w:t>Kromě obsahu strategického programu inovací v souladu s článkem 17 první strategický program inovací zahrnuje:</w:t>
      </w:r>
    </w:p>
    <w:p>
      <w:pPr>
        <w:pStyle w:val="Point0"/>
        <w:rPr>
          <w:noProof/>
        </w:rPr>
      </w:pPr>
      <w:r>
        <w:rPr>
          <w:noProof/>
        </w:rPr>
        <w:tab/>
      </w:r>
      <w:r>
        <w:rPr>
          <w:rStyle w:val="CRDeleted"/>
          <w:noProof/>
        </w:rPr>
        <w:t>a)</w:t>
      </w:r>
      <w:r>
        <w:rPr>
          <w:rStyle w:val="CRDeleted"/>
          <w:noProof/>
        </w:rPr>
        <w:tab/>
        <w:t>podrobné specifikace a pravomoci týkající se činnosti EIT;</w:t>
      </w:r>
    </w:p>
    <w:p>
      <w:pPr>
        <w:pStyle w:val="Point0"/>
        <w:rPr>
          <w:noProof/>
        </w:rPr>
      </w:pPr>
      <w:r>
        <w:rPr>
          <w:noProof/>
        </w:rPr>
        <w:tab/>
      </w:r>
      <w:r>
        <w:rPr>
          <w:rStyle w:val="CRDeleted"/>
          <w:noProof/>
        </w:rPr>
        <w:t>b)</w:t>
      </w:r>
      <w:r>
        <w:rPr>
          <w:rStyle w:val="CRDeleted"/>
          <w:noProof/>
        </w:rPr>
        <w:tab/>
        <w:t>způsoby spolupráce mezi správní radou a znalostními a inovačními společenstvími;</w:t>
      </w:r>
    </w:p>
    <w:p>
      <w:pPr>
        <w:pStyle w:val="Point0"/>
        <w:rPr>
          <w:noProof/>
        </w:rPr>
      </w:pPr>
      <w:r>
        <w:rPr>
          <w:noProof/>
        </w:rPr>
        <w:tab/>
      </w:r>
      <w:r>
        <w:rPr>
          <w:rStyle w:val="CRDeleted"/>
          <w:noProof/>
        </w:rPr>
        <w:t>c)</w:t>
      </w:r>
      <w:r>
        <w:rPr>
          <w:rStyle w:val="CRDeleted"/>
          <w:noProof/>
        </w:rPr>
        <w:tab/>
        <w:t>způsoby financování znalostních a inovačních společenství.</w:t>
      </w:r>
    </w:p>
    <w:p>
      <w:pPr>
        <w:rPr>
          <w:noProof/>
        </w:rPr>
      </w:pPr>
      <w:r>
        <w:rPr>
          <w:rStyle w:val="CRDeleted"/>
          <w:noProof/>
        </w:rPr>
        <w:t>4.</w:t>
      </w:r>
      <w:r>
        <w:rPr>
          <w:rStyle w:val="CRDeleted"/>
          <w:noProof/>
        </w:rPr>
        <w:tab/>
        <w:t>Po přijetí prvního strategického programu inovací v souladu s čl. 17 odst. 4 může správní rada vybrat a určit další znalostní a inovační společenství v souladu s články 6 a 7.</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čl. 1 bod 15 (přizpůsobený)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nový</w:t>
      </w:r>
    </w:p>
    <w:p>
      <w:pPr>
        <w:pStyle w:val="Titrearticle"/>
        <w:rPr>
          <w:rStyle w:val="CRDeleted"/>
          <w:dstrike w:val="0"/>
          <w:noProof/>
        </w:rPr>
      </w:pPr>
      <w:r>
        <w:rPr>
          <w:noProof/>
        </w:rPr>
        <w:t xml:space="preserve">Článek </w:t>
      </w:r>
      <w:r>
        <w:rPr>
          <w:rStyle w:val="CRMinorChangeAdded"/>
          <w:noProof/>
        </w:rPr>
        <w:t>20</w:t>
      </w:r>
      <w:r>
        <w:rPr>
          <w:rStyle w:val="CRMinorChangeDeleted"/>
          <w:noProof/>
        </w:rPr>
        <w:t>19</w:t>
      </w:r>
    </w:p>
    <w:p>
      <w:pPr>
        <w:pStyle w:val="NormalCentered"/>
        <w:rPr>
          <w:b/>
          <w:bCs/>
          <w:noProof/>
        </w:rPr>
      </w:pPr>
      <w:r>
        <w:rPr>
          <w:rStyle w:val="CRDeleted"/>
          <w:b/>
          <w:noProof/>
        </w:rPr>
        <w:t>Rozpočtové závazky</w:t>
      </w:r>
      <w:r>
        <w:rPr>
          <w:b/>
          <w:bCs/>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w:t>
      </w:r>
      <w:r>
        <w:rPr>
          <w:b/>
          <w:bCs/>
          <w:noProof/>
        </w:rPr>
        <w:t>Rozpočet EIT</w:t>
      </w:r>
      <w:r>
        <w:rPr>
          <w:noProof/>
        </w:rPr>
        <w:t>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p>
    <w:p>
      <w:pPr>
        <w:rPr>
          <w:noProof/>
          <w:highlight w:val="lightGray"/>
        </w:rPr>
      </w:pPr>
      <w:r>
        <w:rPr>
          <w:rStyle w:val="CRRefonteDeleted"/>
          <w:noProof/>
          <w:highlight w:val="lightGray"/>
        </w:rPr>
        <w:t>1.</w:t>
      </w:r>
      <w:r>
        <w:rPr>
          <w:rStyle w:val="CRRefonteDeleted"/>
          <w:noProof/>
          <w:highlight w:val="lightGray"/>
        </w:rPr>
        <w:tab/>
        <w:t>Finanční krytí z programu Horizont 2020 na provádění tohoto nařízení na období od 1. ledna 2014 do 31. prosince 2020 se stanoví na 2 711,4 milionů EUR v běžných cenách.</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rPr>
          <w:noProof/>
          <w:color w:val="000000" w:themeColor="text1"/>
          <w:highlight w:val="lightGray"/>
        </w:rPr>
      </w:pPr>
      <w:r>
        <w:rPr>
          <w:noProof/>
          <w:highlight w:val="lightGray"/>
        </w:rPr>
        <w:t>1.</w:t>
      </w:r>
      <w:r>
        <w:rPr>
          <w:noProof/>
          <w:highlight w:val="lightGray"/>
        </w:rPr>
        <w:tab/>
        <w:t xml:space="preserve">Příjmy EIT se skládají z příspěvku Unie. </w:t>
      </w:r>
      <w:r>
        <w:rPr>
          <w:noProof/>
          <w:color w:val="000000" w:themeColor="text1"/>
          <w:highlight w:val="lightGray"/>
        </w:rPr>
        <w:t>Příjmy EIT mohou rovněž zahrnovat příspěvek z jiných soukromých a veřejných zdrojů. </w:t>
      </w:r>
    </w:p>
    <w:p>
      <w:pPr>
        <w:rPr>
          <w:bCs/>
          <w:noProof/>
          <w:color w:val="000000" w:themeColor="text1"/>
          <w:highlight w:val="lightGray"/>
        </w:rPr>
      </w:pPr>
      <w:r>
        <w:rPr>
          <w:noProof/>
          <w:highlight w:val="lightGray"/>
        </w:rPr>
        <w:t>Příspěvek Unie může být poskytnut prostřednictvím finančního příspěvku z rámcového programu Unie pro podporu výzkumu a inovací a z jiných programů Unie, aniž jsou dotčeny částky, o nichž bylo rozhodnuto v příslušném VFR.</w:t>
      </w:r>
      <w:r>
        <w:rPr>
          <w:bCs/>
          <w:noProof/>
          <w:color w:val="000000" w:themeColor="text1"/>
          <w:highlight w:val="lightGray"/>
        </w:rPr>
        <w:t xml:space="preserve"> </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čl. 1 bod 15</w:t>
      </w:r>
    </w:p>
    <w:p>
      <w:pPr>
        <w:pStyle w:val="CRReference"/>
        <w:rPr>
          <w:rStyle w:val="CRRefonteDeleted"/>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pPr>
        <w:rPr>
          <w:noProof/>
          <w:highlight w:val="lightGray"/>
        </w:rPr>
      </w:pPr>
      <w:r>
        <w:rPr>
          <w:rStyle w:val="CRRefonteDeleted"/>
          <w:noProof/>
          <w:highlight w:val="lightGray"/>
        </w:rPr>
        <w:t>2.</w:t>
      </w:r>
      <w:r>
        <w:rPr>
          <w:rStyle w:val="CRRefonteDeleted"/>
          <w:noProof/>
          <w:highlight w:val="lightGray"/>
        </w:rPr>
        <w:tab/>
        <w:t>Tato částka představuje pro Evropský parlament a Radu během rozpočtového procesu hlavní referenční hodnotu ve smyslu bodu 17 interinstitucionální dohody ze dne 2. prosince 2013 mezi Evropským parlamentem, Radou a Komisí o rozpočtové kázni, spolupráci v rozpočtových záležitostech a řádném finančním řízení</w:t>
      </w:r>
      <w:r>
        <w:rPr>
          <w:rStyle w:val="CRRefonteDeleted"/>
          <w:noProof/>
          <w:highlight w:val="lightGray"/>
          <w:vertAlign w:val="superscript"/>
        </w:rPr>
        <w:footnoteReference w:id="25"/>
      </w:r>
      <w:r>
        <w:rPr>
          <w:rStyle w:val="CRRefonteDeleted"/>
          <w:noProof/>
          <w:highlight w:val="lightGray"/>
        </w:rPr>
        <w:t>.</w:t>
      </w:r>
    </w:p>
    <w:p>
      <w:pPr>
        <w:rPr>
          <w:noProof/>
        </w:rPr>
      </w:pPr>
      <w:r>
        <w:rPr>
          <w:rStyle w:val="CRMinorChangeAdded"/>
          <w:noProof/>
        </w:rPr>
        <w:t>2</w:t>
      </w:r>
      <w:r>
        <w:rPr>
          <w:rStyle w:val="CRMinorChangeDeleted"/>
          <w:noProof/>
        </w:rPr>
        <w:t>3</w:t>
      </w:r>
      <w:r>
        <w:rPr>
          <w:noProof/>
        </w:rPr>
        <w:t>.</w:t>
      </w:r>
      <w:r>
        <w:rPr>
          <w:noProof/>
        </w:rPr>
        <w:tab/>
      </w:r>
      <w:r>
        <w:rPr>
          <w:rStyle w:val="CRRefonteDeleted"/>
          <w:noProof/>
          <w:highlight w:val="lightGray"/>
        </w:rPr>
        <w:t>Roční rozpočtové položky schvaluje Evropský parlament a Rada v mezích finančního rámce.</w:t>
      </w:r>
      <w:r>
        <w:rPr>
          <w:noProof/>
        </w:rPr>
        <w:t xml:space="preserve"> Finanční příspěvek EIT do znalostních a inovačních společenství se poskytuje </w:t>
      </w:r>
      <w:r>
        <w:rPr>
          <w:rStyle w:val="CRRefonteDeleted"/>
          <w:noProof/>
          <w:highlight w:val="lightGray"/>
        </w:rPr>
        <w:t>v rámci tohoto finančního krytí</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z příspěvku Unie uvedeného v odstavci 1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pPr>
        <w:pStyle w:val="Titrearticle"/>
        <w:rPr>
          <w:noProof/>
        </w:rPr>
      </w:pPr>
      <w:r>
        <w:rPr>
          <w:noProof/>
        </w:rPr>
        <w:t>Článek </w:t>
      </w:r>
      <w:r>
        <w:rPr>
          <w:rStyle w:val="CRMinorChangeAdded"/>
          <w:noProof/>
        </w:rPr>
        <w:t>21</w:t>
      </w:r>
      <w:r>
        <w:rPr>
          <w:rStyle w:val="CRMinorChangeDeleted"/>
          <w:noProof/>
        </w:rPr>
        <w:t>20</w:t>
      </w:r>
    </w:p>
    <w:p>
      <w:pPr>
        <w:pStyle w:val="NormalCentered"/>
        <w:rPr>
          <w:b/>
          <w:bCs/>
          <w:noProof/>
        </w:rPr>
      </w:pPr>
      <w:r>
        <w:rPr>
          <w:b/>
          <w:bCs/>
          <w:noProof/>
        </w:rPr>
        <w:t>Příprava a přijetí ročního rozpočtu</w:t>
      </w:r>
    </w:p>
    <w:p>
      <w:pPr>
        <w:rPr>
          <w:noProof/>
        </w:rPr>
      </w:pPr>
      <w:r>
        <w:rPr>
          <w:noProof/>
        </w:rPr>
        <w:t>1.</w:t>
      </w:r>
      <w:r>
        <w:rPr>
          <w:noProof/>
        </w:rPr>
        <w:tab/>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Obsah a struktura rozpočtu EIT se stanoví v souladu s jeho finančními předpisy.</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color w:val="000000"/>
        </w:rPr>
        <w:t xml:space="preserve"> </w:t>
      </w:r>
      <w:r>
        <w:rPr>
          <w:noProof/>
        </w:rPr>
        <w:t>Výdaje EIT zahrnují výdaje na pracovníky, správu, infrastrukturu a provoz. Správní výdaje musí být co nejnižší.</w:t>
      </w:r>
    </w:p>
    <w:p>
      <w:pPr>
        <w:rPr>
          <w:noProof/>
          <w:highlight w:val="lightGray"/>
        </w:rPr>
      </w:pPr>
      <w:r>
        <w:rPr>
          <w:rStyle w:val="CRRefonteDeleted"/>
          <w:noProof/>
          <w:highlight w:val="lightGray"/>
        </w:rPr>
        <w:t>2.</w:t>
      </w:r>
      <w:r>
        <w:rPr>
          <w:rStyle w:val="CRRefonteDeleted"/>
          <w:noProof/>
          <w:highlight w:val="lightGray"/>
        </w:rPr>
        <w:tab/>
        <w:t>Rozpočtový rok odpovídá roku kalendářnímu.</w:t>
      </w:r>
    </w:p>
    <w:p>
      <w:pPr>
        <w:rPr>
          <w:noProof/>
        </w:rPr>
      </w:pPr>
      <w:r>
        <w:rPr>
          <w:rStyle w:val="CRMinorChangeAdded"/>
          <w:noProof/>
        </w:rPr>
        <w:t>2</w:t>
      </w:r>
      <w:r>
        <w:rPr>
          <w:rStyle w:val="CRMinorChangeDeleted"/>
          <w:noProof/>
        </w:rPr>
        <w:t>3</w:t>
      </w:r>
      <w:r>
        <w:rPr>
          <w:noProof/>
        </w:rPr>
        <w:t>.</w:t>
      </w:r>
      <w:r>
        <w:rPr>
          <w:noProof/>
        </w:rPr>
        <w:tab/>
        <w:t>Ředitel vypracuje odhad příjmů a výdajů EIT na následující rozpočtový rok a předloží jej správní radě.</w:t>
      </w:r>
    </w:p>
    <w:p>
      <w:pPr>
        <w:rPr>
          <w:noProof/>
          <w:highlight w:val="lightGray"/>
        </w:rPr>
      </w:pPr>
      <w:r>
        <w:rPr>
          <w:rStyle w:val="CRRefonteDeleted"/>
          <w:noProof/>
          <w:highlight w:val="lightGray"/>
        </w:rPr>
        <w:t>4.</w:t>
      </w:r>
      <w:r>
        <w:rPr>
          <w:rStyle w:val="CRRefonteDeleted"/>
          <w:noProof/>
          <w:highlight w:val="lightGray"/>
        </w:rPr>
        <w:tab/>
        <w:t>Rozpočet musí být vyrovnaný co do příjmů a výdajů.</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čl. 1 bod 16 písm. a)</w:t>
      </w:r>
    </w:p>
    <w:p>
      <w:pPr>
        <w:pStyle w:val="CRReference"/>
        <w:rPr>
          <w:rStyle w:val="CRMinorChangeAdded"/>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nový</w:t>
      </w:r>
    </w:p>
    <w:p>
      <w:pPr>
        <w:rPr>
          <w:noProof/>
        </w:rPr>
      </w:pPr>
      <w:r>
        <w:rPr>
          <w:rStyle w:val="CRMinorChangeAdded"/>
          <w:noProof/>
        </w:rPr>
        <w:t>3</w:t>
      </w:r>
      <w:r>
        <w:rPr>
          <w:rStyle w:val="CRMinorChangeDeleted"/>
          <w:noProof/>
        </w:rPr>
        <w:t>5</w:t>
      </w:r>
      <w:r>
        <w:rPr>
          <w:noProof/>
        </w:rPr>
        <w:t>.</w:t>
      </w:r>
      <w:r>
        <w:rPr>
          <w:noProof/>
        </w:rPr>
        <w:tab/>
        <w:t>Správní rada přijme návrh odhadu</w:t>
      </w:r>
      <w:r>
        <w:rPr>
          <w:noProof/>
          <w:color w:val="000000"/>
        </w:rPr>
        <w:t xml:space="preserve">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w:t>
      </w:r>
      <w:r>
        <w:rPr>
          <w:noProof/>
          <w:color w:val="000000"/>
          <w:highlight w:val="lightGray"/>
        </w:rPr>
        <w:t>příjmů a výdajů EIT</w:t>
      </w:r>
      <w:r>
        <w:rPr>
          <w:noProof/>
          <w:highlight w:val="lightGray"/>
        </w:rPr>
        <w: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společně s návrhem plánu pracovních míst </w:t>
      </w:r>
      <w:r>
        <w:rPr>
          <w:rStyle w:val="CRRefonteDeleted"/>
          <w:noProof/>
          <w:highlight w:val="lightGray"/>
        </w:rPr>
        <w:t>a předběžným klouzavým tříletým pracovním plánem</w:t>
      </w:r>
      <w:r>
        <w:rPr>
          <w:noProof/>
        </w:rPr>
        <w:t xml:space="preserve"> a předloží je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jako součást jednotného programového dokumentu do data specifikovaného ve finančních předpisech EIT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t>
      </w:r>
      <w:r>
        <w:rPr>
          <w:noProof/>
          <w:color w:val="000000"/>
          <w:highlight w:val="lightGray"/>
        </w:rPr>
        <w:t>Evropskému parlamentu, Radě</w:t>
      </w:r>
      <w:r>
        <w:rPr>
          <w:noProof/>
          <w:highlight w:val="lightGray"/>
        </w:rPr>
        <w:t> a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Komisi </w:t>
      </w:r>
      <w:r>
        <w:rPr>
          <w:rStyle w:val="CRRefonteDeleted"/>
          <w:noProof/>
          <w:highlight w:val="lightGray"/>
        </w:rPr>
        <w:t>do 31. prosince roku N–2</w:t>
      </w:r>
      <w:r>
        <w:rPr>
          <w:noProof/>
        </w:rPr>
        <w:t>.</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čl. 1 bod 16 písm. b)</w:t>
      </w:r>
    </w:p>
    <w:p>
      <w:pPr>
        <w:rPr>
          <w:noProof/>
          <w:highlight w:val="lightGray"/>
        </w:rPr>
      </w:pPr>
      <w:r>
        <w:rPr>
          <w:rStyle w:val="CRRefonteDeleted"/>
          <w:noProof/>
          <w:highlight w:val="lightGray"/>
        </w:rPr>
        <w:t>6.</w:t>
      </w:r>
      <w:r>
        <w:rPr>
          <w:rStyle w:val="CRRefonteDeleted"/>
          <w:noProof/>
          <w:highlight w:val="lightGray"/>
        </w:rPr>
        <w:tab/>
        <w:t>Na základě tohoto odhadu Komise zapracuje do návrhu souhrnného rozpočtu Unie podle svého uvážení odhady výše subvencí, které mají být poskytnuty ze souhrnného rozpočtu.</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 (přizpůsobený)</w:t>
      </w:r>
    </w:p>
    <w:p>
      <w:pPr>
        <w:rPr>
          <w:noProof/>
          <w:highlight w:val="lightGray"/>
        </w:rPr>
      </w:pPr>
      <w:r>
        <w:rPr>
          <w:rStyle w:val="CRRefonteDeleted"/>
          <w:noProof/>
          <w:highlight w:val="lightGray"/>
        </w:rPr>
        <w:t>7.</w:t>
      </w:r>
      <w:r>
        <w:rPr>
          <w:rStyle w:val="CRRefonteDeleted"/>
          <w:noProof/>
          <w:highlight w:val="lightGray"/>
        </w:rPr>
        <w:tab/>
        <w:t>Rozpočtový orgán schvaluje rozpočtové prostředky na subvence pro EIT.</w:t>
      </w:r>
    </w:p>
    <w:p>
      <w:pPr>
        <w:rPr>
          <w:noProof/>
        </w:rPr>
      </w:pPr>
      <w:r>
        <w:rPr>
          <w:rStyle w:val="CRMinorChangeAdded"/>
          <w:noProof/>
        </w:rPr>
        <w:t>4</w:t>
      </w:r>
      <w:r>
        <w:rPr>
          <w:rStyle w:val="CRMinorChangeDeleted"/>
          <w:noProof/>
        </w:rPr>
        <w:t>8</w:t>
      </w:r>
      <w:r>
        <w:rPr>
          <w:noProof/>
        </w:rPr>
        <w:t>.</w:t>
      </w:r>
      <w:r>
        <w:rPr>
          <w:noProof/>
        </w:rPr>
        <w:tab/>
        <w:t>Správní rada přijme rozpočet EIT, který se stane konečným po konečném přijetí souhrnného rozpočtu Evropské unie. V případě potřeby se náležitě upraví.</w:t>
      </w:r>
    </w:p>
    <w:p>
      <w:pPr>
        <w:rPr>
          <w:noProof/>
        </w:rPr>
      </w:pPr>
      <w:r>
        <w:rPr>
          <w:rStyle w:val="CRMinorChangeAdded"/>
          <w:noProof/>
        </w:rPr>
        <w:t>5</w:t>
      </w:r>
      <w:r>
        <w:rPr>
          <w:rStyle w:val="CRMinorChangeDeleted"/>
          <w:noProof/>
        </w:rPr>
        <w:t>9</w:t>
      </w:r>
      <w:r>
        <w:rPr>
          <w:noProof/>
        </w:rPr>
        <w:t>.</w:t>
      </w:r>
      <w:r>
        <w:rPr>
          <w:noProof/>
        </w:rPr>
        <w:tab/>
        <w:t>Pokud správní rada hodlá uskutečnit jakýkoli projekt, který může mít významný finanční dopad na financování rozpočtu EIT, zejména jedná-li se o projekty, které se vztahují k nemovitostem, například nájem nebo koupě budov, oznámí svůj záměr co nejdříve rozpočtovému orgánu. Informuje o tom Komisi.</w:t>
      </w:r>
    </w:p>
    <w:p>
      <w:pPr>
        <w:rPr>
          <w:noProof/>
        </w:rPr>
      </w:pPr>
      <w:r>
        <w:rPr>
          <w:rStyle w:val="CRMinorChangeAdded"/>
          <w:noProof/>
        </w:rPr>
        <w:t>6</w:t>
      </w:r>
      <w:r>
        <w:rPr>
          <w:rStyle w:val="CRMinorChangeDeleted"/>
          <w:noProof/>
        </w:rPr>
        <w:t>10</w:t>
      </w:r>
      <w:r>
        <w:rPr>
          <w:noProof/>
        </w:rPr>
        <w:t>.</w:t>
      </w:r>
      <w:r>
        <w:rPr>
          <w:noProof/>
        </w:rPr>
        <w:tab/>
        <w:t>Případné významné změny rozpočtu se provedou stejným postupem.</w:t>
      </w:r>
    </w:p>
    <w:p>
      <w:pPr>
        <w:pStyle w:val="NormalCentered"/>
        <w:rPr>
          <w:b/>
          <w:bCs/>
          <w:noProof/>
        </w:rPr>
      </w:pPr>
    </w:p>
    <w:p>
      <w:pPr>
        <w:pStyle w:val="Titrearticle"/>
        <w:rPr>
          <w:noProof/>
        </w:rPr>
      </w:pPr>
      <w:r>
        <w:rPr>
          <w:noProof/>
        </w:rPr>
        <w:t>Článek </w:t>
      </w:r>
      <w:r>
        <w:rPr>
          <w:rStyle w:val="CRMinorChangeAdded"/>
          <w:noProof/>
        </w:rPr>
        <w:t>22</w:t>
      </w:r>
      <w:r>
        <w:rPr>
          <w:rStyle w:val="CRMinorChangeDeleted"/>
          <w:noProof/>
        </w:rPr>
        <w:t>21</w:t>
      </w:r>
    </w:p>
    <w:p>
      <w:pPr>
        <w:pStyle w:val="NormalCentered"/>
        <w:rPr>
          <w:b/>
          <w:bCs/>
          <w:noProof/>
        </w:rPr>
      </w:pPr>
      <w:r>
        <w:rPr>
          <w:b/>
          <w:bCs/>
          <w:noProof/>
        </w:rPr>
        <w:t>Plnění a kontrola rozpočtu</w:t>
      </w:r>
    </w:p>
    <w:p>
      <w:pPr>
        <w:rPr>
          <w:noProof/>
        </w:rPr>
      </w:pPr>
      <w:r>
        <w:rPr>
          <w:noProof/>
        </w:rPr>
        <w:t>1.</w:t>
      </w:r>
      <w:r>
        <w:rPr>
          <w:noProof/>
        </w:rPr>
        <w:tab/>
        <w:t xml:space="preserve">EIT přijme své finanční předpisy v souladu s čl. </w:t>
      </w:r>
      <w:r>
        <w:rPr>
          <w:rStyle w:val="CRMinorChangeDeleted"/>
          <w:noProof/>
        </w:rPr>
        <w:t>185 odst. 1</w:t>
      </w:r>
      <w:r>
        <w:rPr>
          <w:noProof/>
        </w:rPr>
        <w:t xml:space="preserve"> </w:t>
      </w:r>
      <w:r>
        <w:rPr>
          <w:rStyle w:val="CRMinorChangeAdded"/>
          <w:noProof/>
        </w:rPr>
        <w:t>70 odst. 3</w:t>
      </w:r>
      <w:r>
        <w:rPr>
          <w:noProof/>
        </w:rPr>
        <w:t xml:space="preserve"> </w:t>
      </w:r>
      <w:r>
        <w:rPr>
          <w:noProof/>
        </w:rPr>
        <w:fldChar w:fldCharType="begin"/>
      </w:r>
      <w:r>
        <w:rPr>
          <w:noProof/>
        </w:rPr>
        <w:instrText xml:space="preserve"> QUOTE "</w:instrText>
      </w:r>
      <w:r>
        <w:rPr>
          <w:rStyle w:val="CRMarker"/>
          <w:rFonts w:cs="Wingdings"/>
          <w:noProof/>
        </w:rPr>
        <w:instrText>Ö</w:instrText>
      </w:r>
      <w:r>
        <w:rPr>
          <w:noProof/>
        </w:rPr>
        <w:instrText xml:space="preserve">" </w:instrText>
      </w:r>
      <w:r>
        <w:rPr>
          <w:noProof/>
        </w:rPr>
        <w:fldChar w:fldCharType="separate"/>
      </w:r>
      <w:r>
        <w:rPr>
          <w:rStyle w:val="CRMarker"/>
          <w:rFonts w:cs="Wingdings"/>
          <w:noProof/>
        </w:rPr>
        <w:t>Ö</w:t>
      </w:r>
      <w:r>
        <w:rPr>
          <w:noProof/>
        </w:rPr>
        <w:fldChar w:fldCharType="end"/>
      </w:r>
      <w:r>
        <w:rPr>
          <w:noProof/>
        </w:rPr>
        <w:t> </w:t>
      </w:r>
      <w:r>
        <w:rPr>
          <w:noProof/>
          <w:color w:val="000000"/>
        </w:rPr>
        <w:t>finančního nařízení</w:t>
      </w:r>
      <w:r>
        <w:rPr>
          <w:noProof/>
        </w:rPr>
        <w:t> </w:t>
      </w:r>
      <w:r>
        <w:rPr>
          <w:noProof/>
        </w:rPr>
        <w:fldChar w:fldCharType="begin"/>
      </w:r>
      <w:r>
        <w:rPr>
          <w:noProof/>
        </w:rPr>
        <w:instrText xml:space="preserve"> QUOTE "</w:instrText>
      </w:r>
      <w:r>
        <w:rPr>
          <w:rStyle w:val="CRMarker"/>
          <w:rFonts w:cs="Wingdings"/>
          <w:noProof/>
        </w:rPr>
        <w:instrText>Õ</w:instrText>
      </w:r>
      <w:r>
        <w:rPr>
          <w:noProof/>
        </w:rPr>
        <w:instrText xml:space="preserve">" </w:instrText>
      </w:r>
      <w:r>
        <w:rPr>
          <w:noProof/>
        </w:rPr>
        <w:fldChar w:fldCharType="separate"/>
      </w:r>
      <w:r>
        <w:rPr>
          <w:rStyle w:val="CRMarker"/>
          <w:rFonts w:cs="Wingdings"/>
          <w:noProof/>
        </w:rPr>
        <w:t>Õ</w:t>
      </w:r>
      <w:r>
        <w:rPr>
          <w:noProof/>
        </w:rPr>
        <w:fldChar w:fldCharType="end"/>
      </w:r>
      <w:r>
        <w:rPr>
          <w:noProof/>
        </w:rPr>
        <w:t> </w:t>
      </w:r>
      <w:r>
        <w:rPr>
          <w:rStyle w:val="CRDeleted"/>
          <w:noProof/>
        </w:rPr>
        <w:t>nařízení (ES, Euratom) č. 1605/2002</w:t>
      </w:r>
      <w:r>
        <w:rPr>
          <w:noProof/>
        </w:rPr>
        <w:t xml:space="preserve">. </w:t>
      </w:r>
      <w:r>
        <w:rPr>
          <w:rStyle w:val="CRRefonteDeleted"/>
          <w:noProof/>
          <w:highlight w:val="lightGray"/>
        </w:rPr>
        <w:t>Tyto předpisy se mohou odchýlit od nařízení (ES, Euratom) č. 2343/2002 pouze tehdy, pokud je to nezbytné pro zvláštní provozní potřeby EIT, a to s předchozím souhlasem Komise.</w:t>
      </w:r>
      <w:r>
        <w:rPr>
          <w:noProof/>
        </w:rPr>
        <w:t xml:space="preserve"> </w:t>
      </w:r>
      <w:r>
        <w:rPr>
          <w:rStyle w:val="CRDeleted"/>
          <w:noProof/>
        </w:rPr>
        <w:t>Náležitě</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Vhodným způsobem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se zohlední potřeba zajistit dostatečnou operační pružnost, aby EIT mohl dosáhnout svých cílů a získat a udržet partnery ze soukromého sektoru.</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čl. 1 bod 17 písm. a)</w:t>
      </w:r>
    </w:p>
    <w:p>
      <w:pPr>
        <w:pStyle w:val="CRReference"/>
        <w:rPr>
          <w:rStyle w:val="CRMinorChangeAdded"/>
          <w:noProof/>
          <w:highlight w:val="lightGray"/>
        </w:rPr>
      </w:pP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nový</w:t>
      </w:r>
    </w:p>
    <w:p>
      <w:pPr>
        <w:rPr>
          <w:noProof/>
        </w:rPr>
      </w:pPr>
      <w:r>
        <w:rPr>
          <w:rStyle w:val="CRMinorChangeAdded"/>
          <w:noProof/>
        </w:rPr>
        <w:t>2</w:t>
      </w:r>
      <w:r>
        <w:rPr>
          <w:rStyle w:val="CRMinorChangeDeleted"/>
          <w:noProof/>
        </w:rPr>
        <w:t>1a</w:t>
      </w:r>
      <w:r>
        <w:rPr>
          <w:noProof/>
        </w:rPr>
        <w:t>.</w:t>
      </w:r>
      <w:r>
        <w:rPr>
          <w:noProof/>
        </w:rPr>
        <w:tab/>
        <w:t xml:space="preserve">Finanční příspěvek pro EIT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xml:space="preserve"> z rámcového programu Unie pro podporu výzkumu a inovací a z jiných programů Unie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se provádí v souladu s </w:t>
      </w:r>
      <w:r>
        <w:rPr>
          <w:noProof/>
          <w:highlight w:val="lightGray"/>
        </w:rPr>
        <w:fldChar w:fldCharType="begin"/>
      </w:r>
      <w:r>
        <w:rPr>
          <w:noProof/>
          <w:highlight w:val="lightGray"/>
        </w:rPr>
        <w:instrText xml:space="preserve"> QUOTE "</w:instrText>
      </w:r>
      <w:r>
        <w:rPr>
          <w:rStyle w:val="CRMarker"/>
          <w:rFonts w:cs="Wingdings"/>
          <w:noProof/>
          <w:highlight w:val="lightGray"/>
        </w:rPr>
        <w:instrText>ð</w:instrText>
      </w:r>
      <w:r>
        <w:rPr>
          <w:noProof/>
          <w:highlight w:val="lightGray"/>
        </w:rPr>
        <w:instrText xml:space="preserve">" </w:instrText>
      </w:r>
      <w:r>
        <w:rPr>
          <w:noProof/>
          <w:highlight w:val="lightGray"/>
        </w:rPr>
        <w:fldChar w:fldCharType="separate"/>
      </w:r>
      <w:r>
        <w:rPr>
          <w:rStyle w:val="CRMarker"/>
          <w:rFonts w:cs="Wingdings"/>
          <w:noProof/>
          <w:highlight w:val="lightGray"/>
        </w:rPr>
        <w:t>ð</w:t>
      </w:r>
      <w:r>
        <w:rPr>
          <w:noProof/>
          <w:highlight w:val="lightGray"/>
        </w:rPr>
        <w:fldChar w:fldCharType="end"/>
      </w:r>
      <w:r>
        <w:rPr>
          <w:noProof/>
          <w:highlight w:val="lightGray"/>
        </w:rPr>
        <w:t xml:space="preserve"> pravidly uvedených programů </w:t>
      </w:r>
      <w:r>
        <w:rPr>
          <w:noProof/>
          <w:highlight w:val="lightGray"/>
        </w:rPr>
        <w:fldChar w:fldCharType="begin"/>
      </w:r>
      <w:r>
        <w:rPr>
          <w:noProof/>
          <w:highlight w:val="lightGray"/>
        </w:rPr>
        <w:instrText xml:space="preserve"> QUOTE "</w:instrText>
      </w:r>
      <w:r>
        <w:rPr>
          <w:rStyle w:val="CRMarker"/>
          <w:rFonts w:cs="Wingdings"/>
          <w:noProof/>
          <w:highlight w:val="lightGray"/>
        </w:rPr>
        <w:instrText>ï</w:instrText>
      </w:r>
      <w:r>
        <w:rPr>
          <w:noProof/>
          <w:highlight w:val="lightGray"/>
        </w:rPr>
        <w:instrText xml:space="preserve">" </w:instrText>
      </w:r>
      <w:r>
        <w:rPr>
          <w:noProof/>
          <w:highlight w:val="lightGray"/>
        </w:rPr>
        <w:fldChar w:fldCharType="separate"/>
      </w:r>
      <w:r>
        <w:rPr>
          <w:rStyle w:val="CRMarker"/>
          <w:rFonts w:cs="Wingdings"/>
          <w:noProof/>
          <w:highlight w:val="lightGray"/>
        </w:rPr>
        <w:t>ï</w:t>
      </w:r>
      <w:r>
        <w:rPr>
          <w:noProof/>
          <w:highlight w:val="lightGray"/>
        </w:rPr>
        <w:fldChar w:fldCharType="end"/>
      </w:r>
      <w:r>
        <w:rPr>
          <w:noProof/>
        </w:rPr>
        <w:t xml:space="preserve"> </w:t>
      </w:r>
      <w:r>
        <w:rPr>
          <w:rStyle w:val="CRRefonteDeleted"/>
          <w:noProof/>
          <w:highlight w:val="lightGray"/>
        </w:rPr>
        <w:t>nařízením (EU) č. 1290/2013 a nařízením (EU) č. 1291/2013</w:t>
      </w:r>
      <w:r>
        <w:rPr>
          <w:noProof/>
        </w:rPr>
        <w:t>.</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w:t>
      </w:r>
    </w:p>
    <w:p>
      <w:pPr>
        <w:rPr>
          <w:noProof/>
        </w:rPr>
      </w:pPr>
      <w:r>
        <w:rPr>
          <w:rStyle w:val="CRMinorChangeAdded"/>
          <w:noProof/>
        </w:rPr>
        <w:t>3</w:t>
      </w:r>
      <w:r>
        <w:rPr>
          <w:rStyle w:val="CRMinorChangeDeleted"/>
          <w:noProof/>
        </w:rPr>
        <w:t>2</w:t>
      </w:r>
      <w:r>
        <w:rPr>
          <w:noProof/>
        </w:rPr>
        <w:t>.</w:t>
      </w:r>
      <w:r>
        <w:rPr>
          <w:noProof/>
        </w:rPr>
        <w:tab/>
        <w:t>Rozpočet EIT plní ředitel.</w:t>
      </w:r>
    </w:p>
    <w:p>
      <w:pPr>
        <w:rPr>
          <w:noProof/>
        </w:rPr>
      </w:pPr>
      <w:r>
        <w:rPr>
          <w:rStyle w:val="CRMinorChangeAdded"/>
          <w:noProof/>
        </w:rPr>
        <w:t>4</w:t>
      </w:r>
      <w:r>
        <w:rPr>
          <w:rStyle w:val="CRMinorChangeDeleted"/>
          <w:noProof/>
        </w:rPr>
        <w:t>3</w:t>
      </w:r>
      <w:r>
        <w:rPr>
          <w:noProof/>
        </w:rPr>
        <w:t>.</w:t>
      </w:r>
      <w:r>
        <w:rPr>
          <w:noProof/>
        </w:rPr>
        <w:tab/>
        <w:t>Účty EIT jsou konsolidovány s účty Komise.</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čl. 1 bod 17 písm. b)</w:t>
      </w:r>
    </w:p>
    <w:p>
      <w:pPr>
        <w:rPr>
          <w:noProof/>
          <w:highlight w:val="lightGray"/>
        </w:rPr>
      </w:pPr>
      <w:r>
        <w:rPr>
          <w:rStyle w:val="CRRefonteDeleted"/>
          <w:noProof/>
          <w:highlight w:val="lightGray"/>
        </w:rPr>
        <w:t>4.</w:t>
      </w:r>
      <w:r>
        <w:rPr>
          <w:rStyle w:val="CRRefonteDeleted"/>
          <w:noProof/>
          <w:highlight w:val="lightGray"/>
        </w:rPr>
        <w:tab/>
        <w:t>Na doporučení Rady udělí Evropský parlament do 15. května roku N+2 za rozpočtový rok n řediteli absolutorium za plnění rozpočtu EIT.</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294/2008 (přizpůsobený)</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pPr>
        <w:pStyle w:val="Titrearticle"/>
        <w:rPr>
          <w:noProof/>
        </w:rPr>
      </w:pPr>
      <w:r>
        <w:rPr>
          <w:noProof/>
        </w:rPr>
        <w:t>Článek </w:t>
      </w:r>
      <w:r>
        <w:rPr>
          <w:rStyle w:val="CRMinorChangeAdded"/>
          <w:noProof/>
        </w:rPr>
        <w:t>23</w:t>
      </w:r>
      <w:r>
        <w:rPr>
          <w:rStyle w:val="CRMinorChangeDeleted"/>
          <w:noProof/>
        </w:rPr>
        <w:t>22</w:t>
      </w:r>
    </w:p>
    <w:p>
      <w:pPr>
        <w:pStyle w:val="NormalCentered"/>
        <w:rPr>
          <w:b/>
          <w:bCs/>
          <w:noProof/>
        </w:rPr>
      </w:pPr>
      <w:r>
        <w:rPr>
          <w:b/>
          <w:bCs/>
          <w:noProof/>
        </w:rPr>
        <w:t xml:space="preserve">Ochrana finančních zájmů </w:t>
      </w:r>
      <w:r>
        <w:rPr>
          <w:rStyle w:val="CRDeleted"/>
          <w:b/>
          <w:noProof/>
        </w:rPr>
        <w:t>Společenství</w:t>
      </w:r>
      <w:r>
        <w:rPr>
          <w:b/>
          <w:bCs/>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bCs/>
          <w:noProof/>
        </w:rPr>
        <w:t>Unie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1.</w:t>
      </w:r>
      <w:r>
        <w:rPr>
          <w:noProof/>
        </w:rPr>
        <w:tab/>
      </w:r>
      <w:r>
        <w:rPr>
          <w:rStyle w:val="CRMinorChangeDeleted"/>
          <w:noProof/>
        </w:rPr>
        <w:t>Nařízení Evropského parlamentu a Rady (ES) č. 1073/1999 ze dne 25. května 1999 o vyšetřování prováděném Evropským úřadem pro boj proti podvodům (OLAF)</w:t>
      </w:r>
      <w:r>
        <w:rPr>
          <w:rStyle w:val="CRMinorChangeDeleted"/>
          <w:noProof/>
          <w:vertAlign w:val="superscript"/>
        </w:rPr>
        <w:footnoteReference w:id="26"/>
      </w:r>
      <w:r>
        <w:rPr>
          <w:noProof/>
        </w:rPr>
        <w:t xml:space="preserve"> </w:t>
      </w:r>
      <w:r>
        <w:rPr>
          <w:rStyle w:val="CRMinorChangeAdded"/>
          <w:noProof/>
          <w:color w:val="000000"/>
        </w:rPr>
        <w:t>Nařízení Evropského parlamentu a Rady (EU, Euratom) č. 883/2013</w:t>
      </w:r>
      <w:r>
        <w:rPr>
          <w:rStyle w:val="CRMinorChangeAdded"/>
          <w:noProof/>
          <w:color w:val="000000"/>
          <w:vertAlign w:val="superscript"/>
        </w:rPr>
        <w:footnoteReference w:id="27"/>
      </w:r>
      <w:r>
        <w:rPr>
          <w:noProof/>
        </w:rPr>
        <w:t xml:space="preserve"> se v zájmu boje proti podvodům, korupci a jiným protiprávním aktům vztahuje na EIT v celém rozsahu.</w:t>
      </w:r>
    </w:p>
    <w:p>
      <w:pPr>
        <w:rPr>
          <w:noProof/>
        </w:rPr>
      </w:pPr>
      <w:r>
        <w:rPr>
          <w:noProof/>
        </w:rPr>
        <w:t>2.</w:t>
      </w:r>
      <w:r>
        <w:rPr>
          <w:noProof/>
        </w:rPr>
        <w:tab/>
        <w:t>EIT přistoupí k interinstitucionální dohodě ze dne 25. května 1999 mezi Evropským parlamentem, Radou Evropské unie a Komisí Evropských společenství o vnitřním vyšetřování prováděném Evropským úřadem pro boj proti podvodům (OLAF)</w:t>
      </w:r>
      <w:r>
        <w:rPr>
          <w:rStyle w:val="FootnoteReference"/>
          <w:noProof/>
        </w:rPr>
        <w:footnoteReference w:id="28"/>
      </w:r>
      <w:r>
        <w:rPr>
          <w:noProof/>
        </w:rPr>
        <w:t>. Správní rada toto přistoupení schválí a přijme nezbytná opatření za účelem pomoci úřadu OLAF při provádění vnitřního vyšetřování.</w:t>
      </w:r>
    </w:p>
    <w:p>
      <w:pPr>
        <w:rPr>
          <w:noProof/>
        </w:rPr>
      </w:pPr>
      <w:r>
        <w:rPr>
          <w:noProof/>
        </w:rPr>
        <w:t>3.</w:t>
      </w:r>
      <w:r>
        <w:rPr>
          <w:noProof/>
        </w:rPr>
        <w:tab/>
        <w:t xml:space="preserve">Všechna rozhodnutí, která EIT přijme, a všechny </w:t>
      </w:r>
      <w:r>
        <w:rPr>
          <w:rStyle w:val="CRRefonteDeleted"/>
          <w:noProof/>
          <w:highlight w:val="lightGray"/>
        </w:rPr>
        <w:t>smlouvy</w:t>
      </w:r>
      <w:r>
        <w:rPr>
          <w:noProof/>
        </w:rPr>
        <w:t>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rámcové dohody o partnerství nebo grantové dohody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které uzavře, výslovně uvádějí, že OLAF a Účetní dvůr mohou na místě provádět kontroly dokladů všech dodavatelů a subdodavatelů, kteří obdrželi finanční prostředky </w:t>
      </w:r>
      <w:r>
        <w:rPr>
          <w:rStyle w:val="CRDeleted"/>
          <w:noProof/>
        </w:rPr>
        <w:t>Společenství</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a to i v prostorách konečných příjemců.</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1292/2013 čl. 1 bod 19</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pPr>
        <w:pStyle w:val="Titrearticle"/>
        <w:rPr>
          <w:noProof/>
        </w:rPr>
      </w:pPr>
      <w:r>
        <w:rPr>
          <w:noProof/>
        </w:rPr>
        <w:t xml:space="preserve">Článek </w:t>
      </w:r>
      <w:r>
        <w:rPr>
          <w:rStyle w:val="CRMinorChangeAdded"/>
          <w:noProof/>
        </w:rPr>
        <w:t>24</w:t>
      </w:r>
      <w:r>
        <w:rPr>
          <w:rStyle w:val="CRMinorChangeDeleted"/>
          <w:noProof/>
        </w:rPr>
        <w:t>22a</w:t>
      </w:r>
    </w:p>
    <w:p>
      <w:pPr>
        <w:pStyle w:val="NormalCentered"/>
        <w:rPr>
          <w:b/>
          <w:bCs/>
          <w:noProof/>
        </w:rPr>
      </w:pPr>
      <w:r>
        <w:rPr>
          <w:b/>
          <w:bCs/>
          <w:noProof/>
        </w:rPr>
        <w:t>Zrušení EIT</w:t>
      </w:r>
    </w:p>
    <w:p>
      <w:pPr>
        <w:rPr>
          <w:noProof/>
        </w:rPr>
      </w:pPr>
      <w:r>
        <w:rPr>
          <w:noProof/>
        </w:rPr>
        <w:t>Dojde-li ke zrušení EIT, proběhne zrušení a likvidace pod dohledem Komise a v souladu s příslušnými právními předpisy.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Rámcové dohody o partnerství nebo grantové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dohody se znalostními a inovačními společenstvími </w:t>
      </w:r>
      <w:r>
        <w:rPr>
          <w:rStyle w:val="CRRefonteDeleted"/>
          <w:noProof/>
          <w:highlight w:val="lightGray"/>
        </w:rPr>
        <w:t>a akt, kterým se zřizuje nadace EIT,</w:t>
      </w:r>
      <w:r>
        <w:rPr>
          <w:noProof/>
        </w:rPr>
        <w:t xml:space="preserve"> obsahují pro účely takové situace odpovídající ustanovení.</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cs="Wingdings"/>
          <w:noProof/>
        </w:rPr>
        <w:instrText>ê</w:instrText>
      </w:r>
      <w:r>
        <w:rPr>
          <w:noProof/>
        </w:rPr>
        <w:instrText xml:space="preserve">" </w:instrText>
      </w:r>
      <w:r>
        <w:rPr>
          <w:noProof/>
        </w:rPr>
        <w:fldChar w:fldCharType="separate"/>
      </w:r>
      <w:r>
        <w:rPr>
          <w:rStyle w:val="CRMarker"/>
          <w:rFonts w:cs="Wingdings"/>
          <w:noProof/>
        </w:rPr>
        <w:t>ê</w:t>
      </w:r>
      <w:r>
        <w:rPr>
          <w:noProof/>
        </w:rPr>
        <w:fldChar w:fldCharType="end"/>
      </w:r>
      <w:r>
        <w:rPr>
          <w:noProof/>
        </w:rPr>
        <w:t> 294/2008</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pPr>
        <w:pStyle w:val="Titrearticle"/>
        <w:rPr>
          <w:noProof/>
        </w:rPr>
      </w:pPr>
      <w:r>
        <w:rPr>
          <w:noProof/>
        </w:rPr>
        <w:t>Článek </w:t>
      </w:r>
      <w:r>
        <w:rPr>
          <w:rStyle w:val="CRMinorChangeAdded"/>
          <w:noProof/>
        </w:rPr>
        <w:t>25</w:t>
      </w:r>
      <w:r>
        <w:rPr>
          <w:rStyle w:val="CRMinorChangeDeleted"/>
          <w:noProof/>
        </w:rPr>
        <w:t>23</w:t>
      </w:r>
    </w:p>
    <w:p>
      <w:pPr>
        <w:pStyle w:val="NormalCentered"/>
        <w:rPr>
          <w:b/>
          <w:bCs/>
          <w:noProof/>
        </w:rPr>
      </w:pPr>
      <w:r>
        <w:rPr>
          <w:b/>
          <w:bCs/>
          <w:noProof/>
        </w:rPr>
        <w:t>Stanovy</w:t>
      </w:r>
    </w:p>
    <w:p>
      <w:pPr>
        <w:rPr>
          <w:rStyle w:val="CRMinorChangeAdded"/>
          <w:noProof/>
        </w:rPr>
      </w:pPr>
      <w:r>
        <w:rPr>
          <w:rStyle w:val="CRRefonteDeleted"/>
          <w:noProof/>
          <w:highlight w:val="lightGray"/>
        </w:rPr>
        <w:t>Přijímají se</w:t>
      </w:r>
      <w:r>
        <w:rPr>
          <w:noProof/>
        </w:rPr>
        <w:t xml:space="preserve"> </w:t>
      </w:r>
      <w:r>
        <w:rPr>
          <w:rStyle w:val="CRMinorChangeDeleted"/>
          <w:noProof/>
        </w:rPr>
        <w:t>s</w:t>
      </w:r>
      <w:r>
        <w:rPr>
          <w:noProof/>
        </w:rPr>
        <w:t xml:space="preserve"> </w:t>
      </w:r>
      <w:r>
        <w:rPr>
          <w:rStyle w:val="CRMinorChangeAdded"/>
          <w:noProof/>
        </w:rPr>
        <w:t>S</w:t>
      </w:r>
      <w:r>
        <w:rPr>
          <w:noProof/>
        </w:rPr>
        <w:t xml:space="preserve">tanovy EIT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jsou stanoveny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MinorChangeDeleted"/>
          <w:noProof/>
        </w:rPr>
        <w:t>ve znění uvedeném</w:t>
      </w:r>
      <w:r>
        <w:rPr>
          <w:noProof/>
        </w:rPr>
        <w:t xml:space="preserve"> v příloze </w:t>
      </w:r>
      <w:r>
        <w:rPr>
          <w:rStyle w:val="CRMinorChangeAdded"/>
          <w:noProof/>
        </w:rPr>
        <w:t xml:space="preserve">I </w:t>
      </w:r>
      <w:r>
        <w:rPr>
          <w:noProof/>
        </w:rPr>
        <w:t>.</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pPr>
        <w:pStyle w:val="Titrearticle"/>
        <w:rPr>
          <w:rFonts w:eastAsia="Times New Roman"/>
          <w:noProof/>
          <w:snapToGrid w:val="0"/>
          <w:highlight w:val="lightGray"/>
        </w:rPr>
      </w:pPr>
      <w:r>
        <w:rPr>
          <w:noProof/>
          <w:snapToGrid w:val="0"/>
          <w:szCs w:val="20"/>
          <w:highlight w:val="lightGray"/>
        </w:rPr>
        <w:t>Článek 26</w:t>
      </w:r>
    </w:p>
    <w:p>
      <w:pPr>
        <w:pStyle w:val="NormalCentered"/>
        <w:rPr>
          <w:rFonts w:eastAsia="Times New Roman"/>
          <w:b/>
          <w:noProof/>
          <w:snapToGrid w:val="0"/>
          <w:highlight w:val="lightGray"/>
        </w:rPr>
      </w:pPr>
      <w:r>
        <w:rPr>
          <w:b/>
          <w:noProof/>
          <w:snapToGrid w:val="0"/>
          <w:highlight w:val="lightGray"/>
        </w:rPr>
        <w:t>Zrušení</w:t>
      </w:r>
    </w:p>
    <w:p>
      <w:pPr>
        <w:widowControl w:val="0"/>
        <w:spacing w:before="0" w:after="240"/>
        <w:jc w:val="left"/>
        <w:rPr>
          <w:noProof/>
          <w:color w:val="000000"/>
          <w:highlight w:val="lightGray"/>
        </w:rPr>
      </w:pPr>
      <w:r>
        <w:rPr>
          <w:noProof/>
          <w:color w:val="000000"/>
          <w:highlight w:val="lightGray"/>
        </w:rPr>
        <w:t>Nařízení (ES) č. 294/2008 se zrušuje.</w:t>
      </w:r>
    </w:p>
    <w:p>
      <w:pPr>
        <w:spacing w:before="0" w:after="240"/>
        <w:rPr>
          <w:noProof/>
          <w:color w:val="000000"/>
          <w:highlight w:val="lightGray"/>
        </w:rPr>
      </w:pPr>
      <w:r>
        <w:rPr>
          <w:noProof/>
          <w:color w:val="000000"/>
          <w:highlight w:val="lightGray"/>
        </w:rPr>
        <w:t>Odkazy na zrušené nařízení se považují za odkazy na toto nařízení v souladu se srovnávací tabulkou obsaženou v příloze III.</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294/2008</w:t>
      </w:r>
    </w:p>
    <w:p>
      <w:pPr>
        <w:pStyle w:val="Titrearticle"/>
        <w:rPr>
          <w:noProof/>
        </w:rPr>
      </w:pPr>
      <w:r>
        <w:rPr>
          <w:noProof/>
        </w:rPr>
        <w:t xml:space="preserve">Článek </w:t>
      </w:r>
      <w:r>
        <w:rPr>
          <w:rStyle w:val="CRMinorChangeAdded"/>
          <w:noProof/>
        </w:rPr>
        <w:t>27</w:t>
      </w:r>
      <w:r>
        <w:rPr>
          <w:rStyle w:val="CRMinorChangeDeleted"/>
          <w:noProof/>
        </w:rPr>
        <w:t>24</w:t>
      </w:r>
    </w:p>
    <w:p>
      <w:pPr>
        <w:pStyle w:val="NormalCentered"/>
        <w:rPr>
          <w:b/>
          <w:bCs/>
          <w:noProof/>
        </w:rPr>
      </w:pPr>
      <w:r>
        <w:rPr>
          <w:b/>
          <w:bCs/>
          <w:noProof/>
        </w:rPr>
        <w:t>Vstup v platnost</w:t>
      </w:r>
    </w:p>
    <w:p>
      <w:pPr>
        <w:rPr>
          <w:noProof/>
        </w:rPr>
      </w:pPr>
      <w:r>
        <w:rPr>
          <w:noProof/>
        </w:rPr>
        <w:t>Toto nařízení vstupuje v platnost dvacátým dnem po vyhlášení v </w:t>
      </w:r>
      <w:r>
        <w:rPr>
          <w:i/>
          <w:noProof/>
        </w:rPr>
        <w:t>Úředním věstníku Evropské unie</w:t>
      </w:r>
      <w:r>
        <w:rPr>
          <w:noProof/>
        </w:rPr>
        <w:t>.</w:t>
      </w:r>
    </w:p>
    <w:p>
      <w:pPr>
        <w:pStyle w:val="Applicationdirecte"/>
        <w:rPr>
          <w:noProof/>
        </w:rPr>
      </w:pPr>
      <w:r>
        <w:rPr>
          <w:noProof/>
        </w:rPr>
        <w:t>Toto nařízení je závazné v celém rozsahu a přímo použitelné ve všech členských státech.</w:t>
      </w:r>
    </w:p>
    <w:p>
      <w:pPr>
        <w:pStyle w:val="Fait"/>
        <w:rPr>
          <w:noProof/>
        </w:rPr>
      </w:pPr>
      <w:r>
        <w:t>V Bruselu dne</w:t>
      </w:r>
    </w:p>
    <w:p>
      <w:pPr>
        <w:pStyle w:val="Institutionquisigne"/>
        <w:rPr>
          <w:noProof/>
        </w:rPr>
      </w:pPr>
      <w:r>
        <w:rPr>
          <w:noProof/>
        </w:rPr>
        <w:t>Za Evropský parlament</w:t>
      </w:r>
      <w:r>
        <w:rPr>
          <w:noProof/>
        </w:rPr>
        <w:tab/>
        <w:t>Za Radu</w:t>
      </w:r>
    </w:p>
    <w:p>
      <w:pPr>
        <w:pStyle w:val="Personnequisigne"/>
        <w:rPr>
          <w:noProof/>
        </w:rPr>
      </w:pPr>
      <w:r>
        <w:rPr>
          <w:noProof/>
        </w:rPr>
        <w:t>předseda/předsedkyně</w:t>
      </w:r>
      <w:r>
        <w:rPr>
          <w:noProof/>
        </w:rPr>
        <w:tab/>
        <w:t>předseda/předsedkyně</w:t>
      </w:r>
    </w:p>
    <w:bookmarkEnd w:id="2"/>
    <w:p>
      <w:pPr>
        <w:pStyle w:val="Fichefinanciretitre"/>
        <w:rPr>
          <w:rFonts w:eastAsia="Calibri"/>
          <w:noProof/>
        </w:rPr>
      </w:pPr>
      <w:r>
        <w:rPr>
          <w:noProof/>
        </w:rPr>
        <w:br w:type="page"/>
        <w:t>LEGISLATIVNÍ FINANČNÍ VÝKAZ</w:t>
      </w:r>
    </w:p>
    <w:p>
      <w:pPr>
        <w:keepNext/>
        <w:tabs>
          <w:tab w:val="left" w:pos="850"/>
        </w:tabs>
        <w:ind w:left="850" w:hanging="850"/>
        <w:outlineLvl w:val="0"/>
        <w:rPr>
          <w:rFonts w:eastAsia="Calibri"/>
          <w:b/>
          <w:smallCaps/>
          <w:noProof/>
        </w:rPr>
      </w:pPr>
      <w:r>
        <w:rPr>
          <w:b/>
          <w:smallCaps/>
          <w:noProof/>
        </w:rPr>
        <w:t xml:space="preserve">1. </w:t>
      </w:r>
      <w:r>
        <w:rPr>
          <w:b/>
          <w:smallCaps/>
          <w:noProof/>
        </w:rPr>
        <w:tab/>
        <w:t xml:space="preserve">RÁMEC NÁVRHU/PODNĚTU </w:t>
      </w:r>
    </w:p>
    <w:p>
      <w:pPr>
        <w:keepNext/>
        <w:tabs>
          <w:tab w:val="left" w:pos="850"/>
        </w:tabs>
        <w:ind w:left="850" w:hanging="850"/>
        <w:outlineLvl w:val="1"/>
        <w:rPr>
          <w:rFonts w:eastAsia="Calibri"/>
          <w:noProof/>
        </w:rPr>
      </w:pPr>
      <w:r>
        <w:rPr>
          <w:noProof/>
        </w:rPr>
        <w:t>1.1.</w:t>
      </w:r>
      <w:r>
        <w:rPr>
          <w:noProof/>
        </w:rPr>
        <w:tab/>
        <w:t>Název návrhu/podnětu</w:t>
      </w:r>
    </w:p>
    <w:p>
      <w:pPr>
        <w:keepNext/>
        <w:tabs>
          <w:tab w:val="left" w:pos="850"/>
        </w:tabs>
        <w:ind w:left="850" w:hanging="850"/>
        <w:outlineLvl w:val="1"/>
        <w:rPr>
          <w:rFonts w:eastAsia="Calibri"/>
          <w:noProof/>
        </w:rPr>
      </w:pPr>
      <w:r>
        <w:rPr>
          <w:noProof/>
        </w:rPr>
        <w:t>1.2.</w:t>
      </w:r>
      <w:r>
        <w:rPr>
          <w:noProof/>
        </w:rPr>
        <w:tab/>
        <w:t>Příslušné oblasti politik (skupina programů)</w:t>
      </w:r>
    </w:p>
    <w:p>
      <w:pPr>
        <w:keepNext/>
        <w:tabs>
          <w:tab w:val="left" w:pos="850"/>
        </w:tabs>
        <w:ind w:left="850" w:hanging="850"/>
        <w:outlineLvl w:val="1"/>
        <w:rPr>
          <w:rFonts w:eastAsia="Calibri"/>
          <w:noProof/>
        </w:rPr>
      </w:pPr>
      <w:r>
        <w:rPr>
          <w:noProof/>
        </w:rPr>
        <w:t>1.3.</w:t>
      </w:r>
      <w:r>
        <w:rPr>
          <w:noProof/>
        </w:rPr>
        <w:tab/>
        <w:t>Povaha návrhu/podnětu</w:t>
      </w:r>
    </w:p>
    <w:p>
      <w:pPr>
        <w:keepNext/>
        <w:tabs>
          <w:tab w:val="left" w:pos="850"/>
        </w:tabs>
        <w:ind w:left="850" w:hanging="850"/>
        <w:outlineLvl w:val="1"/>
        <w:rPr>
          <w:rFonts w:eastAsia="Calibri"/>
          <w:noProof/>
        </w:rPr>
      </w:pPr>
      <w:r>
        <w:rPr>
          <w:noProof/>
        </w:rPr>
        <w:t>1.4.</w:t>
      </w:r>
      <w:r>
        <w:rPr>
          <w:noProof/>
        </w:rPr>
        <w:tab/>
        <w:t>Odůvodnění návrhu/podnětu</w:t>
      </w:r>
    </w:p>
    <w:p>
      <w:pPr>
        <w:keepNext/>
        <w:tabs>
          <w:tab w:val="left" w:pos="850"/>
        </w:tabs>
        <w:ind w:left="850" w:hanging="850"/>
        <w:outlineLvl w:val="1"/>
        <w:rPr>
          <w:rFonts w:eastAsia="Calibri"/>
          <w:i/>
          <w:noProof/>
        </w:rPr>
      </w:pPr>
      <w:r>
        <w:rPr>
          <w:i/>
          <w:noProof/>
        </w:rPr>
        <w:t>1.4.1.</w:t>
      </w:r>
      <w:r>
        <w:rPr>
          <w:i/>
          <w:noProof/>
        </w:rPr>
        <w:tab/>
        <w:t>Potřeby, které mají být uspokojeny v krátkodobém nebo dlouhodobém horizontu, včetně podrobného harmonogramu pro zahajovací fázi provádění podnětu</w:t>
      </w:r>
    </w:p>
    <w:p>
      <w:pPr>
        <w:keepNext/>
        <w:tabs>
          <w:tab w:val="left" w:pos="850"/>
        </w:tabs>
        <w:ind w:left="850" w:hanging="850"/>
        <w:outlineLvl w:val="1"/>
        <w:rPr>
          <w:rFonts w:eastAsia="Calibri"/>
          <w:i/>
          <w:noProof/>
        </w:rPr>
      </w:pPr>
      <w:r>
        <w:rPr>
          <w:i/>
          <w:noProof/>
        </w:rPr>
        <w:t>1.4.2.</w:t>
      </w:r>
      <w:r>
        <w:rPr>
          <w:i/>
          <w:noProof/>
        </w:rPr>
        <w:tab/>
        <w:t>Přidaná hodnota ze zapojení Unie (může být důsledkem různých faktorů, např. přínosů z koordinace, právní jistoty, vyšší účinnosti nebo doplňkovosti). Pro účely tohoto bodu se „přidanou hodnotou ze zapojení Unie“ rozumí hodnota plynoucí ze zásahu Unie, jež doplňuje hodnotu, která by jinak vznikla činností samotných členských států.</w:t>
      </w:r>
    </w:p>
    <w:p>
      <w:pPr>
        <w:keepNext/>
        <w:tabs>
          <w:tab w:val="left" w:pos="850"/>
        </w:tabs>
        <w:ind w:left="850" w:hanging="850"/>
        <w:outlineLvl w:val="1"/>
        <w:rPr>
          <w:rFonts w:eastAsia="Calibri"/>
          <w:i/>
          <w:noProof/>
        </w:rPr>
      </w:pPr>
      <w:r>
        <w:rPr>
          <w:i/>
          <w:noProof/>
        </w:rPr>
        <w:t>1.4.3.</w:t>
      </w:r>
      <w:r>
        <w:rPr>
          <w:i/>
          <w:noProof/>
        </w:rPr>
        <w:tab/>
        <w:t>Závěry vyvozené z podobných zkušeností v minulosti</w:t>
      </w:r>
    </w:p>
    <w:p>
      <w:pPr>
        <w:keepNext/>
        <w:tabs>
          <w:tab w:val="left" w:pos="850"/>
        </w:tabs>
        <w:ind w:left="850" w:hanging="850"/>
        <w:outlineLvl w:val="1"/>
        <w:rPr>
          <w:rFonts w:eastAsia="Calibri"/>
          <w:i/>
          <w:noProof/>
        </w:rPr>
      </w:pPr>
      <w:r>
        <w:rPr>
          <w:i/>
          <w:noProof/>
        </w:rPr>
        <w:t>1.4.4.</w:t>
      </w:r>
      <w:r>
        <w:rPr>
          <w:i/>
          <w:noProof/>
        </w:rPr>
        <w:tab/>
        <w:t>Soulad a možná synergie s dalšími vhodnými nástroji</w:t>
      </w:r>
    </w:p>
    <w:p>
      <w:pPr>
        <w:keepNext/>
        <w:tabs>
          <w:tab w:val="left" w:pos="850"/>
        </w:tabs>
        <w:ind w:left="850" w:hanging="850"/>
        <w:outlineLvl w:val="1"/>
        <w:rPr>
          <w:rFonts w:eastAsia="Calibri"/>
          <w:noProof/>
        </w:rPr>
      </w:pPr>
      <w:r>
        <w:rPr>
          <w:noProof/>
        </w:rPr>
        <w:t>1.5.</w:t>
      </w:r>
      <w:r>
        <w:rPr>
          <w:noProof/>
        </w:rPr>
        <w:tab/>
        <w:t>Doba trvání a finanční dopad návrhu/podnětu</w:t>
      </w:r>
    </w:p>
    <w:p>
      <w:pPr>
        <w:keepNext/>
        <w:tabs>
          <w:tab w:val="left" w:pos="850"/>
        </w:tabs>
        <w:ind w:left="850" w:hanging="850"/>
        <w:outlineLvl w:val="1"/>
        <w:rPr>
          <w:rFonts w:eastAsia="Calibri"/>
          <w:noProof/>
        </w:rPr>
      </w:pPr>
      <w:r>
        <w:rPr>
          <w:noProof/>
        </w:rPr>
        <w:t>1.6.</w:t>
      </w:r>
      <w:r>
        <w:rPr>
          <w:noProof/>
        </w:rPr>
        <w:tab/>
        <w:t>Předpokládaný způsob řízení</w:t>
      </w:r>
    </w:p>
    <w:p>
      <w:pPr>
        <w:keepNext/>
        <w:tabs>
          <w:tab w:val="left" w:pos="850"/>
        </w:tabs>
        <w:ind w:left="850" w:hanging="850"/>
        <w:outlineLvl w:val="1"/>
        <w:rPr>
          <w:rFonts w:eastAsia="Calibri"/>
          <w:noProof/>
        </w:rPr>
      </w:pPr>
      <w:r>
        <w:rPr>
          <w:noProof/>
        </w:rPr>
        <w:t>1.7.</w:t>
      </w:r>
      <w:r>
        <w:rPr>
          <w:noProof/>
        </w:rPr>
        <w:tab/>
        <w:t>Předpokládaný způsob řízení</w:t>
      </w:r>
    </w:p>
    <w:p>
      <w:pPr>
        <w:keepNext/>
        <w:tabs>
          <w:tab w:val="left" w:pos="850"/>
        </w:tabs>
        <w:spacing w:before="360"/>
        <w:ind w:left="850" w:hanging="850"/>
        <w:outlineLvl w:val="0"/>
        <w:rPr>
          <w:rFonts w:eastAsia="Calibri"/>
          <w:b/>
          <w:smallCaps/>
          <w:noProof/>
        </w:rPr>
      </w:pPr>
      <w:r>
        <w:rPr>
          <w:b/>
          <w:smallCaps/>
          <w:noProof/>
        </w:rPr>
        <w:t>2.</w:t>
      </w:r>
      <w:r>
        <w:rPr>
          <w:b/>
          <w:smallCaps/>
          <w:noProof/>
        </w:rPr>
        <w:tab/>
        <w:t xml:space="preserve">SPRÁVNÍ OPATŘENÍ </w:t>
      </w:r>
    </w:p>
    <w:p>
      <w:pPr>
        <w:keepNext/>
        <w:tabs>
          <w:tab w:val="left" w:pos="850"/>
        </w:tabs>
        <w:ind w:left="850" w:hanging="850"/>
        <w:outlineLvl w:val="1"/>
        <w:rPr>
          <w:rFonts w:eastAsia="Calibri"/>
          <w:noProof/>
        </w:rPr>
      </w:pPr>
      <w:r>
        <w:rPr>
          <w:noProof/>
        </w:rPr>
        <w:tab/>
        <w:t>2.1.</w:t>
      </w:r>
      <w:r>
        <w:rPr>
          <w:noProof/>
        </w:rPr>
        <w:tab/>
        <w:t>Pravidla pro sledování a podávání zpráv</w:t>
      </w:r>
    </w:p>
    <w:p>
      <w:pPr>
        <w:keepNext/>
        <w:tabs>
          <w:tab w:val="left" w:pos="850"/>
        </w:tabs>
        <w:ind w:left="850" w:hanging="850"/>
        <w:outlineLvl w:val="1"/>
        <w:rPr>
          <w:rFonts w:eastAsia="Calibri"/>
          <w:noProof/>
        </w:rPr>
      </w:pPr>
      <w:r>
        <w:rPr>
          <w:noProof/>
        </w:rPr>
        <w:tab/>
        <w:t>2.2.</w:t>
      </w:r>
      <w:r>
        <w:rPr>
          <w:noProof/>
        </w:rPr>
        <w:tab/>
        <w:t>Systémy řízení a kontroly</w:t>
      </w:r>
    </w:p>
    <w:p>
      <w:pPr>
        <w:keepNext/>
        <w:ind w:left="851" w:hanging="851"/>
        <w:outlineLvl w:val="1"/>
        <w:rPr>
          <w:rFonts w:eastAsia="Calibri"/>
          <w:i/>
          <w:noProof/>
        </w:rPr>
      </w:pPr>
      <w:r>
        <w:rPr>
          <w:i/>
          <w:noProof/>
        </w:rPr>
        <w:tab/>
        <w:t>2.2.1.</w:t>
      </w:r>
      <w:r>
        <w:rPr>
          <w:i/>
          <w:noProof/>
        </w:rPr>
        <w:tab/>
        <w:t>Odůvodnění navrhovaných způsobů řízení, mechanismů provádění financování, způsobů plateb a kontrolní strategie</w:t>
      </w:r>
    </w:p>
    <w:p>
      <w:pPr>
        <w:keepNext/>
        <w:tabs>
          <w:tab w:val="left" w:pos="850"/>
        </w:tabs>
        <w:ind w:left="850" w:hanging="850"/>
        <w:outlineLvl w:val="1"/>
        <w:rPr>
          <w:rFonts w:eastAsia="Calibri"/>
          <w:i/>
          <w:noProof/>
        </w:rPr>
      </w:pPr>
      <w:r>
        <w:rPr>
          <w:i/>
          <w:noProof/>
        </w:rPr>
        <w:tab/>
        <w:t>2.2.2.</w:t>
      </w:r>
      <w:r>
        <w:rPr>
          <w:i/>
          <w:noProof/>
        </w:rPr>
        <w:tab/>
        <w:t>Informace o zjištěných rizicích a systémech vnitřní kontroly zřízených k jejich zmírnění</w:t>
      </w:r>
    </w:p>
    <w:p>
      <w:pPr>
        <w:keepNext/>
        <w:tabs>
          <w:tab w:val="left" w:pos="850"/>
        </w:tabs>
        <w:ind w:left="850" w:hanging="850"/>
        <w:outlineLvl w:val="1"/>
        <w:rPr>
          <w:rFonts w:eastAsia="Calibri"/>
          <w:i/>
          <w:noProof/>
        </w:rPr>
      </w:pPr>
      <w:r>
        <w:rPr>
          <w:i/>
          <w:noProof/>
        </w:rPr>
        <w:tab/>
        <w:t>2.2.3.</w:t>
      </w:r>
      <w:r>
        <w:rPr>
          <w:i/>
          <w:noProof/>
        </w:rPr>
        <w:tab/>
        <w:t>Odhad a odůvodnění nákladové efektivnosti kontrol (poměr „náklady na kontroly ÷ hodnota souvisejících spravovaných finančních prostředků“) a posouzení očekávané míry rizika výskytu chyb (při platbě a při uzávěrce)</w:t>
      </w:r>
    </w:p>
    <w:p>
      <w:pPr>
        <w:keepNext/>
        <w:tabs>
          <w:tab w:val="left" w:pos="850"/>
        </w:tabs>
        <w:ind w:left="850" w:hanging="850"/>
        <w:outlineLvl w:val="1"/>
        <w:rPr>
          <w:rFonts w:eastAsia="Calibri"/>
          <w:noProof/>
        </w:rPr>
      </w:pPr>
      <w:r>
        <w:rPr>
          <w:noProof/>
        </w:rPr>
        <w:tab/>
        <w:t>2.3.</w:t>
      </w:r>
      <w:r>
        <w:rPr>
          <w:noProof/>
        </w:rPr>
        <w:tab/>
        <w:t>Opatření k zamezení podvodů a nesrovnalostí</w:t>
      </w:r>
    </w:p>
    <w:p>
      <w:pPr>
        <w:keepNext/>
        <w:tabs>
          <w:tab w:val="left" w:pos="850"/>
        </w:tabs>
        <w:spacing w:before="360"/>
        <w:ind w:left="850" w:hanging="850"/>
        <w:outlineLvl w:val="0"/>
        <w:rPr>
          <w:rFonts w:eastAsia="Calibri"/>
          <w:b/>
          <w:smallCaps/>
          <w:noProof/>
        </w:rPr>
      </w:pPr>
      <w:r>
        <w:rPr>
          <w:b/>
          <w:smallCaps/>
          <w:noProof/>
        </w:rPr>
        <w:t>3.</w:t>
      </w:r>
      <w:r>
        <w:rPr>
          <w:b/>
          <w:smallCaps/>
          <w:noProof/>
        </w:rPr>
        <w:tab/>
        <w:t xml:space="preserve">ODHADOVANÝ FINANČNÍ DOPAD NÁVRHU/PODNĚTU </w:t>
      </w:r>
    </w:p>
    <w:p>
      <w:pPr>
        <w:keepNext/>
        <w:tabs>
          <w:tab w:val="left" w:pos="850"/>
        </w:tabs>
        <w:ind w:left="850" w:hanging="850"/>
        <w:outlineLvl w:val="1"/>
        <w:rPr>
          <w:rFonts w:eastAsia="Calibri"/>
          <w:noProof/>
        </w:rPr>
      </w:pPr>
      <w:r>
        <w:rPr>
          <w:noProof/>
        </w:rPr>
        <w:tab/>
        <w:t>3.1.</w:t>
      </w:r>
      <w:r>
        <w:rPr>
          <w:noProof/>
        </w:rPr>
        <w:tab/>
        <w:t>Okruh víceletého finančního rámce a nově navržené výdajové rozpočtové položky</w:t>
      </w:r>
    </w:p>
    <w:p>
      <w:pPr>
        <w:keepNext/>
        <w:tabs>
          <w:tab w:val="left" w:pos="850"/>
        </w:tabs>
        <w:ind w:left="850" w:hanging="850"/>
        <w:outlineLvl w:val="1"/>
        <w:rPr>
          <w:rFonts w:eastAsia="Calibri"/>
          <w:b/>
          <w:noProof/>
        </w:rPr>
      </w:pPr>
      <w:r>
        <w:rPr>
          <w:noProof/>
        </w:rPr>
        <w:tab/>
        <w:t>3.2.</w:t>
      </w:r>
      <w:r>
        <w:rPr>
          <w:noProof/>
        </w:rPr>
        <w:tab/>
        <w:t>Odhadovaný dopad na výdaje</w:t>
      </w:r>
    </w:p>
    <w:p>
      <w:pPr>
        <w:keepNext/>
        <w:tabs>
          <w:tab w:val="left" w:pos="850"/>
        </w:tabs>
        <w:ind w:left="850" w:hanging="850"/>
        <w:outlineLvl w:val="2"/>
        <w:rPr>
          <w:rFonts w:eastAsia="Calibri"/>
          <w:i/>
          <w:noProof/>
        </w:rPr>
      </w:pPr>
      <w:r>
        <w:rPr>
          <w:i/>
          <w:noProof/>
        </w:rPr>
        <w:tab/>
        <w:t>3.2.1.</w:t>
      </w:r>
      <w:r>
        <w:rPr>
          <w:i/>
          <w:noProof/>
        </w:rPr>
        <w:tab/>
        <w:t>Odhadovaný souhrnný dopad na výdaje</w:t>
      </w:r>
    </w:p>
    <w:p>
      <w:pPr>
        <w:keepNext/>
        <w:tabs>
          <w:tab w:val="left" w:pos="850"/>
        </w:tabs>
        <w:ind w:left="850" w:hanging="850"/>
        <w:outlineLvl w:val="2"/>
        <w:rPr>
          <w:rFonts w:eastAsia="Calibri"/>
          <w:i/>
          <w:noProof/>
        </w:rPr>
      </w:pPr>
      <w:r>
        <w:rPr>
          <w:i/>
          <w:noProof/>
        </w:rPr>
        <w:tab/>
        <w:t>3.2.2.</w:t>
      </w:r>
      <w:r>
        <w:rPr>
          <w:i/>
          <w:noProof/>
        </w:rPr>
        <w:tab/>
        <w:t>Odhadovaný souhrnný dopad na prostředky správní povahy</w:t>
      </w:r>
    </w:p>
    <w:p>
      <w:pPr>
        <w:keepNext/>
        <w:tabs>
          <w:tab w:val="left" w:pos="850"/>
        </w:tabs>
        <w:ind w:left="850" w:hanging="850"/>
        <w:outlineLvl w:val="2"/>
        <w:rPr>
          <w:rFonts w:eastAsia="Calibri"/>
          <w:i/>
          <w:noProof/>
        </w:rPr>
      </w:pPr>
      <w:r>
        <w:rPr>
          <w:i/>
          <w:noProof/>
        </w:rPr>
        <w:tab/>
        <w:t>3.2.3.</w:t>
      </w:r>
      <w:r>
        <w:rPr>
          <w:i/>
          <w:noProof/>
        </w:rPr>
        <w:tab/>
        <w:t>Příspěvky třetích stran</w:t>
      </w:r>
    </w:p>
    <w:p>
      <w:pPr>
        <w:keepNext/>
        <w:tabs>
          <w:tab w:val="left" w:pos="850"/>
        </w:tabs>
        <w:ind w:left="850" w:hanging="850"/>
        <w:jc w:val="left"/>
        <w:outlineLvl w:val="1"/>
        <w:rPr>
          <w:rFonts w:eastAsia="Calibri"/>
          <w:noProof/>
        </w:rPr>
      </w:pPr>
      <w:r>
        <w:rPr>
          <w:noProof/>
        </w:rPr>
        <w:tab/>
        <w:t>3.3.</w:t>
      </w:r>
      <w:r>
        <w:rPr>
          <w:noProof/>
        </w:rPr>
        <w:tab/>
        <w:t>Odhadovaný dopad na příjmy</w:t>
      </w:r>
    </w:p>
    <w:p>
      <w:pPr>
        <w:keepNext/>
        <w:tabs>
          <w:tab w:val="left" w:pos="850"/>
        </w:tabs>
        <w:jc w:val="left"/>
        <w:outlineLvl w:val="1"/>
        <w:rPr>
          <w:rFonts w:eastAsia="Calibri"/>
          <w:noProof/>
          <w:lang w:eastAsia="en-GB"/>
        </w:rPr>
        <w:sectPr>
          <w:pgSz w:w="11907" w:h="16840" w:code="9"/>
          <w:pgMar w:top="1134" w:right="1418" w:bottom="1134" w:left="1418" w:header="709" w:footer="709" w:gutter="0"/>
          <w:cols w:space="708"/>
          <w:docGrid w:linePitch="360"/>
        </w:sectPr>
      </w:pPr>
    </w:p>
    <w:p>
      <w:pPr>
        <w:jc w:val="center"/>
        <w:rPr>
          <w:rFonts w:eastAsia="Calibri"/>
          <w:b/>
          <w:noProof/>
          <w:u w:val="single"/>
        </w:rPr>
      </w:pPr>
      <w:r>
        <w:rPr>
          <w:b/>
          <w:noProof/>
          <w:u w:val="single"/>
        </w:rPr>
        <w:t xml:space="preserve">LEGISLATIVNÍ FINANČNÍ VÝKAZ </w:t>
      </w:r>
    </w:p>
    <w:p>
      <w:pPr>
        <w:keepNext/>
        <w:tabs>
          <w:tab w:val="left" w:pos="850"/>
        </w:tabs>
        <w:spacing w:before="360"/>
        <w:ind w:left="850" w:hanging="850"/>
        <w:outlineLvl w:val="0"/>
        <w:rPr>
          <w:rFonts w:eastAsia="Calibri"/>
          <w:b/>
          <w:smallCaps/>
          <w:noProof/>
        </w:rPr>
      </w:pPr>
      <w:bookmarkStart w:id="3" w:name="_Toc514941973"/>
      <w:r>
        <w:rPr>
          <w:b/>
          <w:smallCaps/>
          <w:noProof/>
        </w:rPr>
        <w:t xml:space="preserve">1. </w:t>
      </w:r>
      <w:r>
        <w:rPr>
          <w:b/>
          <w:smallCaps/>
          <w:noProof/>
        </w:rPr>
        <w:tab/>
        <w:t xml:space="preserve">RÁMEC NÁVRHU/PODNĚTU </w:t>
      </w:r>
    </w:p>
    <w:p>
      <w:pPr>
        <w:keepNext/>
        <w:tabs>
          <w:tab w:val="left" w:pos="850"/>
        </w:tabs>
        <w:ind w:left="850" w:hanging="850"/>
        <w:outlineLvl w:val="1"/>
        <w:rPr>
          <w:rFonts w:eastAsia="Calibri"/>
          <w:b/>
          <w:noProof/>
        </w:rPr>
      </w:pPr>
      <w:r>
        <w:rPr>
          <w:b/>
          <w:noProof/>
        </w:rPr>
        <w:t>1.1.</w:t>
      </w:r>
      <w:r>
        <w:rPr>
          <w:b/>
          <w:noProof/>
        </w:rPr>
        <w:tab/>
        <w:t>Název návrhu/podnětu</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xml:space="preserve">Změna nařízení Evropského parlamentu a Rady, kterým se zřizuje Evropský inovační a technologický institut (EIT), a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rozhodnutí Evropského parlamentu a Rady, kterým se zřizuje strategický program inovací Evropského inovačního a technologického institutu (EIT) na období 2021–2027</w:t>
      </w:r>
    </w:p>
    <w:p>
      <w:pPr>
        <w:keepNext/>
        <w:tabs>
          <w:tab w:val="left" w:pos="850"/>
        </w:tabs>
        <w:ind w:left="850" w:hanging="850"/>
        <w:outlineLvl w:val="1"/>
        <w:rPr>
          <w:rFonts w:eastAsia="Calibri"/>
          <w:noProof/>
        </w:rPr>
      </w:pPr>
      <w:bookmarkStart w:id="4" w:name="_Toc514941974"/>
      <w:bookmarkEnd w:id="3"/>
      <w:r>
        <w:rPr>
          <w:b/>
          <w:noProof/>
        </w:rPr>
        <w:t>1.2.</w:t>
      </w:r>
      <w:r>
        <w:rPr>
          <w:b/>
          <w:noProof/>
        </w:rPr>
        <w:tab/>
        <w:t>Příslušné oblasti politik (skupina programů)</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Horizont Evropa – rámcový program pro výzkum a inovace (2021–2027)</w:t>
      </w:r>
    </w:p>
    <w:bookmarkEnd w:id="4"/>
    <w:p>
      <w:pPr>
        <w:keepNext/>
        <w:tabs>
          <w:tab w:val="left" w:pos="850"/>
        </w:tabs>
        <w:ind w:left="850" w:hanging="850"/>
        <w:outlineLvl w:val="1"/>
        <w:rPr>
          <w:rFonts w:eastAsia="Calibri"/>
          <w:b/>
          <w:noProof/>
        </w:rPr>
      </w:pPr>
      <w:r>
        <w:rPr>
          <w:b/>
          <w:noProof/>
        </w:rPr>
        <w:t>1.3.</w:t>
      </w:r>
      <w:r>
        <w:rPr>
          <w:b/>
          <w:noProof/>
        </w:rPr>
        <w:tab/>
        <w:t>Návrh/podnět se týká:</w:t>
      </w:r>
    </w:p>
    <w:p>
      <w:pPr>
        <w:ind w:left="850"/>
        <w:rPr>
          <w:rFonts w:eastAsia="Calibri"/>
          <w:b/>
          <w:noProof/>
          <w:sz w:val="22"/>
        </w:rPr>
      </w:pPr>
      <w:r>
        <w:rPr>
          <w:noProof/>
          <w:sz w:val="22"/>
        </w:rPr>
        <w:sym w:font="Wingdings" w:char="F0A8"/>
      </w:r>
      <w:r>
        <w:rPr>
          <w:b/>
          <w:i/>
          <w:noProof/>
          <w:sz w:val="22"/>
        </w:rPr>
        <w:t xml:space="preserve"> </w:t>
      </w:r>
      <w:r>
        <w:rPr>
          <w:b/>
          <w:noProof/>
        </w:rPr>
        <w:t>nové akce</w:t>
      </w:r>
      <w:r>
        <w:rPr>
          <w:b/>
          <w:noProof/>
          <w:sz w:val="22"/>
        </w:rPr>
        <w:t xml:space="preserve"> </w:t>
      </w:r>
    </w:p>
    <w:p>
      <w:pPr>
        <w:ind w:left="850"/>
        <w:rPr>
          <w:rFonts w:eastAsia="Calibri"/>
          <w:noProof/>
          <w:sz w:val="22"/>
        </w:rPr>
      </w:pPr>
      <w:r>
        <w:rPr>
          <w:noProof/>
          <w:sz w:val="22"/>
        </w:rPr>
        <w:sym w:font="Wingdings" w:char="F0A8"/>
      </w:r>
      <w:r>
        <w:rPr>
          <w:i/>
          <w:noProof/>
          <w:sz w:val="22"/>
        </w:rPr>
        <w:t xml:space="preserve"> </w:t>
      </w:r>
      <w:r>
        <w:rPr>
          <w:b/>
          <w:noProof/>
        </w:rPr>
        <w:t>nové akce následující po pilotním projektu / přípravné akci</w:t>
      </w:r>
      <w:r>
        <w:rPr>
          <w:rStyle w:val="FootnoteReference"/>
          <w:noProof/>
        </w:rPr>
        <w:footnoteReference w:id="29"/>
      </w:r>
      <w:r>
        <w:rPr>
          <w:noProof/>
          <w:sz w:val="22"/>
        </w:rPr>
        <w:t xml:space="preserve"> </w:t>
      </w:r>
    </w:p>
    <w:p>
      <w:pPr>
        <w:ind w:left="850"/>
        <w:rPr>
          <w:rFonts w:eastAsia="Calibri"/>
          <w:noProof/>
          <w:sz w:val="22"/>
        </w:rPr>
      </w:pPr>
      <w:r>
        <w:rPr>
          <w:b/>
          <w:noProof/>
          <w:sz w:val="22"/>
        </w:rPr>
        <w:t>X</w:t>
      </w:r>
      <w:r>
        <w:rPr>
          <w:i/>
          <w:noProof/>
          <w:sz w:val="22"/>
        </w:rPr>
        <w:t xml:space="preserve"> </w:t>
      </w:r>
      <w:r>
        <w:rPr>
          <w:b/>
          <w:noProof/>
        </w:rPr>
        <w:t>prodloužení stávající akce</w:t>
      </w:r>
      <w:r>
        <w:rPr>
          <w:noProof/>
          <w:sz w:val="22"/>
        </w:rPr>
        <w:t xml:space="preserve"> </w:t>
      </w:r>
    </w:p>
    <w:p>
      <w:pPr>
        <w:ind w:left="850"/>
        <w:rPr>
          <w:rFonts w:eastAsia="Calibri"/>
          <w:noProof/>
        </w:rPr>
      </w:pPr>
      <w:r>
        <w:rPr>
          <w:noProof/>
          <w:sz w:val="22"/>
        </w:rPr>
        <w:sym w:font="Wingdings" w:char="F0A8"/>
      </w:r>
      <w:r>
        <w:rPr>
          <w:i/>
          <w:noProof/>
          <w:sz w:val="22"/>
        </w:rPr>
        <w:t xml:space="preserve"> </w:t>
      </w:r>
      <w:r>
        <w:rPr>
          <w:b/>
          <w:noProof/>
        </w:rPr>
        <w:t>sloučení jedné či více akcí v jinou/novou akci nebo přesměrování jedné či více akcí na jinou/novou akci</w:t>
      </w:r>
      <w:r>
        <w:rPr>
          <w:noProof/>
        </w:rPr>
        <w:t xml:space="preserve"> </w:t>
      </w:r>
    </w:p>
    <w:p>
      <w:pPr>
        <w:keepNext/>
        <w:tabs>
          <w:tab w:val="left" w:pos="850"/>
        </w:tabs>
        <w:ind w:left="850" w:hanging="850"/>
        <w:outlineLvl w:val="1"/>
        <w:rPr>
          <w:rFonts w:eastAsia="Calibri"/>
          <w:b/>
          <w:noProof/>
        </w:rPr>
      </w:pPr>
      <w:bookmarkStart w:id="5" w:name="_Toc514941976"/>
      <w:bookmarkStart w:id="6" w:name="_Toc5205283"/>
      <w:r>
        <w:rPr>
          <w:b/>
          <w:noProof/>
        </w:rPr>
        <w:t>1.4.</w:t>
      </w:r>
      <w:r>
        <w:rPr>
          <w:b/>
          <w:noProof/>
        </w:rPr>
        <w:tab/>
        <w:t>Odůvodnění návrhu/podnětu</w:t>
      </w:r>
    </w:p>
    <w:bookmarkEnd w:id="5"/>
    <w:bookmarkEnd w:id="6"/>
    <w:p>
      <w:pPr>
        <w:keepNext/>
        <w:tabs>
          <w:tab w:val="left" w:pos="850"/>
        </w:tabs>
        <w:ind w:left="850" w:hanging="850"/>
        <w:outlineLvl w:val="1"/>
        <w:rPr>
          <w:rFonts w:eastAsia="Calibri"/>
          <w:i/>
          <w:noProof/>
        </w:rPr>
      </w:pPr>
      <w:r>
        <w:rPr>
          <w:i/>
          <w:noProof/>
        </w:rPr>
        <w:t>1.4.1.</w:t>
      </w:r>
      <w:r>
        <w:rPr>
          <w:i/>
          <w:noProof/>
        </w:rPr>
        <w:tab/>
        <w:t>Potřeby, které mají být uspokojeny v krátkodobém nebo dlouhodobém horizontu, včetně podrobného harmonogramu pro zahajovací fázi provádění podnětu</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xml:space="preserve">Evropský inovační a technologický institut (EIT) je nedílnou součástí návrhu Komise týkajícího se programu Horizont Evropa (2021–2027) v rámci pilíře Otevřené inovace, má však samostatný právní základ (nařízení o EIT).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rPr>
        <w:t>Návrh programu Horizont Evropa</w:t>
      </w:r>
      <w:r>
        <w:rPr>
          <w:rStyle w:val="FootnoteReference"/>
          <w:noProof/>
        </w:rPr>
        <w:footnoteReference w:id="30"/>
      </w:r>
      <w:r>
        <w:rPr>
          <w:noProof/>
        </w:rPr>
        <w:t xml:space="preserve"> potvrdil význam a přínos EIT a jeho znalostních a inovačních společenství při plnění strategických priorit EU v oblasti inovací. Navrhuje rozpočet EIT na období 2021–2027</w:t>
      </w:r>
      <w:r>
        <w:rPr>
          <w:rStyle w:val="FootnoteReference"/>
          <w:noProof/>
        </w:rPr>
        <w:footnoteReference w:id="31"/>
      </w:r>
      <w:r>
        <w:rPr>
          <w:noProof/>
        </w:rPr>
        <w:t>, jeho oblast působnosti, přidanou hodnotu a hlavní oblasti činnosti a zároveň poukazuje na revidovanou úlohu EIT s cílem posílit jeho přínos pro cíle programu Horizont Evropa.</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Cílem této iniciativy je sladit nařízení o EIT s programem Horizont Evropa a zlepšit fungování EIT s ohledem na zkušenosti z minulých let. Jejím cílem je rovněž navrhnout nový strategický program inovací, který vymezuje strategii a priority EIT na období 2021–2027 a definuje jeho cíle, klíčová opatření, očekávané výsledky a potřebné zdroje.</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xml:space="preserve">Obecným posláním EIT na období 2021–2027 je přispět k udržitelnému hospodářskému růstu a konkurenceschopnosti v Evropě posilováním inovační kapacity členských států a Unie. K naplnění tohoto cíle EIT podporuje a integruje vzdělávání, výzkum a inovace na nejvyšší úrovni.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EIT bude nadále působit především prostřednictvím svých znalostních a inovačních společenství, což jsou rozsáhlá evropská partnerství, která se zabývají konkrétními společenskými výzvami. Bude nadále posilovat inovační ekosystémy ve svém okolí tím, že bude podporovat integraci tří stran znalostního trojúhelníku. Každé znalostní a inovační společenství si zachová svou organizační strukturu, která je založena na „střediscích společného umístění“, což jsou zeměpisná střediska, která spojují subjekty znalostního trojúhelníku a umožňují geografickou blízkost a užší spolupráci.</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EIT bude provádět činnosti zaměřené na:</w:t>
      </w:r>
    </w:p>
    <w:p>
      <w:pPr>
        <w:pBdr>
          <w:top w:val="single" w:sz="4" w:space="1" w:color="auto"/>
          <w:left w:val="single" w:sz="4" w:space="4" w:color="auto"/>
          <w:bottom w:val="single" w:sz="4" w:space="1" w:color="auto"/>
          <w:right w:val="single" w:sz="4" w:space="4" w:color="auto"/>
        </w:pBdr>
        <w:ind w:left="850"/>
        <w:rPr>
          <w:rFonts w:eastAsia="Calibri"/>
          <w:noProof/>
        </w:rPr>
      </w:pPr>
      <w:r>
        <w:rPr>
          <w:noProof/>
        </w:rPr>
        <w:t>1) posílení udržitelných inovačních ekosystémů v celé Evropě;</w:t>
      </w:r>
    </w:p>
    <w:p>
      <w:pPr>
        <w:pBdr>
          <w:top w:val="single" w:sz="4" w:space="1" w:color="auto"/>
          <w:left w:val="single" w:sz="4" w:space="4" w:color="auto"/>
          <w:bottom w:val="single" w:sz="4" w:space="1" w:color="auto"/>
          <w:right w:val="single" w:sz="4" w:space="4" w:color="auto"/>
        </w:pBdr>
        <w:ind w:left="850"/>
        <w:rPr>
          <w:rFonts w:eastAsia="Calibri"/>
          <w:noProof/>
        </w:rPr>
      </w:pPr>
      <w:r>
        <w:rPr>
          <w:noProof/>
        </w:rPr>
        <w:t>2) podporu rozvoje podnikatelských a inovačních dovedností v rámci celoživotního učení a podporu podnikatelské transformace vysokoškolských institucí v EU;</w:t>
      </w:r>
    </w:p>
    <w:p>
      <w:pPr>
        <w:pBdr>
          <w:top w:val="single" w:sz="4" w:space="1" w:color="auto"/>
          <w:left w:val="single" w:sz="4" w:space="4" w:color="auto"/>
          <w:bottom w:val="single" w:sz="4" w:space="1" w:color="auto"/>
          <w:right w:val="single" w:sz="4" w:space="4" w:color="auto"/>
        </w:pBdr>
        <w:ind w:left="850"/>
        <w:rPr>
          <w:rFonts w:eastAsia="Calibri"/>
          <w:noProof/>
        </w:rPr>
      </w:pPr>
      <w:r>
        <w:rPr>
          <w:noProof/>
        </w:rPr>
        <w:t>3) prosazování nových řešení celosvětových společenských výzev na trhu.</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xml:space="preserve">Při plnění svých činností bude EIT rozvíjet </w:t>
      </w:r>
      <w:r>
        <w:rPr>
          <w:noProof/>
        </w:rPr>
        <w:t>součinnost</w:t>
      </w:r>
      <w:r>
        <w:rPr>
          <w:noProof/>
          <w:color w:val="000000"/>
        </w:rPr>
        <w:t xml:space="preserve"> a zajišťovat přidanou hodnotu v rámci programu Horizont Evropa. Realizace bude probíhat prostřednictvím podpory znalostních a inovačních společenství a činností koordinovaných EIT.</w:t>
      </w:r>
    </w:p>
    <w:p>
      <w:pPr>
        <w:pBdr>
          <w:top w:val="single" w:sz="4" w:space="1" w:color="auto"/>
          <w:left w:val="single" w:sz="4" w:space="4" w:color="auto"/>
          <w:bottom w:val="single" w:sz="4" w:space="1" w:color="auto"/>
          <w:right w:val="single" w:sz="4" w:space="4" w:color="auto"/>
        </w:pBdr>
        <w:ind w:left="850"/>
        <w:rPr>
          <w:rFonts w:eastAsia="Calibri"/>
          <w:i/>
          <w:noProof/>
          <w:color w:val="000000"/>
          <w:u w:val="single"/>
        </w:rPr>
      </w:pPr>
      <w:r>
        <w:rPr>
          <w:i/>
          <w:noProof/>
          <w:color w:val="000000"/>
          <w:u w:val="single"/>
        </w:rPr>
        <w:t>Podpora pro znalostní a inovační společenství:</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EIT zkonsoliduje osm stávajících znalostních a inovačních společenství, podpoří jejich růst a dopad a bude jim nápomocný při jejich přechodu k finanční udržitelnosti. To se bude týkat zejména první vlny tří znalostních a inovačních společenství (EIT Climate, EIT Digital a EIT InnoEnergy), která byla zřízena v roce 2009 a jejichž rámcové dohody o partnerství budou ukončeny po roce 2024.</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EIT rovněž vytvoří dvě nová znalostní a inovační společenství v konkrétních tematických oblastech s cílem řešit budoucí vznikající globální společenské problémy a potřeby (vyhlášení výzev se očekává v letech 2021 a 2024).</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EIT bude poskytovat podporu znalostním a inovačním společenstvím, která provozují portfolia činností znalostního trojúhelníku prostřednictvím:</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xml:space="preserve">1 – </w:t>
      </w:r>
      <w:r>
        <w:rPr>
          <w:i/>
          <w:noProof/>
          <w:color w:val="000000"/>
        </w:rPr>
        <w:t>vzdělávání a odborné přípravy</w:t>
      </w:r>
      <w:r>
        <w:rPr>
          <w:noProof/>
          <w:color w:val="000000"/>
        </w:rPr>
        <w:t xml:space="preserve"> s významnými složkami podnikání pro vzdělávání nové generace talentů, včetně tvorby a realizace programů s označením EIT, zejména na magisterské a doktorské úrovni (značka EIT);</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xml:space="preserve">2 – </w:t>
      </w:r>
      <w:r>
        <w:rPr>
          <w:i/>
          <w:noProof/>
          <w:color w:val="000000"/>
        </w:rPr>
        <w:t>činností na podporu inovací</w:t>
      </w:r>
      <w:r>
        <w:rPr>
          <w:noProof/>
          <w:color w:val="000000"/>
        </w:rPr>
        <w:t xml:space="preserve"> za účelem rozvoje výrobků a služeb, které reagují na konkrétní obchodní příležitosti;</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xml:space="preserve">3 – </w:t>
      </w:r>
      <w:r>
        <w:rPr>
          <w:i/>
          <w:noProof/>
          <w:color w:val="000000"/>
        </w:rPr>
        <w:t>rozvoje podniků a podpůrných činností</w:t>
      </w:r>
      <w:r>
        <w:rPr>
          <w:noProof/>
          <w:color w:val="000000"/>
        </w:rPr>
        <w:t>, jako jsou systémy akcelerátorů, které mají podnikatelům pomoci převést jejich nápady do úspěšných podniků a urychlit proces růstu.</w:t>
      </w:r>
    </w:p>
    <w:p>
      <w:pPr>
        <w:pBdr>
          <w:top w:val="single" w:sz="4" w:space="1" w:color="auto"/>
          <w:left w:val="single" w:sz="4" w:space="4" w:color="auto"/>
          <w:bottom w:val="single" w:sz="4" w:space="1" w:color="auto"/>
          <w:right w:val="single" w:sz="4" w:space="4" w:color="auto"/>
        </w:pBdr>
        <w:ind w:left="850"/>
        <w:rPr>
          <w:rFonts w:eastAsia="Calibri"/>
          <w:i/>
          <w:noProof/>
          <w:color w:val="000000"/>
          <w:u w:val="single"/>
        </w:rPr>
      </w:pPr>
      <w:r>
        <w:rPr>
          <w:i/>
          <w:noProof/>
          <w:color w:val="000000"/>
          <w:u w:val="single"/>
        </w:rPr>
        <w:t>Činnosti koordinované EIT:</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xml:space="preserve">EIT bude usilovat o podporu vysokoškolských institucí, aby se lépe integrovaly do hodnotových řetězců a ekosystémů v oblasti inovací. EIT bude prostřednictvím svých znalostních a inovačních společenství provádět podpůrné akce sdružující v projektech vysokoškolské instituce a jiné klíčové subjekty v oblasti inovací, jako jsou podniky, které budou pracovat na strategických oblastech rozvoje kapacit. Partneři budou sdílet společné cíle a společně usilovat o vzájemně prospěšné výsledky a výstupy. </w:t>
      </w:r>
      <w:r>
        <w:rPr>
          <w:noProof/>
        </w:rPr>
        <w:t xml:space="preserve">Tato akce zajistí inkluzivní přístup k přilákání vysokoškolských institucí mimo znalostní a inovační společenství, mezioborový a meziodvětvový přístup a propojení se strategií Evropské komise pro inteligentní specializaci, příslušnými tematickými platformami a regionálním inovačním programem EIT.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Prostřednictvím regionálního inovačního programu a nových činností koordinovaných EIT zvýší EIT svůj dosah v oblasti inovací na regionální úrovni a související dopad.</w:t>
      </w:r>
    </w:p>
    <w:p>
      <w:pPr>
        <w:keepNext/>
        <w:tabs>
          <w:tab w:val="left" w:pos="850"/>
        </w:tabs>
        <w:ind w:left="850" w:hanging="850"/>
        <w:outlineLvl w:val="1"/>
        <w:rPr>
          <w:rFonts w:eastAsia="Calibri"/>
          <w:i/>
          <w:noProof/>
        </w:rPr>
      </w:pPr>
      <w:r>
        <w:rPr>
          <w:i/>
          <w:noProof/>
        </w:rPr>
        <w:t>1.4.2.</w:t>
      </w:r>
      <w:r>
        <w:rPr>
          <w:i/>
          <w:noProof/>
        </w:rPr>
        <w:tab/>
        <w:t>Přidaná hodnota ze zapojení Unie (může být důsledkem různých faktorů, např. přínosů z koordinace, právní jistoty, vyšší účinnosti nebo doplňkovosti). Pro účely tohoto bodu se „přidanou hodnotou ze zapojení Unie“ rozumí hodnota plynoucí ze zásahu Unie, jež doplňuje hodnotu, která by jinak vznikla činností samotných členských států.</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Důvody pro akci na evropské úrovni (</w:t>
      </w:r>
      <w:r>
        <w:rPr>
          <w:i/>
          <w:noProof/>
          <w:color w:val="000000"/>
        </w:rPr>
        <w:t>ex ante</w:t>
      </w:r>
      <w:r>
        <w:rPr>
          <w:noProof/>
          <w:color w:val="000000"/>
        </w:rPr>
        <w:t>)</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Povaha a rozsah inovačních výzev si žádá mobilizaci subjektů a zdrojů v evropském měřítku, a to podporou přeshraniční spolupráce. Je nezbytné odstranit hranice mezi disciplínami a podél hodnotových řetězců a podporovat vytváření příznivého prostředí pro účinnou výměnu znalostí a know-how a pro vývoj a přilákání podnikatelských talentů.</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xml:space="preserve">Posouzení dopadů programu Horizont Evropa odhalilo konkrétní strukturální nedostatky v inovační kapacitě EU, které je třeba řešit na úrovni EU a na něž by se EIT ve svých snahách zaměřoval. Evropské vysokoškolské instituce musí zejména podněcovat podnikání, překonávat hranice mezi obory a institucionalizovat silnou neoborovou spolupráci mezi akademickou obcí a průmyslem v rámci celé EU. Přístup k podnikatelským talentům společně s přístupem k odborným službám, kapitálu a trhům na úrovni EU, jakož i spojení nejvýznamnějších aktérů v oblasti inovací při řešení společného cíle jsou klíčové složky pro rozvoj inovačního ekosystému. Je zapotřebí koordinovat úsilí v celé EU, aby se vytvořilo kritické množství vzájemně propojených podnikatelských klastrů a ekosystémů v rámci celé EU. Rozsah a působnost této intervence jdou nad rámec toho, co mohou členské státy učinit samy, a vyžadují zásah na úrovni EU.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Očekávaná vytvořená přidaná hodnota na úrovni Unie (</w:t>
      </w:r>
      <w:r>
        <w:rPr>
          <w:i/>
          <w:noProof/>
          <w:color w:val="000000"/>
        </w:rPr>
        <w:t>ex post</w:t>
      </w:r>
      <w:r>
        <w:rPr>
          <w:noProof/>
          <w:color w:val="000000"/>
        </w:rPr>
        <w:t>)</w:t>
      </w:r>
    </w:p>
    <w:p>
      <w:pPr>
        <w:pBdr>
          <w:top w:val="single" w:sz="4" w:space="1" w:color="auto"/>
          <w:left w:val="single" w:sz="4" w:space="4" w:color="auto"/>
          <w:bottom w:val="single" w:sz="4" w:space="1" w:color="auto"/>
          <w:right w:val="single" w:sz="4" w:space="4" w:color="auto"/>
        </w:pBdr>
        <w:spacing w:before="0" w:after="0"/>
        <w:ind w:left="850"/>
        <w:rPr>
          <w:rFonts w:eastAsia="Calibri"/>
          <w:noProof/>
          <w:color w:val="000000"/>
        </w:rPr>
      </w:pPr>
      <w:r>
        <w:rPr>
          <w:noProof/>
          <w:color w:val="000000"/>
        </w:rPr>
        <w:t>Očekává se, že EIT splní své cíle na období 2021–2027, jak je uvedeno v návrhu programu Horizont Evropa. Výsledky konkrétních investic EU do EIT jsou tyto:</w:t>
      </w:r>
    </w:p>
    <w:p>
      <w:pPr>
        <w:pBdr>
          <w:top w:val="single" w:sz="4" w:space="1" w:color="auto"/>
          <w:left w:val="single" w:sz="4" w:space="4" w:color="auto"/>
          <w:bottom w:val="single" w:sz="4" w:space="1" w:color="auto"/>
          <w:right w:val="single" w:sz="4" w:space="4" w:color="auto"/>
        </w:pBdr>
        <w:spacing w:before="0" w:after="0"/>
        <w:ind w:left="850"/>
        <w:rPr>
          <w:rFonts w:eastAsia="Calibri"/>
          <w:noProof/>
        </w:rPr>
      </w:pPr>
      <w:r>
        <w:rPr>
          <w:noProof/>
        </w:rPr>
        <w:t>– vytváření nových prostředí, která jsou příznivá pro spolupráci a inovace,</w:t>
      </w:r>
    </w:p>
    <w:p>
      <w:pPr>
        <w:pBdr>
          <w:top w:val="single" w:sz="4" w:space="1" w:color="auto"/>
          <w:left w:val="single" w:sz="4" w:space="4" w:color="auto"/>
          <w:bottom w:val="single" w:sz="4" w:space="1" w:color="auto"/>
          <w:right w:val="single" w:sz="4" w:space="4" w:color="auto"/>
        </w:pBdr>
        <w:spacing w:before="0" w:after="0"/>
        <w:ind w:left="850"/>
        <w:rPr>
          <w:rFonts w:eastAsia="Calibri"/>
          <w:noProof/>
        </w:rPr>
      </w:pPr>
      <w:r>
        <w:rPr>
          <w:noProof/>
        </w:rPr>
        <w:t>– silnější inovační schopnosti akademického a výzkumného sektoru,</w:t>
      </w:r>
    </w:p>
    <w:p>
      <w:pPr>
        <w:pBdr>
          <w:top w:val="single" w:sz="4" w:space="1" w:color="auto"/>
          <w:left w:val="single" w:sz="4" w:space="4" w:color="auto"/>
          <w:bottom w:val="single" w:sz="4" w:space="1" w:color="auto"/>
          <w:right w:val="single" w:sz="4" w:space="4" w:color="auto"/>
        </w:pBdr>
        <w:spacing w:before="0" w:after="0"/>
        <w:ind w:left="850"/>
        <w:rPr>
          <w:rFonts w:eastAsia="Calibri"/>
          <w:noProof/>
        </w:rPr>
      </w:pPr>
      <w:r>
        <w:rPr>
          <w:noProof/>
        </w:rPr>
        <w:t>– nová generace podnikatelsky založených lidí,</w:t>
      </w:r>
    </w:p>
    <w:p>
      <w:pPr>
        <w:pBdr>
          <w:top w:val="single" w:sz="4" w:space="1" w:color="auto"/>
          <w:left w:val="single" w:sz="4" w:space="4" w:color="auto"/>
          <w:bottom w:val="single" w:sz="4" w:space="1" w:color="auto"/>
          <w:right w:val="single" w:sz="4" w:space="4" w:color="auto"/>
        </w:pBdr>
        <w:spacing w:before="0" w:after="0"/>
        <w:ind w:left="850"/>
        <w:rPr>
          <w:rFonts w:eastAsia="Calibri"/>
          <w:noProof/>
        </w:rPr>
      </w:pPr>
      <w:r>
        <w:rPr>
          <w:noProof/>
        </w:rPr>
        <w:t>– zakládání a rozvoj inovativních podniků,</w:t>
      </w:r>
    </w:p>
    <w:p>
      <w:pPr>
        <w:pBdr>
          <w:top w:val="single" w:sz="4" w:space="1" w:color="auto"/>
          <w:left w:val="single" w:sz="4" w:space="4" w:color="auto"/>
          <w:bottom w:val="single" w:sz="4" w:space="1" w:color="auto"/>
          <w:right w:val="single" w:sz="4" w:space="4" w:color="auto"/>
        </w:pBdr>
        <w:spacing w:before="0" w:after="0"/>
        <w:ind w:left="850"/>
        <w:rPr>
          <w:rFonts w:eastAsia="Calibri"/>
          <w:noProof/>
        </w:rPr>
      </w:pPr>
      <w:r>
        <w:rPr>
          <w:noProof/>
        </w:rPr>
        <w:t>– širší regionální dosah inovačních činností EIT.</w:t>
      </w:r>
    </w:p>
    <w:p>
      <w:pPr>
        <w:keepNext/>
        <w:tabs>
          <w:tab w:val="left" w:pos="850"/>
        </w:tabs>
        <w:ind w:left="850" w:hanging="850"/>
        <w:outlineLvl w:val="1"/>
        <w:rPr>
          <w:rFonts w:eastAsia="Calibri"/>
          <w:i/>
          <w:noProof/>
        </w:rPr>
      </w:pPr>
      <w:bookmarkStart w:id="7" w:name="_Toc514941979"/>
      <w:r>
        <w:rPr>
          <w:i/>
          <w:noProof/>
        </w:rPr>
        <w:t>1.4.3.</w:t>
      </w:r>
      <w:r>
        <w:rPr>
          <w:i/>
          <w:noProof/>
        </w:rPr>
        <w:tab/>
        <w:t>Závěry vyvozené z podobných zkušeností v minulosti</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xml:space="preserve">EIT byl zřízen v roce 2008 s cílem řešit hlavní společenské výzvy tím, že zlepší inovační kapacitu a výkonnost EU. V roce 2017 dospělo hodnocení EIT v polovině období k závěru, že EIT je i nadále velmi důležitý a má jasnou přidanou hodnotu EU. Neexistuje žádný jiný nástroj, který buduje inovační sítě v celé EU, jež propojují vzdělávání, výzkum, podnikání a další zúčastněné strany.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xml:space="preserve">EIT vytvořil evropský inovační ekosystém s více než 1 200 partnery z oblasti podnikání, výzkumu a vzdělávání, kteří jsou sdruženi do 8 znalostních a inovačních společenství a působí ve více než 40 střediscích společného umístění. Skutečnost, že více než 50 % partnerů pochází z podnikatelského sektoru (průmysl, malé a střední podniky a začínající podniky), je důkazem toho, že nástroj je blízko trhu. Společenství EIT přináší výsledky: více než 600 nových výrobků a služeb, které byly uvedeny na trh, podpora pro více než 1 250 začínajících podniků a inovativních podniků, více než 890 milionů EUR z vnějších investic a více než 6 000 vytvořených pracovních míst. Do trhu práce nyní vstupují první pracovníci z řad přibližně 1 700 absolventů magisterských programů se značkou EIT.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Podoba EIT jakožto nezávislého subjektu mu umožňuje být flexibilní, autonomní, orientovat se na podniky a být aktivní při rozhodování. Doba potřebná k udělení grantu činí 4 měsíce, zatímco v programu Horizont 2020 je to průměrně 6 měsíců. Pravidla pro konkurenční financování, finanční udržitelnost a zjednodušení podporují inovace ve znalostních a inovačních společenstvích. Administrativní náklady EIT jsou velmi nízké a činí méně než 2 % celkového rozpočtu, přičemž pro program Horizont 2020 se uvádí průměrně 4,6 %.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V období 2021–2027 se hlavní zlepšení EIT zaměří zejména na:</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další zjednodušení postupů pro účinné řízení znalostních a inovačních společenství (např. zavedením nového mechanismu spolufinancování, víceletými granty atd.),</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podporu lepší integrace vysokoškolských institucí do hodnotových řetězců v oblasti inovací a ekosystémů,</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řešení globálních výzev založením 2 nových znalostních a inovačních společenství,</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rPr>
        <w:t xml:space="preserve">– posílení otevřenosti a transparentnosti znalostních a inovačních společenství a jejich sladění s navrhovaným přístupem pro evropská partnerství podle programu Horizont Evropa,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posílení dopadu EIT na regionální a místní úrovni a zejména v zemích s nižší výkonností v oblasti inovací,</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zvýšení viditelnosti činnosti EIT v členských státech i jinde,</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zlepšení součinnosti a doplňkovosti s jinými nástroji programu Horizont Evropa a dalšími nástroji EU a členských států.</w:t>
      </w:r>
    </w:p>
    <w:bookmarkEnd w:id="7"/>
    <w:p>
      <w:pPr>
        <w:keepNext/>
        <w:tabs>
          <w:tab w:val="left" w:pos="850"/>
        </w:tabs>
        <w:ind w:left="850" w:hanging="850"/>
        <w:outlineLvl w:val="1"/>
        <w:rPr>
          <w:rFonts w:eastAsia="Calibri"/>
          <w:i/>
          <w:noProof/>
        </w:rPr>
      </w:pPr>
      <w:r>
        <w:rPr>
          <w:i/>
          <w:noProof/>
        </w:rPr>
        <w:t>1.4.4.</w:t>
      </w:r>
      <w:r>
        <w:rPr>
          <w:i/>
          <w:noProof/>
        </w:rPr>
        <w:tab/>
        <w:t>Soulad a možná synergie s dalšími vhodnými nástroji</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xml:space="preserve">Díky své široké oblasti působnosti a speciální úloze je EIT schopen vytvářet synergie a zajišťovat doplňkovost s jinými programy nebo nástroji EU, mimo jiné posílením své podpory pro znalostní a inovační společenství při plánování a provádění činností. Níže uvedený orientační seznam nabízí konkrétní příklady, kdy EIT přispěje k synergii ve střednědobém až dlouhodobém horizontu v rámci programu Horizont Evropa i mimo něj.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u w:val="single"/>
        </w:rPr>
        <w:t>Horizont Evropa:</w:t>
      </w:r>
      <w:r>
        <w:rPr>
          <w:noProof/>
          <w:color w:val="000000"/>
        </w:rPr>
        <w:t xml:space="preserve"> Očekává se intenzivní součinnost mezi EIT a celým programem Horizont Evropa. Zejména součinnost s ERI bude zásadní pro dopad pilíře Otevřené inovace, jakož i pro podporu ekosystémů.</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V pilíři [Globální výzvy a průmyslová konkurenceschopnost] může EIT prostřednictvím svých znalostních a inovačních společenství spolupracovat s evropskými partnerstvími, přispívat k jejich poslání, podporovat opatření na straně poptávky a poskytovat služby v oblasti využívání, aby se podpořil přenos technologií a urychlilo se uvádění výsledků dosažených tematickými klastry nebo jinými evropskými partnerstvími na trh.</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u w:val="single"/>
        </w:rPr>
        <w:t>Program Erasmus:</w:t>
      </w:r>
      <w:r>
        <w:rPr>
          <w:noProof/>
          <w:color w:val="000000"/>
        </w:rPr>
        <w:t xml:space="preserve"> Erasmus a EIT vytvoří synergie mezi svými příslušnými komunitami. Spolupráce bude zaměřena na zajištění přístupu studentů programu Erasmus, kteří se účastní programů vzdělávacích institucí a institucí odborné přípravy znalostních a inovačních společenství, na letní školy znalostních a inovačních společenství nebo k jiným příslušným vzdělávacím činnostem (týkajícím se například podnikání a řízení inovací) a navazování kontaktů se sítí absolventů znalostních a inovačních společenství.</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Bude-li to možné, bude zajištěna součinnost s iniciativou Evropské univerzity, která by mohla přispět k začlenění činností EIT v oblasti vzdělávání a odborné přípravy, aby se dosáhlo systémového dopadu.</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u w:val="single"/>
        </w:rPr>
        <w:t>Program Digitální Evropa:</w:t>
      </w:r>
      <w:r>
        <w:rPr>
          <w:noProof/>
          <w:color w:val="000000"/>
        </w:rPr>
        <w:t xml:space="preserve"> Střediska společného umístění znalostních a inovačních společenství budou spolupracovat s evropskými centry pro digitální inovace, aby se podpořila digitální transformace průmyslu a organizací veřejného sektoru.</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u w:val="single"/>
        </w:rPr>
        <w:t>Fondy politiky soudržnosti (zejména EFRR a ESI fondy +):</w:t>
      </w:r>
      <w:r>
        <w:rPr>
          <w:noProof/>
          <w:color w:val="000000"/>
        </w:rPr>
        <w:t xml:space="preserve"> Znalostní a inovační společenství EIT budou prostřednictvím svých středisek společného umístění podporovat regionální a meziregionální spolupráci mezi subjekty znalostního trojúhelníku (vzdělávání, výzkum, podnikání) a řídícími orgány v součinnosti s prací Evropské komise v rámci meziregionální spolupráce a investicemi do souvisejících priorit inteligentní specializace.</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u w:val="single"/>
        </w:rPr>
        <w:t>Fond InvestEU:</w:t>
      </w:r>
      <w:r>
        <w:rPr>
          <w:noProof/>
          <w:color w:val="000000"/>
        </w:rPr>
        <w:t xml:space="preserve"> Znalostní a inovační společenství EIT budou usilovat o spolupráci s Poradenským centrem InvestEU, aby se poskytla technická podpora a pomoc podnikům založeným s pomocí znalostních a inovačních společenství za účelem přípravy, rozvoje a realizace projektů.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u w:val="single"/>
        </w:rPr>
        <w:t>Kreativní Evropa:</w:t>
      </w:r>
      <w:r>
        <w:rPr>
          <w:noProof/>
          <w:color w:val="000000"/>
        </w:rPr>
        <w:t xml:space="preserve"> Tento program bude zvlášť významný pro činnosti budoucího znalostního a inovačního společenství zaměřené na kulturní a kreativní odvětví. S tímto programem bude rozvíjena silná </w:t>
      </w:r>
      <w:r>
        <w:rPr>
          <w:noProof/>
        </w:rPr>
        <w:t>součinnost</w:t>
      </w:r>
      <w:r>
        <w:rPr>
          <w:noProof/>
          <w:color w:val="000000"/>
        </w:rPr>
        <w:t xml:space="preserve"> a doplňkovost v oblastech, jako jsou tvůrčí dovednosti, pracovní místa a obchodní modely.</w:t>
      </w:r>
    </w:p>
    <w:p>
      <w:pPr>
        <w:keepNext/>
        <w:tabs>
          <w:tab w:val="left" w:pos="850"/>
        </w:tabs>
        <w:ind w:left="850" w:hanging="850"/>
        <w:outlineLvl w:val="1"/>
        <w:rPr>
          <w:rFonts w:eastAsia="Calibri"/>
          <w:b/>
          <w:noProof/>
        </w:rPr>
      </w:pPr>
      <w:r>
        <w:rPr>
          <w:noProof/>
        </w:rPr>
        <w:br w:type="page"/>
      </w:r>
      <w:r>
        <w:rPr>
          <w:b/>
          <w:noProof/>
        </w:rPr>
        <w:t>1.5.</w:t>
      </w:r>
      <w:r>
        <w:rPr>
          <w:b/>
          <w:noProof/>
        </w:rPr>
        <w:tab/>
        <w:t>Doba trvání a finanční dopad návrhu/podnětu</w:t>
      </w:r>
    </w:p>
    <w:p>
      <w:pPr>
        <w:ind w:left="850"/>
        <w:rPr>
          <w:rFonts w:eastAsia="Calibri"/>
          <w:noProof/>
        </w:rPr>
      </w:pPr>
      <w:r>
        <w:rPr>
          <w:b/>
          <w:noProof/>
        </w:rPr>
        <w:t>X</w:t>
      </w:r>
      <w:r>
        <w:rPr>
          <w:b/>
          <w:i/>
          <w:noProof/>
        </w:rPr>
        <w:t xml:space="preserve"> </w:t>
      </w:r>
      <w:r>
        <w:rPr>
          <w:b/>
          <w:noProof/>
        </w:rPr>
        <w:t xml:space="preserve">Časově omezená doba trvání </w:t>
      </w:r>
    </w:p>
    <w:p>
      <w:pPr>
        <w:tabs>
          <w:tab w:val="num" w:pos="1134"/>
        </w:tabs>
        <w:ind w:left="1134" w:hanging="283"/>
        <w:rPr>
          <w:rFonts w:eastAsia="Calibri"/>
          <w:noProof/>
        </w:rPr>
      </w:pPr>
      <w:r>
        <w:rPr>
          <w:b/>
          <w:noProof/>
        </w:rPr>
        <w:t>X</w:t>
      </w:r>
      <w:r>
        <w:rPr>
          <w:noProof/>
        </w:rPr>
        <w:tab/>
        <w:t xml:space="preserve">s platností od [01/01]2021 do [31/12]2027, </w:t>
      </w:r>
    </w:p>
    <w:p>
      <w:pPr>
        <w:tabs>
          <w:tab w:val="num" w:pos="1134"/>
        </w:tabs>
        <w:ind w:left="1134" w:hanging="283"/>
        <w:rPr>
          <w:rFonts w:eastAsia="Calibri"/>
          <w:noProof/>
        </w:rPr>
      </w:pPr>
      <w:r>
        <w:rPr>
          <w:b/>
          <w:noProof/>
        </w:rPr>
        <w:t>X</w:t>
      </w:r>
      <w:r>
        <w:rPr>
          <w:noProof/>
        </w:rPr>
        <w:tab/>
        <w:t xml:space="preserve">finanční dopad od 2021 do 2027 u prostředků na závazky a od 2021 do 2029 u prostředků na platby. </w:t>
      </w:r>
    </w:p>
    <w:p>
      <w:pPr>
        <w:ind w:left="850"/>
        <w:rPr>
          <w:rFonts w:eastAsia="Calibri"/>
          <w:noProof/>
        </w:rPr>
      </w:pPr>
      <w:r>
        <w:rPr>
          <w:noProof/>
        </w:rPr>
        <w:sym w:font="Wingdings" w:char="F0A8"/>
      </w:r>
      <w:r>
        <w:rPr>
          <w:b/>
          <w:i/>
          <w:noProof/>
        </w:rPr>
        <w:t xml:space="preserve"> </w:t>
      </w:r>
      <w:r>
        <w:rPr>
          <w:b/>
          <w:noProof/>
        </w:rPr>
        <w:t>Časově neomezená doba trvání</w:t>
      </w:r>
    </w:p>
    <w:p>
      <w:pPr>
        <w:tabs>
          <w:tab w:val="num" w:pos="1134"/>
        </w:tabs>
        <w:ind w:left="1134" w:hanging="283"/>
        <w:rPr>
          <w:rFonts w:eastAsia="Calibri"/>
          <w:noProof/>
        </w:rPr>
      </w:pPr>
      <w:r>
        <w:rPr>
          <w:noProof/>
        </w:rPr>
        <w:t>Provádění s obdobím rozběhu od RRRR do RRRR,</w:t>
      </w:r>
    </w:p>
    <w:p>
      <w:pPr>
        <w:tabs>
          <w:tab w:val="num" w:pos="1134"/>
        </w:tabs>
        <w:ind w:left="1134" w:hanging="283"/>
        <w:rPr>
          <w:rFonts w:eastAsia="Calibri"/>
          <w:noProof/>
        </w:rPr>
      </w:pPr>
      <w:r>
        <w:rPr>
          <w:noProof/>
        </w:rPr>
        <w:t>poté plné fungování.</w:t>
      </w:r>
    </w:p>
    <w:p>
      <w:pPr>
        <w:keepNext/>
        <w:tabs>
          <w:tab w:val="left" w:pos="850"/>
        </w:tabs>
        <w:ind w:left="850" w:hanging="850"/>
        <w:outlineLvl w:val="1"/>
        <w:rPr>
          <w:rFonts w:eastAsia="Calibri"/>
          <w:b/>
          <w:noProof/>
          <w:szCs w:val="24"/>
        </w:rPr>
      </w:pPr>
      <w:bookmarkStart w:id="8" w:name="_Toc514941981"/>
      <w:bookmarkStart w:id="9" w:name="_Toc5205288"/>
      <w:r>
        <w:rPr>
          <w:b/>
          <w:noProof/>
        </w:rPr>
        <w:t>1.6.</w:t>
      </w:r>
      <w:r>
        <w:rPr>
          <w:b/>
          <w:noProof/>
        </w:rPr>
        <w:tab/>
        <w:t>Předpokládaný způsob řízení</w:t>
      </w:r>
      <w:r>
        <w:rPr>
          <w:rStyle w:val="FootnoteReference"/>
          <w:noProof/>
        </w:rPr>
        <w:footnoteReference w:id="32"/>
      </w:r>
      <w:bookmarkEnd w:id="8"/>
      <w:bookmarkEnd w:id="9"/>
      <w:r>
        <w:rPr>
          <w:b/>
          <w:bCs/>
          <w:noProof/>
          <w:szCs w:val="26"/>
          <w:vertAlign w:val="superscript"/>
        </w:rPr>
        <w:t xml:space="preserve"> </w:t>
      </w:r>
    </w:p>
    <w:p>
      <w:pPr>
        <w:ind w:left="850"/>
        <w:rPr>
          <w:rFonts w:eastAsia="Calibri"/>
          <w:noProof/>
        </w:rPr>
      </w:pPr>
      <w:r>
        <w:rPr>
          <w:noProof/>
        </w:rPr>
        <w:sym w:font="Wingdings" w:char="F0A8"/>
      </w:r>
      <w:r>
        <w:rPr>
          <w:i/>
          <w:noProof/>
        </w:rPr>
        <w:t xml:space="preserve"> </w:t>
      </w:r>
      <w:r>
        <w:rPr>
          <w:b/>
          <w:noProof/>
        </w:rPr>
        <w:t>Přímé řízení</w:t>
      </w:r>
      <w:r>
        <w:rPr>
          <w:noProof/>
        </w:rPr>
        <w:t xml:space="preserve"> Komisí</w:t>
      </w:r>
    </w:p>
    <w:p>
      <w:pPr>
        <w:tabs>
          <w:tab w:val="num" w:pos="1134"/>
        </w:tabs>
        <w:ind w:left="1134" w:hanging="283"/>
        <w:rPr>
          <w:rFonts w:eastAsia="Calibri"/>
          <w:noProof/>
        </w:rPr>
      </w:pPr>
      <w:r>
        <w:rPr>
          <w:noProof/>
        </w:rPr>
        <w:sym w:font="Wingdings" w:char="F0A8"/>
      </w:r>
      <w:r>
        <w:rPr>
          <w:noProof/>
        </w:rPr>
        <w:t xml:space="preserve"> prostřednictvím jejích útvarů, včetně jejích zaměstnanců v delegacích Unie, </w:t>
      </w:r>
    </w:p>
    <w:p>
      <w:pPr>
        <w:tabs>
          <w:tab w:val="num" w:pos="1134"/>
        </w:tabs>
        <w:ind w:left="1134" w:hanging="283"/>
        <w:rPr>
          <w:rFonts w:eastAsia="Calibri"/>
          <w:noProof/>
        </w:rPr>
      </w:pPr>
      <w:r>
        <w:rPr>
          <w:noProof/>
        </w:rPr>
        <w:sym w:font="Wingdings" w:char="F0A8"/>
      </w:r>
      <w:r>
        <w:rPr>
          <w:noProof/>
        </w:rPr>
        <w:tab/>
        <w:t xml:space="preserve">prostřednictvím výkonných agentur. </w:t>
      </w:r>
    </w:p>
    <w:p>
      <w:pPr>
        <w:ind w:left="850"/>
        <w:rPr>
          <w:rFonts w:eastAsia="Calibri"/>
          <w:noProof/>
        </w:rPr>
      </w:pPr>
      <w:r>
        <w:rPr>
          <w:noProof/>
        </w:rPr>
        <w:sym w:font="Wingdings" w:char="F0A8"/>
      </w:r>
      <w:r>
        <w:rPr>
          <w:b/>
          <w:i/>
          <w:noProof/>
        </w:rPr>
        <w:t xml:space="preserve"> </w:t>
      </w:r>
      <w:r>
        <w:rPr>
          <w:b/>
          <w:noProof/>
        </w:rPr>
        <w:t>Sdílené řízení</w:t>
      </w:r>
      <w:r>
        <w:rPr>
          <w:noProof/>
        </w:rPr>
        <w:t xml:space="preserve"> s členskými státy </w:t>
      </w:r>
    </w:p>
    <w:p>
      <w:pPr>
        <w:ind w:left="850"/>
        <w:rPr>
          <w:rFonts w:eastAsia="Calibri"/>
          <w:noProof/>
        </w:rPr>
      </w:pPr>
      <w:r>
        <w:rPr>
          <w:b/>
          <w:noProof/>
        </w:rPr>
        <w:t>X</w:t>
      </w:r>
      <w:r>
        <w:rPr>
          <w:i/>
          <w:noProof/>
        </w:rPr>
        <w:t xml:space="preserve"> </w:t>
      </w:r>
      <w:r>
        <w:rPr>
          <w:b/>
          <w:noProof/>
        </w:rPr>
        <w:t>Nepřímé řízení</w:t>
      </w:r>
      <w:r>
        <w:rPr>
          <w:noProof/>
        </w:rPr>
        <w:t>, při kterém jsou úkoly souvisejícími s plněním rozpočtu pověřeny:</w:t>
      </w:r>
    </w:p>
    <w:p>
      <w:pPr>
        <w:tabs>
          <w:tab w:val="num" w:pos="1134"/>
        </w:tabs>
        <w:ind w:left="1134" w:hanging="283"/>
        <w:rPr>
          <w:rFonts w:eastAsia="Calibri"/>
          <w:noProof/>
        </w:rPr>
      </w:pPr>
      <w:r>
        <w:rPr>
          <w:noProof/>
        </w:rPr>
        <w:sym w:font="Wingdings" w:char="F0A8"/>
      </w:r>
      <w:r>
        <w:rPr>
          <w:noProof/>
        </w:rPr>
        <w:t xml:space="preserve"> třetí země nebo subjekty určené těmito zeměmi,</w:t>
      </w:r>
    </w:p>
    <w:p>
      <w:pPr>
        <w:tabs>
          <w:tab w:val="num" w:pos="1134"/>
        </w:tabs>
        <w:ind w:left="1134" w:hanging="283"/>
        <w:rPr>
          <w:rFonts w:eastAsia="Calibri"/>
          <w:noProof/>
        </w:rPr>
      </w:pPr>
      <w:r>
        <w:rPr>
          <w:noProof/>
        </w:rPr>
        <w:sym w:font="Wingdings" w:char="F0A8"/>
      </w:r>
      <w:r>
        <w:rPr>
          <w:noProof/>
        </w:rPr>
        <w:t xml:space="preserve"> mezinárodní organizace a jejich agentury (upřesněte),</w:t>
      </w:r>
    </w:p>
    <w:p>
      <w:pPr>
        <w:tabs>
          <w:tab w:val="num" w:pos="1134"/>
        </w:tabs>
        <w:ind w:left="1134" w:hanging="283"/>
        <w:rPr>
          <w:rFonts w:eastAsia="Calibri"/>
          <w:noProof/>
        </w:rPr>
      </w:pPr>
      <w:r>
        <w:rPr>
          <w:noProof/>
        </w:rPr>
        <w:sym w:font="Wingdings" w:char="F0A8"/>
      </w:r>
      <w:r>
        <w:rPr>
          <w:noProof/>
        </w:rPr>
        <w:t xml:space="preserve"> EIB a Evropský investiční fond,</w:t>
      </w:r>
    </w:p>
    <w:p>
      <w:pPr>
        <w:tabs>
          <w:tab w:val="num" w:pos="1134"/>
        </w:tabs>
        <w:ind w:left="1134" w:hanging="283"/>
        <w:rPr>
          <w:rFonts w:eastAsia="Calibri"/>
          <w:noProof/>
        </w:rPr>
      </w:pPr>
      <w:r>
        <w:rPr>
          <w:b/>
          <w:noProof/>
        </w:rPr>
        <w:t>X</w:t>
      </w:r>
      <w:r>
        <w:rPr>
          <w:noProof/>
        </w:rPr>
        <w:t xml:space="preserve"> subjekty uvedené v článcích 70 a 71 finančního nařízení,</w:t>
      </w:r>
    </w:p>
    <w:p>
      <w:pPr>
        <w:tabs>
          <w:tab w:val="num" w:pos="1134"/>
        </w:tabs>
        <w:ind w:left="1134" w:hanging="283"/>
        <w:rPr>
          <w:rFonts w:eastAsia="Calibri"/>
          <w:noProof/>
        </w:rPr>
      </w:pPr>
      <w:r>
        <w:rPr>
          <w:noProof/>
        </w:rPr>
        <w:sym w:font="Wingdings" w:char="F0A8"/>
      </w:r>
      <w:r>
        <w:rPr>
          <w:noProof/>
        </w:rPr>
        <w:t xml:space="preserve"> veřejnoprávní subjekty,</w:t>
      </w:r>
    </w:p>
    <w:p>
      <w:pPr>
        <w:tabs>
          <w:tab w:val="num" w:pos="1134"/>
        </w:tabs>
        <w:ind w:left="1134" w:hanging="283"/>
        <w:rPr>
          <w:rFonts w:eastAsia="Calibri"/>
          <w:noProof/>
        </w:rPr>
      </w:pPr>
      <w:r>
        <w:rPr>
          <w:noProof/>
        </w:rPr>
        <w:sym w:font="Wingdings" w:char="F0A8"/>
      </w:r>
      <w:r>
        <w:rPr>
          <w:noProof/>
        </w:rPr>
        <w:t xml:space="preserve"> soukromoprávní subjekty pověřené výkonem veřejné služby v rozsahu, v jakém poskytují dostatečné finanční záruky,</w:t>
      </w:r>
    </w:p>
    <w:p>
      <w:pPr>
        <w:tabs>
          <w:tab w:val="num" w:pos="1134"/>
        </w:tabs>
        <w:ind w:left="1134" w:hanging="283"/>
        <w:rPr>
          <w:rFonts w:eastAsia="Calibri"/>
          <w:noProof/>
        </w:rPr>
      </w:pPr>
      <w:r>
        <w:rPr>
          <w:noProof/>
        </w:rPr>
        <w:sym w:font="Wingdings" w:char="F0A8"/>
      </w:r>
      <w:r>
        <w:rPr>
          <w:noProof/>
        </w:rPr>
        <w:t xml:space="preserve"> soukromoprávní subjekty členského státu pověřené uskutečňováním partnerství soukromého a veřejného sektoru a poskytující dostatečné finanční záruky,</w:t>
      </w:r>
    </w:p>
    <w:p>
      <w:pPr>
        <w:tabs>
          <w:tab w:val="num" w:pos="1134"/>
        </w:tabs>
        <w:ind w:left="1134" w:hanging="283"/>
        <w:rPr>
          <w:rFonts w:eastAsia="Calibri"/>
          <w:noProof/>
        </w:rPr>
      </w:pPr>
      <w:r>
        <w:rPr>
          <w:noProof/>
        </w:rPr>
        <w:sym w:font="Wingdings" w:char="F0A8"/>
      </w:r>
      <w:r>
        <w:rPr>
          <w:noProof/>
        </w:rPr>
        <w:t xml:space="preserve"> osoby pověřené prováděním specifických akcí v rámci společné zahraniční a bezpečnostní politiky podle hlavy V Smlouvy o EU a určené v příslušném základním právním aktu.</w:t>
      </w:r>
    </w:p>
    <w:p>
      <w:pPr>
        <w:tabs>
          <w:tab w:val="num" w:pos="1134"/>
        </w:tabs>
        <w:ind w:left="1134" w:hanging="283"/>
        <w:rPr>
          <w:rFonts w:eastAsia="Calibri"/>
          <w:i/>
          <w:noProof/>
          <w:sz w:val="18"/>
          <w:u w:val="single"/>
        </w:rPr>
      </w:pPr>
      <w:r>
        <w:rPr>
          <w:i/>
          <w:noProof/>
          <w:sz w:val="18"/>
        </w:rPr>
        <w:t>Pokud vyberete více způsobů řízení, upřesněte je v části „Poznámky“.</w:t>
      </w:r>
    </w:p>
    <w:p>
      <w:pPr>
        <w:rPr>
          <w:rFonts w:eastAsia="Calibri"/>
          <w:noProof/>
        </w:rPr>
        <w:sectPr>
          <w:pgSz w:w="11907" w:h="16840" w:code="9"/>
          <w:pgMar w:top="1134" w:right="1418" w:bottom="1134" w:left="1418" w:header="709" w:footer="709" w:gutter="0"/>
          <w:cols w:space="708"/>
          <w:docGrid w:linePitch="360"/>
        </w:sectPr>
      </w:pPr>
    </w:p>
    <w:p>
      <w:pPr>
        <w:keepNext/>
        <w:tabs>
          <w:tab w:val="left" w:pos="850"/>
        </w:tabs>
        <w:spacing w:before="360"/>
        <w:ind w:left="850" w:hanging="850"/>
        <w:outlineLvl w:val="0"/>
        <w:rPr>
          <w:rFonts w:eastAsia="Calibri"/>
          <w:b/>
          <w:smallCaps/>
          <w:noProof/>
        </w:rPr>
      </w:pPr>
      <w:bookmarkStart w:id="10" w:name="_Toc514941983"/>
      <w:bookmarkStart w:id="11" w:name="_Toc5205290"/>
      <w:r>
        <w:rPr>
          <w:b/>
          <w:smallCaps/>
          <w:noProof/>
        </w:rPr>
        <w:t>2.</w:t>
      </w:r>
      <w:r>
        <w:rPr>
          <w:b/>
          <w:smallCaps/>
          <w:noProof/>
        </w:rPr>
        <w:tab/>
        <w:t>SPRÁVNÍ OPATŘENÍ</w:t>
      </w:r>
    </w:p>
    <w:bookmarkEnd w:id="10"/>
    <w:bookmarkEnd w:id="11"/>
    <w:p>
      <w:pPr>
        <w:keepNext/>
        <w:outlineLvl w:val="1"/>
        <w:rPr>
          <w:rFonts w:eastAsia="Calibri"/>
          <w:b/>
          <w:bCs/>
          <w:noProof/>
          <w:szCs w:val="26"/>
        </w:rPr>
      </w:pPr>
      <w:r>
        <w:rPr>
          <w:b/>
          <w:noProof/>
        </w:rPr>
        <w:t>2.1.</w:t>
      </w:r>
      <w:r>
        <w:rPr>
          <w:b/>
          <w:noProof/>
        </w:rPr>
        <w:tab/>
        <w:t>Pravidla pro sledování a podávání zpráv</w:t>
      </w:r>
      <w:r>
        <w:rPr>
          <w:b/>
          <w:noProof/>
          <w:sz w:val="16"/>
          <w:szCs w:val="20"/>
        </w:rPr>
        <w:t xml:space="preserve"> </w:t>
      </w:r>
    </w:p>
    <w:p>
      <w:pPr>
        <w:ind w:left="850"/>
        <w:rPr>
          <w:rFonts w:eastAsia="Calibri"/>
          <w:i/>
          <w:noProof/>
          <w:sz w:val="20"/>
        </w:rPr>
      </w:pPr>
      <w:r>
        <w:rPr>
          <w:i/>
          <w:noProof/>
          <w:sz w:val="20"/>
        </w:rPr>
        <w:t>Upřesněte četnost a podmínky.</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noProof/>
        </w:rPr>
        <w:t xml:space="preserve">EIT bude uplatňovat rámec hodnocení a sledování, který umožní flexibilitu na všech příslušných úrovních a zajistí soulad s obecnými cíli programu Horizont Evropa a požadovaným dopadem. </w:t>
      </w:r>
      <w:r>
        <w:rPr>
          <w:noProof/>
          <w:color w:val="000000"/>
        </w:rPr>
        <w:t xml:space="preserve">Zejména bude zajištěna zpětná vazba mezi Komisí, EIT a znalostními a inovačními společenstvími, aby bylo dosaženo cílů jednotným, soudržným a účinným způsobem. </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noProof/>
          <w:color w:val="000000"/>
        </w:rPr>
        <w:t>SLEDOVÁNÍ</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noProof/>
          <w:color w:val="000000"/>
        </w:rPr>
        <w:t>Sledování EIT bude probíhat na těchto úrovních:</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noProof/>
          <w:color w:val="000000"/>
        </w:rPr>
        <w:t xml:space="preserve">1. Primárním úkolem EIT bude sledovat plnění svého provozního rozpočtu, zejména prostřednictvím znalostních a inovačních společenství. Komise se bude účastnit společného návrhu všech relevantních nástrojů pro sledování a hodnocení, které vypracovává nebo používá EIT, aby se zajistila slučitelnost a soulad s celkovým monitorovacím systémem programu Horizont Evropa, včetně klíčových způsobů dosahování dopadů, rámce kritérií pro evropská partnerství a procesu strategického plánování. </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noProof/>
          <w:color w:val="000000"/>
        </w:rPr>
        <w:t xml:space="preserve">EIT bude odpovědný za průběžné sledování provozní výkonnosti a výsledků znalostních a inovačních společenství a za průběžné přizpůsobování svých monitorovacích systémů. Výsledky tohoto monitorování budou využity při procesech plánování činnosti znalostních a inovačních společenství a při rozhodování EIT o přidělení rozpočtu a přípravě rámcových dohod o partnerství a konkrétních grantových dohod se znalostními a inovačními společenstvími jakožto příjemci. </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noProof/>
          <w:color w:val="000000"/>
        </w:rPr>
        <w:t>2. Monitorování vlastních činností EIT (výstupy, výsledky a dopady činností) bude ve střednědobém horizontu kombinovat kvantitativní a kvalitativní ukazatele. Poté, co byla EIT v lednu 2018 přiznána úplná finanční samostatnost, bylo podepsáno memorandum o porozumění mezi EIT a Komisí (GŘ EAC). Toto memorandum vymezuje formy spolupráce mezi nimi a podrobná ujednání týkající se poskytování finančního příspěvku pro EIT ze souhrnného rozpočtu Evropské unie.</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noProof/>
          <w:color w:val="000000"/>
        </w:rPr>
        <w:t>Toto monitorování činností EIT bude sledovat stupeň dosažení strategického programu inovací a jednotného programového dokumentu na základě analýzy jeho ukazatelů. Bude rovněž měřit například výkonnost EIT v oblasti poskytování podpory znalostním a inovačním společenstvím, řízení projektů souvisejících s činnostmi koordinovanými ze strany EIT, intenzitu a pokrytí akcí ke zvyšování povědomí a informačních akcí (počet seminářů a akcí týkajících se osvědčených postupů), šíření a mezinárodní činnosti a dopad EIT na obecnější evropské politické strategie v oblasti inovací, výzkumu a vzdělávání.</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noProof/>
          <w:color w:val="000000"/>
        </w:rPr>
        <w:t xml:space="preserve">3. </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noProof/>
          <w:color w:val="000000"/>
        </w:rPr>
        <w:t xml:space="preserve">Pravidelná hodnocení činností EIT, včetně činností řízených prostřednictvím znalostních a inovačních společenství, provede Komise v letech 2023 a 2026 v souladu s nařízením o EIT a nařízením o programu Horizont Evropa. Tato hodnocení posoudí účinnost, účelnost, relevanci, soudržnost a přidanou hodnotu EU činností EIT. Budou vycházet z nezávislých externích hodnocení a budou podkladem pro hodnocení v polovině období a hodnocení </w:t>
      </w:r>
      <w:r>
        <w:rPr>
          <w:i/>
          <w:noProof/>
          <w:color w:val="000000"/>
        </w:rPr>
        <w:t>ex post</w:t>
      </w:r>
      <w:r>
        <w:rPr>
          <w:noProof/>
          <w:color w:val="000000"/>
        </w:rPr>
        <w:t xml:space="preserve"> celého programu Horizont Evropa, aby se zajistila součinnost mezi EIT a ostatními složkami tohoto programu. Kromě toho může Komise kdykoli provést další hodnocení témat nebo otázek strategického významu. Součinnost plánovaných činností EIT s jinými programy EU by měla být zajištěna prostřednictvím posouzení jednotného programového dokumentu EIT ze strany Komise.</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noProof/>
          <w:color w:val="000000"/>
        </w:rPr>
        <w:t>PODÁVÁNÍ ZPRÁV</w:t>
      </w:r>
    </w:p>
    <w:p>
      <w:pPr>
        <w:pBdr>
          <w:top w:val="single" w:sz="4" w:space="1" w:color="auto"/>
          <w:left w:val="single" w:sz="4" w:space="0" w:color="auto"/>
          <w:bottom w:val="single" w:sz="4" w:space="1" w:color="auto"/>
          <w:right w:val="single" w:sz="4" w:space="4" w:color="auto"/>
        </w:pBdr>
        <w:ind w:left="850"/>
        <w:rPr>
          <w:rFonts w:eastAsia="Calibri"/>
          <w:noProof/>
        </w:rPr>
      </w:pPr>
      <w:r>
        <w:rPr>
          <w:noProof/>
        </w:rPr>
        <w:t>EIT je subjektem Unie, který dostává dotace z rozpočtu Evropské unie. Z hlediska finančního řízení a kontroly se s EIT bude zacházet jako s ostatními subjekty zřízenými podle Smlouvy. To znamená, že se na EIT vztahuje Interinstitucionální dohoda</w:t>
      </w:r>
      <w:r>
        <w:rPr>
          <w:rStyle w:val="FootnoteReference"/>
          <w:noProof/>
        </w:rPr>
        <w:footnoteReference w:id="33"/>
      </w:r>
      <w:r>
        <w:rPr>
          <w:noProof/>
        </w:rPr>
        <w:t xml:space="preserve"> mezi Evropským parlamentem, Radou a Komisí o rozpočtové kázni, spolupráci v rozpočtových záležitostech a řádném finančním řízení.</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noProof/>
          <w:color w:val="000000"/>
        </w:rPr>
        <w:t>Pokud jde o podávání zpráv o provádění monitorovacího systému:</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noProof/>
          <w:color w:val="000000"/>
        </w:rPr>
        <w:t xml:space="preserve">• </w:t>
      </w:r>
      <w:r>
        <w:rPr>
          <w:i/>
          <w:noProof/>
          <w:color w:val="000000"/>
        </w:rPr>
        <w:t>Jednotný programový dokument</w:t>
      </w:r>
      <w:r>
        <w:rPr>
          <w:noProof/>
          <w:color w:val="000000"/>
        </w:rPr>
        <w:t xml:space="preserve"> EIT, který se přijímá každý rok, obsahuje víceletý pracovní program (n+3) a roční pracovní program (n+1). Tyto pracovní programy stanoví celkové strategické plánování na roky n+1 až n+3, včetně cílů, očekávaných výsledků a ukazatelů výkonnosti, jejichž pomocí se sleduje dosahování cílů a výsledků. Kromě toho bude jednotný programový dokument obsahovat mimo jiné odhad příjmů a výdajů, dokument s plánem zdrojů, informace o politice týkající se nemovitostí, strategii pro dosahování vyšší účinnosti a synergií, strategii pro organizační uspořádání a systémy vnitřní kontroly včetně strategie boje proti podvodům v posledním aktualizovaném znění a opatření, která mají zabránit opakování případů střetu zájmů, nesrovnalostí a podvodů. </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noProof/>
          <w:color w:val="000000"/>
        </w:rPr>
        <w:t xml:space="preserve">• </w:t>
      </w:r>
      <w:r>
        <w:rPr>
          <w:i/>
          <w:noProof/>
          <w:color w:val="000000"/>
        </w:rPr>
        <w:t>Výroční zpráva o činnosti</w:t>
      </w:r>
      <w:r>
        <w:rPr>
          <w:noProof/>
          <w:color w:val="000000"/>
        </w:rPr>
        <w:t xml:space="preserve"> za předcházející rok (n-1) bude obsahovat výsledky procesu monitorování pro rok n-1 a popíše, jak a do jaké míry bylo dosaženo cílů. Výroční zpráva o činnosti by měla zohlednit zprávy o nákladech a výkonnosti znalostních a inovačních společenství za předcházející rok (n-1).</w:t>
      </w:r>
    </w:p>
    <w:p>
      <w:pPr>
        <w:pBdr>
          <w:top w:val="single" w:sz="4" w:space="1" w:color="auto"/>
          <w:left w:val="single" w:sz="4" w:space="0" w:color="auto"/>
          <w:bottom w:val="single" w:sz="4" w:space="1" w:color="auto"/>
          <w:right w:val="single" w:sz="4" w:space="4" w:color="auto"/>
        </w:pBdr>
        <w:ind w:left="850"/>
        <w:rPr>
          <w:rFonts w:eastAsia="Calibri"/>
          <w:noProof/>
          <w:color w:val="000000"/>
        </w:rPr>
      </w:pPr>
      <w:r>
        <w:rPr>
          <w:noProof/>
          <w:color w:val="000000"/>
        </w:rPr>
        <w:t xml:space="preserve">Podmínky pro podávání zpráv o znalostních a inovačních společenstvích byly stanoveny podle rámcové dohody o partnerství a grantových dohod (vykazování výkonnosti a nákladů). V zájmu zvýšení účinnosti a nákladové efektivnosti a na základě zkušeností, které EIT získal v průběhu provádění grantových dohod znalostními a inovačními společenstvími, bude v rámci procesu řízení grantů provedena řada zjednodušujících opatření, jejichž hlavním cílem bude snížení administrativní zátěže pro znalostní a inovační společenství a zvýšení kvality shromažďovaných údajů. </w:t>
      </w:r>
    </w:p>
    <w:p>
      <w:pPr>
        <w:pBdr>
          <w:top w:val="single" w:sz="4" w:space="1" w:color="auto"/>
          <w:left w:val="single" w:sz="4" w:space="0" w:color="auto"/>
          <w:bottom w:val="single" w:sz="4" w:space="1" w:color="auto"/>
          <w:right w:val="single" w:sz="4" w:space="4" w:color="auto"/>
        </w:pBdr>
        <w:ind w:left="850"/>
        <w:rPr>
          <w:rFonts w:eastAsia="Calibri"/>
          <w:noProof/>
          <w:color w:val="000000"/>
        </w:rPr>
      </w:pPr>
    </w:p>
    <w:p>
      <w:pPr>
        <w:keepNext/>
        <w:outlineLvl w:val="1"/>
        <w:rPr>
          <w:rFonts w:eastAsia="Calibri"/>
          <w:b/>
          <w:noProof/>
        </w:rPr>
      </w:pPr>
      <w:r>
        <w:rPr>
          <w:b/>
          <w:noProof/>
        </w:rPr>
        <w:t>2.2.</w:t>
      </w:r>
      <w:r>
        <w:rPr>
          <w:b/>
          <w:noProof/>
        </w:rPr>
        <w:tab/>
        <w:t>Systémy řízení a kontroly</w:t>
      </w:r>
    </w:p>
    <w:p>
      <w:pPr>
        <w:keepNext/>
        <w:outlineLvl w:val="1"/>
        <w:rPr>
          <w:rFonts w:eastAsia="Calibri"/>
          <w:b/>
          <w:noProof/>
          <w:color w:val="000000"/>
          <w:szCs w:val="24"/>
        </w:rPr>
      </w:pPr>
      <w:r>
        <w:rPr>
          <w:i/>
          <w:noProof/>
        </w:rPr>
        <w:t>2.2.1.</w:t>
      </w:r>
      <w:r>
        <w:rPr>
          <w:i/>
          <w:noProof/>
        </w:rPr>
        <w:tab/>
        <w:t>Odůvodnění navrhovaných způsobů řízení, mechanismů provádění financování, způsobů plateb a kontrolní strategie</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Jako subjekt, který je plně začleněn do programu Horizont Evropa, jsou navrhované mechanismy provádění financování, způsoby plateb a kontrolní strategie sladěny s těmito prvky v programu Horizont Evropa, aby se zajistilo, že k příjemcům a zúčastněným stranám se bude přistupovat jednotně, pokud jde o pravidla způsobilosti a řádné finanční řízení.</w:t>
      </w:r>
    </w:p>
    <w:p>
      <w:pPr>
        <w:pBdr>
          <w:top w:val="single" w:sz="4" w:space="1" w:color="auto"/>
          <w:left w:val="single" w:sz="4" w:space="4" w:color="auto"/>
          <w:bottom w:val="single" w:sz="4" w:space="1" w:color="auto"/>
          <w:right w:val="single" w:sz="4" w:space="4" w:color="auto"/>
        </w:pBdr>
        <w:ind w:left="850"/>
        <w:rPr>
          <w:rFonts w:eastAsia="Calibri"/>
          <w:i/>
          <w:noProof/>
          <w:color w:val="000000"/>
        </w:rPr>
      </w:pPr>
      <w:r>
        <w:rPr>
          <w:noProof/>
          <w:color w:val="000000"/>
        </w:rPr>
        <w:t>Výkonnost EIT v období 2014–2020 s chybovostí trvale nižší než 2 % představuje jeden z nejlepších výsledků v oblasti výzkumu a EIT – vzhledem ke svému specializovanému uspořádání – v sobě spojuje nízkou chybovost s kontrolním přístupem, který díky opatrnému využívání externího poskytování služeb udržuje náklady na kontrolu nízké a současně zachovává účinnosti a efektivitu.</w:t>
      </w:r>
    </w:p>
    <w:p>
      <w:pPr>
        <w:keepNext/>
        <w:outlineLvl w:val="2"/>
        <w:rPr>
          <w:rFonts w:eastAsia="Calibri"/>
          <w:bCs/>
          <w:i/>
          <w:noProof/>
          <w:color w:val="000000"/>
        </w:rPr>
      </w:pPr>
      <w:r>
        <w:rPr>
          <w:i/>
          <w:noProof/>
        </w:rPr>
        <w:t>2.2.2.</w:t>
      </w:r>
      <w:r>
        <w:rPr>
          <w:i/>
          <w:noProof/>
        </w:rPr>
        <w:tab/>
        <w:t>Informace o zjištěných rizicích a systémech vnitřní kontroly zřízených k jejich zmírnění</w:t>
      </w:r>
      <w:r>
        <w:rPr>
          <w:noProof/>
          <w:sz w:val="16"/>
          <w:szCs w:val="20"/>
        </w:rPr>
        <w:t xml:space="preserve">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xml:space="preserve">Vzhledem k jasné potřebě efektivního a účinného řízení evropského rozpočtu a zajištění řádného finančního řízení má EIT zaveden systém vnitřní kontroly, který poskytuje přiměřenou jistotu, že chybovost v průběhu víceletého výdajového období je v rozmezí limitů navrhovaných v rámci programu Horizont Evropa a je dokonce nižší. Rámec vnitřní kontroly EIT bude rovněž vycházet z těchto prvků: standardy Komise pro vnitřní kontrolu, vlastní postupy EIT, kontroly </w:t>
      </w:r>
      <w:r>
        <w:rPr>
          <w:i/>
          <w:noProof/>
          <w:color w:val="000000"/>
        </w:rPr>
        <w:t>ex ante</w:t>
      </w:r>
      <w:r>
        <w:rPr>
          <w:noProof/>
          <w:color w:val="000000"/>
        </w:rPr>
        <w:t xml:space="preserve"> u 100 % vykázaných výdajů znalostních a inovačních společenství financovaných EIT, osvědčení o auditu, certifikace </w:t>
      </w:r>
      <w:r>
        <w:rPr>
          <w:i/>
          <w:noProof/>
          <w:color w:val="000000"/>
        </w:rPr>
        <w:t>ex ante</w:t>
      </w:r>
      <w:r>
        <w:rPr>
          <w:noProof/>
          <w:color w:val="000000"/>
        </w:rPr>
        <w:t xml:space="preserve"> u metodik vykazování nákladů, audity </w:t>
      </w:r>
      <w:r>
        <w:rPr>
          <w:i/>
          <w:noProof/>
          <w:color w:val="000000"/>
        </w:rPr>
        <w:t>ex post</w:t>
      </w:r>
      <w:r>
        <w:rPr>
          <w:noProof/>
          <w:color w:val="000000"/>
        </w:rPr>
        <w:t xml:space="preserve"> u vzorku žádostí, výsledky projektů a externí hodnocení.</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EIT má zavedenou organizační strukturu a systémy vnitřního řízení a kontroly a postupy, které jsou vhodné pro plnění jeho úkolů. To bylo provedeno v souladu se standardy přijatými správní radou na základě rovnocenných standardů, které stanovila Komise, a s náležitým ohledem na rizika spojená s prostředím řízení a povahou financovaných akcí.</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Každoročně probíhá řízení rizik, aby se zmírnila veškerá rizika spojená s prováděním všech činností EIT. V této souvislosti by měl EIT při zavádění rámce vnitřní kontroly zohledňovat rizika prováděných činností, specifické vlastnosti populace a opětovného výskytu příjemců, četnost udělených grantů a objem transakcí a vyhnout se překrývání financování.</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xml:space="preserve">Řada zjednodušujících opatření zavedených v roce 2014 vedla ke snížení chybovosti. Zjištěná chybovost vyplývající z ověření </w:t>
      </w:r>
      <w:r>
        <w:rPr>
          <w:i/>
          <w:noProof/>
          <w:color w:val="000000"/>
        </w:rPr>
        <w:t>ex post</w:t>
      </w:r>
      <w:r>
        <w:rPr>
          <w:noProof/>
          <w:color w:val="000000"/>
        </w:rPr>
        <w:t xml:space="preserve"> u grantů EIT je značně pod úrovní významnosti, jež činí 2 %.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xml:space="preserve">Kontrolní systém zavedený EIT poskytuje přiměřenou jistotu, že je řízení rizik souvisejících s účinností a účelností operací přiměřené, zajišťuje legalitu a správnost uskutečněných transakcí a rovnováhu mezi důvěrou a kontrolou. V rámci kontrolního systému prováděného EIT je auditní strategie založena na finančním auditu reprezentativního vzorku výdajů v celém rozpočtu EIT, zejména prostřednictvím ročních grantů udělovaných znalostním a inovačním společenstvím v ročních intervalech. Tento reprezentativní vzorek může být doplněn o výběr založený na posouzení rizik souvisejících s výdaji během kontrol </w:t>
      </w:r>
      <w:r>
        <w:rPr>
          <w:i/>
          <w:noProof/>
          <w:color w:val="000000"/>
        </w:rPr>
        <w:t>ex ante</w:t>
      </w:r>
      <w:r>
        <w:rPr>
          <w:noProof/>
          <w:color w:val="000000"/>
        </w:rPr>
        <w:t xml:space="preserve"> v objemu 100 % žádostí a získané zkušenosti budou použity při posuzování kontrolního rámce hodnocení rizik pro účely realizace grantů. Audity výdajů budou nadále prováděny soudržným způsobem v souladu se zásadami hospodárnosti, efektivnosti a účelnosti.</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Pokud jde o rámec pro vnitřní kontrolu EIT, vyvinul EIT celkovou strategii pro provádění vnitřních kontrolních postupů, které podporují celý výdajový cyklus, včetně struktury dohledu. Jeho vrcholné vedení zajišťuje, že tato celková strategie je formálně přijímána správní radou a prováděna. Hlavními prvky této strategie jsou plánování a podávání zpráv v souladu se standardy Komise a propojení s přístupem k řízení rizik. Kromě toho vyvinul EIT rovněž řadu standardních operačních postupů. Tyto standardní operační postupy jsou podrobné písemné pokyny pro dosažení jednotnosti při vykonávání konkrétního procesu. Pokyny se obvykle týkají více než jednoho úkolu nebo oblasti v rámci EIT, oddělení, sekce nebo týmů.</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Znalostní a inovační společenství a různí partneři předkládají osvědčení o auditu finančních výkazů, přičemž nezávislí auditoři, s nimiž uzavřel EIT smluvní vztah, potvrzují zákonnost a soulad částek vykázaných ve finančních zprávách.</w:t>
      </w:r>
    </w:p>
    <w:p>
      <w:pPr>
        <w:pBdr>
          <w:top w:val="single" w:sz="4" w:space="1" w:color="auto"/>
          <w:left w:val="single" w:sz="4" w:space="4" w:color="auto"/>
          <w:bottom w:val="single" w:sz="4" w:space="1" w:color="auto"/>
          <w:right w:val="single" w:sz="4" w:space="4" w:color="auto"/>
        </w:pBdr>
        <w:ind w:left="850"/>
        <w:rPr>
          <w:rFonts w:eastAsia="Calibri"/>
          <w:noProof/>
          <w:color w:val="000000"/>
        </w:rPr>
      </w:pPr>
    </w:p>
    <w:p>
      <w:pPr>
        <w:keepNext/>
        <w:outlineLvl w:val="2"/>
        <w:rPr>
          <w:rFonts w:eastAsia="Calibri"/>
          <w:bCs/>
          <w:i/>
          <w:noProof/>
          <w:color w:val="000000"/>
        </w:rPr>
      </w:pPr>
      <w:r>
        <w:rPr>
          <w:i/>
          <w:noProof/>
        </w:rPr>
        <w:t>2.2.3.</w:t>
      </w:r>
      <w:r>
        <w:rPr>
          <w:i/>
          <w:noProof/>
        </w:rPr>
        <w:tab/>
        <w:t>Odhad a odůvodnění nákladové efektivnosti kontrol (poměr „náklady na kontroly ÷ hodnota souvisejících spravovaných finančních prostředků“) a posouzení očekávané míry rizika výskytu chyb (při platbě a při uzávěrce)</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xml:space="preserve">Na základě nejnovějších odhadů jsou náklady na kontroly EIT nižší než 3 % spravovaných finančních prostředků, což je spojeno s rizikem chybovosti ve výši 1 %. Nápravná opatření se běžně používají prostřednictvím osvědčení o finančních výkazech a auditů </w:t>
      </w:r>
      <w:r>
        <w:rPr>
          <w:i/>
          <w:noProof/>
          <w:color w:val="000000"/>
        </w:rPr>
        <w:t>ex post</w:t>
      </w:r>
      <w:r>
        <w:rPr>
          <w:noProof/>
          <w:color w:val="000000"/>
        </w:rPr>
        <w:t>. Kombinace malé velikosti a efektivního a účelného přístupu k externímu poskytování služeb umožňuje zajistit, aby náklady na kontroly zůstaly nízké a úroveň jistoty byla dostatečná, jak ukazují nedávná prohlášení Evropského účetního dvora o věrohodnosti.</w:t>
      </w:r>
    </w:p>
    <w:p>
      <w:pPr>
        <w:keepNext/>
        <w:outlineLvl w:val="1"/>
        <w:rPr>
          <w:rFonts w:eastAsia="Calibri"/>
          <w:b/>
          <w:noProof/>
          <w:color w:val="000000"/>
          <w:szCs w:val="24"/>
        </w:rPr>
      </w:pPr>
      <w:r>
        <w:rPr>
          <w:b/>
          <w:noProof/>
        </w:rPr>
        <w:t>2.3.</w:t>
      </w:r>
      <w:r>
        <w:rPr>
          <w:b/>
          <w:noProof/>
        </w:rPr>
        <w:tab/>
        <w:t>Opatření k zamezení podvodů a nesrovnalostí</w:t>
      </w:r>
      <w:r>
        <w:rPr>
          <w:b/>
          <w:noProof/>
          <w:sz w:val="16"/>
          <w:szCs w:val="20"/>
        </w:rPr>
        <w:t xml:space="preserve"> </w:t>
      </w:r>
    </w:p>
    <w:p>
      <w:pPr>
        <w:ind w:left="850"/>
        <w:rPr>
          <w:rFonts w:eastAsia="Calibri"/>
          <w:i/>
          <w:noProof/>
          <w:color w:val="000000"/>
          <w:sz w:val="20"/>
        </w:rPr>
      </w:pPr>
      <w:r>
        <w:rPr>
          <w:i/>
          <w:noProof/>
          <w:color w:val="000000"/>
          <w:sz w:val="20"/>
        </w:rPr>
        <w:t>Upřesněte stávající či předpokládaná preventivní a ochranná opatření, např. opatření uvedená ve strategii pro boj proti podvodům.</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 xml:space="preserve">EIT přijme vhodná opatření k zajištění ochrany finančních zájmů Unie. </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EIT je odhodlán bojovat proti podvodům ve všech fázích procesu řízení grantů a dalších činností, které jsou prováděny. Všechna rozhodnutí, která EIT přijme, a všechny dohody, které uzavře, výslovně uvádějí, že Evropský úřad pro boj proti podvodům (OLAF) a Účetní dvůr mohou na místě provádět kontroly dokladů všech dodavatelů a subdodavatelů, kteří obdrželi finanční prostředky Unie, a to i v prostorách konečných příjemců.</w:t>
      </w:r>
    </w:p>
    <w:p>
      <w:pPr>
        <w:pBdr>
          <w:top w:val="single" w:sz="4" w:space="1" w:color="auto"/>
          <w:left w:val="single" w:sz="4" w:space="4" w:color="auto"/>
          <w:bottom w:val="single" w:sz="4" w:space="1" w:color="auto"/>
          <w:right w:val="single" w:sz="4" w:space="4" w:color="auto"/>
        </w:pBdr>
        <w:ind w:left="850"/>
        <w:rPr>
          <w:rFonts w:eastAsia="Calibri"/>
          <w:noProof/>
          <w:color w:val="000000"/>
        </w:rPr>
      </w:pPr>
      <w:r>
        <w:rPr>
          <w:noProof/>
          <w:color w:val="000000"/>
        </w:rPr>
        <w:t>EIT má od roku 2015 strategii proti podvodům, která je v souladu se strategií Komise, a soustavně zlepšuje svá opatření pro předcházení podvodům a jejich odhalování.</w:t>
      </w:r>
    </w:p>
    <w:p>
      <w:pPr>
        <w:rPr>
          <w:rFonts w:eastAsia="Calibri"/>
          <w:noProof/>
        </w:rPr>
        <w:sectPr>
          <w:pgSz w:w="11907" w:h="16840" w:code="9"/>
          <w:pgMar w:top="1134" w:right="1418" w:bottom="1134" w:left="1418" w:header="709" w:footer="709" w:gutter="0"/>
          <w:cols w:space="708"/>
          <w:docGrid w:linePitch="360"/>
        </w:sectPr>
      </w:pPr>
    </w:p>
    <w:p>
      <w:pPr>
        <w:rPr>
          <w:rFonts w:eastAsia="Calibri"/>
          <w:noProof/>
        </w:rPr>
      </w:pPr>
      <w:bookmarkStart w:id="12" w:name="_Toc514941990"/>
      <w:bookmarkStart w:id="13" w:name="_Toc5205297"/>
      <w:r>
        <w:rPr>
          <w:b/>
          <w:smallCaps/>
          <w:noProof/>
        </w:rPr>
        <w:t>3.</w:t>
      </w:r>
      <w:r>
        <w:rPr>
          <w:b/>
          <w:smallCaps/>
          <w:noProof/>
        </w:rPr>
        <w:tab/>
        <w:t>ODHADOVANÝ FINANČNÍ DOPAD NÁVRHU/PODNĚTU</w:t>
      </w:r>
      <w:r>
        <w:rPr>
          <w:noProof/>
        </w:rPr>
        <w:t xml:space="preserve"> </w:t>
      </w:r>
    </w:p>
    <w:bookmarkEnd w:id="12"/>
    <w:bookmarkEnd w:id="13"/>
    <w:p>
      <w:pPr>
        <w:keepNext/>
        <w:outlineLvl w:val="1"/>
        <w:rPr>
          <w:rFonts w:eastAsia="Calibri"/>
          <w:b/>
          <w:bCs/>
          <w:noProof/>
          <w:szCs w:val="26"/>
        </w:rPr>
      </w:pPr>
      <w:r>
        <w:rPr>
          <w:b/>
          <w:noProof/>
        </w:rPr>
        <w:t>3.1.</w:t>
      </w:r>
      <w:r>
        <w:rPr>
          <w:b/>
          <w:noProof/>
        </w:rPr>
        <w:tab/>
        <w:t>Okruh víceletého finančního rámce a nově navržené výdajové rozpočtové položky</w:t>
      </w:r>
      <w:r>
        <w:rPr>
          <w:noProof/>
          <w:sz w:val="16"/>
          <w:szCs w:val="20"/>
        </w:rPr>
        <w:t xml:space="preserve">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1044"/>
        <w:gridCol w:w="1134"/>
        <w:gridCol w:w="814"/>
        <w:gridCol w:w="1448"/>
      </w:tblGrid>
      <w:tr>
        <w:tc>
          <w:tcPr>
            <w:tcW w:w="1080" w:type="dxa"/>
            <w:vMerge w:val="restart"/>
            <w:vAlign w:val="center"/>
          </w:tcPr>
          <w:p>
            <w:pPr>
              <w:spacing w:before="60" w:after="60"/>
              <w:jc w:val="center"/>
              <w:rPr>
                <w:rFonts w:eastAsia="Calibri"/>
                <w:noProof/>
              </w:rPr>
            </w:pPr>
          </w:p>
        </w:tc>
        <w:tc>
          <w:tcPr>
            <w:tcW w:w="3960" w:type="dxa"/>
            <w:vAlign w:val="center"/>
          </w:tcPr>
          <w:p>
            <w:pPr>
              <w:spacing w:before="60" w:after="60"/>
              <w:jc w:val="center"/>
              <w:rPr>
                <w:rFonts w:eastAsia="Calibri"/>
                <w:noProof/>
              </w:rPr>
            </w:pPr>
            <w:r>
              <w:rPr>
                <w:noProof/>
                <w:sz w:val="20"/>
              </w:rPr>
              <w:t>Rozpočtová položka</w:t>
            </w:r>
          </w:p>
        </w:tc>
        <w:tc>
          <w:tcPr>
            <w:tcW w:w="1080" w:type="dxa"/>
            <w:vAlign w:val="center"/>
          </w:tcPr>
          <w:p>
            <w:pPr>
              <w:spacing w:before="60" w:after="60"/>
              <w:jc w:val="center"/>
              <w:rPr>
                <w:rFonts w:eastAsia="Calibri"/>
                <w:noProof/>
              </w:rPr>
            </w:pPr>
            <w:r>
              <w:rPr>
                <w:noProof/>
                <w:sz w:val="18"/>
              </w:rPr>
              <w:t xml:space="preserve">Druh </w:t>
            </w:r>
            <w:r>
              <w:rPr>
                <w:noProof/>
                <w:sz w:val="22"/>
              </w:rPr>
              <w:br/>
            </w:r>
            <w:r>
              <w:rPr>
                <w:noProof/>
                <w:sz w:val="18"/>
              </w:rPr>
              <w:t>výdaje</w:t>
            </w:r>
          </w:p>
        </w:tc>
        <w:tc>
          <w:tcPr>
            <w:tcW w:w="4440" w:type="dxa"/>
            <w:gridSpan w:val="4"/>
            <w:vAlign w:val="center"/>
          </w:tcPr>
          <w:p>
            <w:pPr>
              <w:spacing w:before="60" w:after="60"/>
              <w:jc w:val="center"/>
              <w:rPr>
                <w:rFonts w:eastAsia="Calibri"/>
                <w:noProof/>
              </w:rPr>
            </w:pPr>
            <w:r>
              <w:rPr>
                <w:noProof/>
                <w:sz w:val="20"/>
              </w:rPr>
              <w:t xml:space="preserve">Příspěvek </w:t>
            </w:r>
          </w:p>
        </w:tc>
      </w:tr>
      <w:tr>
        <w:tc>
          <w:tcPr>
            <w:tcW w:w="1080" w:type="dxa"/>
            <w:vMerge/>
            <w:vAlign w:val="center"/>
          </w:tcPr>
          <w:p>
            <w:pPr>
              <w:jc w:val="center"/>
              <w:rPr>
                <w:rFonts w:eastAsia="Calibri"/>
                <w:noProof/>
              </w:rPr>
            </w:pPr>
          </w:p>
        </w:tc>
        <w:tc>
          <w:tcPr>
            <w:tcW w:w="3960" w:type="dxa"/>
            <w:vAlign w:val="center"/>
          </w:tcPr>
          <w:p>
            <w:pPr>
              <w:spacing w:before="60"/>
              <w:rPr>
                <w:rFonts w:eastAsia="Calibri"/>
                <w:noProof/>
                <w:sz w:val="22"/>
              </w:rPr>
            </w:pPr>
            <w:r>
              <w:rPr>
                <w:noProof/>
                <w:sz w:val="22"/>
              </w:rPr>
              <w:t>01.010101 Výdaje související s úředníky a dočasnými pracovníky provádějícími výzkumné a inovační programy – Horizont Evropa</w:t>
            </w:r>
          </w:p>
          <w:p>
            <w:pPr>
              <w:spacing w:before="60"/>
              <w:rPr>
                <w:rFonts w:eastAsia="Calibri"/>
                <w:noProof/>
                <w:sz w:val="22"/>
              </w:rPr>
            </w:pPr>
            <w:r>
              <w:rPr>
                <w:noProof/>
                <w:sz w:val="22"/>
              </w:rPr>
              <w:t>01.010102 Externí pracovníci provádějící výzkumné a inovační programy – Horizont Evropa</w:t>
            </w:r>
          </w:p>
          <w:p>
            <w:pPr>
              <w:spacing w:before="60"/>
              <w:rPr>
                <w:rFonts w:eastAsia="Calibri"/>
                <w:noProof/>
                <w:sz w:val="22"/>
              </w:rPr>
            </w:pPr>
            <w:r>
              <w:rPr>
                <w:noProof/>
                <w:sz w:val="22"/>
              </w:rPr>
              <w:t>01.010103 Ostatní výdaje na řízení určené na výzkumné a inovační programy – Horizont Evropa</w:t>
            </w:r>
          </w:p>
          <w:p>
            <w:pPr>
              <w:rPr>
                <w:rFonts w:eastAsia="Calibri"/>
                <w:noProof/>
                <w:sz w:val="22"/>
              </w:rPr>
            </w:pPr>
          </w:p>
          <w:p>
            <w:pPr>
              <w:rPr>
                <w:rFonts w:eastAsia="Calibri"/>
                <w:noProof/>
              </w:rPr>
            </w:pPr>
            <w:r>
              <w:rPr>
                <w:noProof/>
                <w:sz w:val="22"/>
              </w:rPr>
              <w:t>Okruh I. Jednotný trh, inovace a digitální oblast</w:t>
            </w:r>
          </w:p>
        </w:tc>
        <w:tc>
          <w:tcPr>
            <w:tcW w:w="1080" w:type="dxa"/>
            <w:vAlign w:val="center"/>
          </w:tcPr>
          <w:p>
            <w:pPr>
              <w:jc w:val="center"/>
              <w:rPr>
                <w:rFonts w:eastAsia="Calibri"/>
                <w:noProof/>
              </w:rPr>
            </w:pPr>
            <w:r>
              <w:rPr>
                <w:noProof/>
                <w:sz w:val="18"/>
              </w:rPr>
              <w:t>NRP</w:t>
            </w:r>
            <w:r>
              <w:rPr>
                <w:rStyle w:val="FootnoteReference"/>
                <w:noProof/>
              </w:rPr>
              <w:footnoteReference w:id="34"/>
            </w:r>
          </w:p>
        </w:tc>
        <w:tc>
          <w:tcPr>
            <w:tcW w:w="1044" w:type="dxa"/>
            <w:vAlign w:val="center"/>
          </w:tcPr>
          <w:p>
            <w:pPr>
              <w:jc w:val="center"/>
              <w:rPr>
                <w:rFonts w:eastAsia="Calibri"/>
                <w:noProof/>
              </w:rPr>
            </w:pPr>
            <w:r>
              <w:rPr>
                <w:noProof/>
                <w:sz w:val="18"/>
              </w:rPr>
              <w:t>zemí ESVO</w:t>
            </w:r>
            <w:r>
              <w:rPr>
                <w:rStyle w:val="FootnoteReference"/>
                <w:noProof/>
              </w:rPr>
              <w:footnoteReference w:id="35"/>
            </w:r>
          </w:p>
          <w:p>
            <w:pPr>
              <w:spacing w:before="0" w:after="0"/>
              <w:jc w:val="center"/>
              <w:rPr>
                <w:rFonts w:eastAsia="Calibri"/>
                <w:b/>
                <w:noProof/>
                <w:sz w:val="18"/>
              </w:rPr>
            </w:pPr>
          </w:p>
        </w:tc>
        <w:tc>
          <w:tcPr>
            <w:tcW w:w="1134" w:type="dxa"/>
            <w:vAlign w:val="center"/>
          </w:tcPr>
          <w:p>
            <w:pPr>
              <w:jc w:val="center"/>
              <w:rPr>
                <w:rFonts w:eastAsia="Calibri"/>
                <w:noProof/>
              </w:rPr>
            </w:pPr>
            <w:r>
              <w:rPr>
                <w:noProof/>
                <w:sz w:val="18"/>
              </w:rPr>
              <w:t>kandidátských zemí</w:t>
            </w:r>
            <w:r>
              <w:rPr>
                <w:rStyle w:val="FootnoteReference"/>
                <w:noProof/>
              </w:rPr>
              <w:footnoteReference w:id="36"/>
            </w:r>
          </w:p>
          <w:p>
            <w:pPr>
              <w:spacing w:before="0" w:after="0"/>
              <w:jc w:val="center"/>
              <w:rPr>
                <w:rFonts w:eastAsia="Calibri"/>
                <w:noProof/>
                <w:sz w:val="18"/>
              </w:rPr>
            </w:pPr>
          </w:p>
        </w:tc>
        <w:tc>
          <w:tcPr>
            <w:tcW w:w="814" w:type="dxa"/>
            <w:vAlign w:val="center"/>
          </w:tcPr>
          <w:p>
            <w:pPr>
              <w:jc w:val="center"/>
              <w:rPr>
                <w:rFonts w:eastAsia="Calibri"/>
                <w:noProof/>
                <w:sz w:val="18"/>
              </w:rPr>
            </w:pPr>
            <w:r>
              <w:rPr>
                <w:noProof/>
                <w:sz w:val="18"/>
              </w:rPr>
              <w:t>třetích zemí</w:t>
            </w:r>
          </w:p>
        </w:tc>
        <w:tc>
          <w:tcPr>
            <w:tcW w:w="1448" w:type="dxa"/>
            <w:vAlign w:val="center"/>
          </w:tcPr>
          <w:p>
            <w:pPr>
              <w:jc w:val="center"/>
              <w:rPr>
                <w:rFonts w:eastAsia="Calibri"/>
                <w:noProof/>
              </w:rPr>
            </w:pPr>
            <w:r>
              <w:rPr>
                <w:noProof/>
                <w:sz w:val="16"/>
              </w:rPr>
              <w:t xml:space="preserve">ve smyslu čl. [21 odst. 2 písm. b)] finančního nařízení </w:t>
            </w:r>
          </w:p>
        </w:tc>
      </w:tr>
      <w:tr>
        <w:tc>
          <w:tcPr>
            <w:tcW w:w="1080" w:type="dxa"/>
            <w:vAlign w:val="center"/>
          </w:tcPr>
          <w:p>
            <w:pPr>
              <w:jc w:val="center"/>
              <w:rPr>
                <w:rFonts w:eastAsia="Calibri"/>
                <w:noProof/>
                <w:color w:val="0000FF"/>
              </w:rPr>
            </w:pPr>
          </w:p>
        </w:tc>
        <w:tc>
          <w:tcPr>
            <w:tcW w:w="3960" w:type="dxa"/>
            <w:vAlign w:val="center"/>
          </w:tcPr>
          <w:p>
            <w:pPr>
              <w:spacing w:before="60"/>
              <w:rPr>
                <w:rFonts w:eastAsia="Calibri"/>
                <w:noProof/>
                <w:sz w:val="22"/>
              </w:rPr>
            </w:pPr>
            <w:r>
              <w:rPr>
                <w:noProof/>
                <w:sz w:val="22"/>
              </w:rPr>
              <w:t xml:space="preserve">01.02.03.XX Evropský inovační a technologický institut (EIT) </w:t>
            </w:r>
          </w:p>
        </w:tc>
        <w:tc>
          <w:tcPr>
            <w:tcW w:w="1080" w:type="dxa"/>
            <w:vAlign w:val="center"/>
          </w:tcPr>
          <w:p>
            <w:pPr>
              <w:jc w:val="center"/>
              <w:rPr>
                <w:rFonts w:eastAsia="Calibri"/>
                <w:noProof/>
                <w:color w:val="0000FF"/>
              </w:rPr>
            </w:pPr>
            <w:r>
              <w:rPr>
                <w:noProof/>
                <w:sz w:val="22"/>
              </w:rPr>
              <w:t>RP</w:t>
            </w:r>
          </w:p>
        </w:tc>
        <w:tc>
          <w:tcPr>
            <w:tcW w:w="1044" w:type="dxa"/>
            <w:vAlign w:val="center"/>
          </w:tcPr>
          <w:p>
            <w:pPr>
              <w:jc w:val="center"/>
              <w:rPr>
                <w:rFonts w:eastAsia="Calibri"/>
                <w:noProof/>
              </w:rPr>
            </w:pPr>
            <w:r>
              <w:rPr>
                <w:noProof/>
                <w:sz w:val="22"/>
              </w:rPr>
              <w:t>ANO</w:t>
            </w:r>
          </w:p>
        </w:tc>
        <w:tc>
          <w:tcPr>
            <w:tcW w:w="1134" w:type="dxa"/>
            <w:vAlign w:val="center"/>
          </w:tcPr>
          <w:p>
            <w:pPr>
              <w:jc w:val="center"/>
              <w:rPr>
                <w:rFonts w:eastAsia="Calibri"/>
                <w:noProof/>
              </w:rPr>
            </w:pPr>
            <w:r>
              <w:rPr>
                <w:noProof/>
                <w:sz w:val="22"/>
              </w:rPr>
              <w:t>ANO</w:t>
            </w:r>
          </w:p>
        </w:tc>
        <w:tc>
          <w:tcPr>
            <w:tcW w:w="814" w:type="dxa"/>
            <w:vAlign w:val="center"/>
          </w:tcPr>
          <w:p>
            <w:pPr>
              <w:jc w:val="center"/>
              <w:rPr>
                <w:rFonts w:eastAsia="Calibri"/>
                <w:noProof/>
              </w:rPr>
            </w:pPr>
            <w:r>
              <w:rPr>
                <w:noProof/>
                <w:sz w:val="22"/>
              </w:rPr>
              <w:t>ANO</w:t>
            </w:r>
          </w:p>
        </w:tc>
        <w:tc>
          <w:tcPr>
            <w:tcW w:w="1448" w:type="dxa"/>
            <w:vAlign w:val="center"/>
          </w:tcPr>
          <w:p>
            <w:pPr>
              <w:jc w:val="center"/>
              <w:rPr>
                <w:rFonts w:eastAsia="Calibri"/>
                <w:noProof/>
              </w:rPr>
            </w:pPr>
            <w:r>
              <w:rPr>
                <w:noProof/>
                <w:sz w:val="22"/>
              </w:rPr>
              <w:t>NE</w:t>
            </w:r>
          </w:p>
        </w:tc>
      </w:tr>
    </w:tbl>
    <w:p>
      <w:pPr>
        <w:rPr>
          <w:rFonts w:eastAsia="Calibri"/>
          <w:noProof/>
        </w:rPr>
        <w:sectPr>
          <w:pgSz w:w="11907" w:h="16840" w:code="1"/>
          <w:pgMar w:top="1134" w:right="1418" w:bottom="1134" w:left="1418" w:header="709" w:footer="709" w:gutter="0"/>
          <w:cols w:space="708"/>
          <w:docGrid w:linePitch="360"/>
        </w:sectPr>
      </w:pPr>
    </w:p>
    <w:p>
      <w:pPr>
        <w:keepNext/>
        <w:outlineLvl w:val="1"/>
        <w:rPr>
          <w:rFonts w:eastAsia="Calibri"/>
          <w:b/>
          <w:noProof/>
          <w:szCs w:val="24"/>
        </w:rPr>
      </w:pPr>
      <w:r>
        <w:rPr>
          <w:b/>
          <w:noProof/>
        </w:rPr>
        <w:t>3.2.</w:t>
      </w:r>
      <w:r>
        <w:rPr>
          <w:b/>
          <w:noProof/>
        </w:rPr>
        <w:tab/>
        <w:t>Odhadovaný dopad na výdaje</w:t>
      </w:r>
      <w:r>
        <w:rPr>
          <w:noProof/>
          <w:sz w:val="16"/>
          <w:szCs w:val="20"/>
        </w:rPr>
        <w:t xml:space="preserve"> </w:t>
      </w:r>
    </w:p>
    <w:p>
      <w:pPr>
        <w:keepNext/>
        <w:outlineLvl w:val="2"/>
        <w:rPr>
          <w:rFonts w:eastAsia="Calibri"/>
          <w:bCs/>
          <w:i/>
          <w:noProof/>
          <w:u w:val="single"/>
        </w:rPr>
      </w:pPr>
      <w:r>
        <w:rPr>
          <w:i/>
          <w:noProof/>
        </w:rPr>
        <w:t>3.2.1.</w:t>
      </w:r>
      <w:r>
        <w:rPr>
          <w:i/>
          <w:noProof/>
        </w:rPr>
        <w:tab/>
        <w:t>Odhadovaný souhrnný dopad na výdaje</w:t>
      </w:r>
    </w:p>
    <w:p>
      <w:pPr>
        <w:jc w:val="right"/>
        <w:rPr>
          <w:rFonts w:eastAsia="Calibri"/>
          <w:noProof/>
          <w:sz w:val="20"/>
        </w:rPr>
      </w:pPr>
      <w:r>
        <w:rPr>
          <w:noProof/>
          <w:sz w:val="20"/>
        </w:rPr>
        <w:t>v milionech EUR (zaokrouhleno na tři desetinná místa)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Calibri"/>
                <w:b/>
                <w:noProof/>
              </w:rPr>
            </w:pPr>
            <w:r>
              <w:rPr>
                <w:b/>
                <w:noProof/>
                <w:sz w:val="22"/>
              </w:rPr>
              <w:t>Okruh víceletého finančního</w:t>
            </w:r>
            <w:r>
              <w:rPr>
                <w:noProof/>
                <w:sz w:val="22"/>
              </w:rPr>
              <w:br/>
            </w:r>
            <w:r>
              <w:rPr>
                <w:b/>
                <w:noProof/>
                <w:sz w:val="22"/>
              </w:rPr>
              <w:t xml:space="preserve">rámce </w:t>
            </w:r>
          </w:p>
        </w:tc>
        <w:tc>
          <w:tcPr>
            <w:tcW w:w="1080" w:type="dxa"/>
            <w:vAlign w:val="center"/>
          </w:tcPr>
          <w:p>
            <w:pPr>
              <w:spacing w:before="60" w:after="60"/>
              <w:jc w:val="center"/>
              <w:rPr>
                <w:rFonts w:eastAsia="Calibri"/>
                <w:noProof/>
              </w:rPr>
            </w:pPr>
            <w:r>
              <w:rPr>
                <w:b/>
                <w:noProof/>
                <w:sz w:val="22"/>
              </w:rPr>
              <w:t>I</w:t>
            </w:r>
          </w:p>
        </w:tc>
        <w:tc>
          <w:tcPr>
            <w:tcW w:w="7817" w:type="dxa"/>
            <w:vAlign w:val="center"/>
          </w:tcPr>
          <w:p>
            <w:pPr>
              <w:spacing w:before="60" w:after="60"/>
              <w:rPr>
                <w:rFonts w:eastAsia="Calibri"/>
                <w:noProof/>
              </w:rPr>
            </w:pPr>
            <w:r>
              <w:rPr>
                <w:noProof/>
                <w:sz w:val="22"/>
              </w:rPr>
              <w:t>Okruh I. Jednotný trh, inovace a digitální oblast</w:t>
            </w:r>
          </w:p>
        </w:tc>
      </w:tr>
    </w:tbl>
    <w:p>
      <w:pPr>
        <w:rPr>
          <w:rFonts w:eastAsia="Calibri"/>
          <w:noProof/>
          <w:sz w:val="16"/>
        </w:rPr>
      </w:pPr>
    </w:p>
    <w:p>
      <w:pPr>
        <w:rPr>
          <w:rFonts w:eastAsia="Calibri"/>
          <w:b/>
          <w:noProof/>
          <w:sz w:val="16"/>
        </w:rPr>
      </w:pPr>
    </w:p>
    <w:p>
      <w:pPr>
        <w:rPr>
          <w:rFonts w:eastAsia="Calibri"/>
          <w:b/>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909"/>
        <w:gridCol w:w="1289"/>
      </w:tblGrid>
      <w:tr>
        <w:trPr>
          <w:jc w:val="center"/>
        </w:trPr>
        <w:tc>
          <w:tcPr>
            <w:tcW w:w="6197" w:type="dxa"/>
            <w:gridSpan w:val="3"/>
            <w:tcBorders>
              <w:top w:val="nil"/>
              <w:left w:val="nil"/>
              <w:bottom w:val="nil"/>
              <w:right w:val="single" w:sz="4" w:space="0" w:color="auto"/>
            </w:tcBorders>
            <w:vAlign w:val="center"/>
          </w:tcPr>
          <w:p>
            <w:pPr>
              <w:rPr>
                <w:rFonts w:eastAsia="Calibri"/>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rPr>
                <w:rFonts w:eastAsia="Calibri"/>
                <w:b/>
                <w:noProof/>
                <w:sz w:val="20"/>
              </w:rPr>
            </w:pPr>
            <w:r>
              <w:rPr>
                <w:b/>
                <w:noProof/>
                <w:sz w:val="20"/>
              </w:rPr>
              <w:t>2021</w:t>
            </w:r>
          </w:p>
        </w:tc>
        <w:tc>
          <w:tcPr>
            <w:tcW w:w="868" w:type="dxa"/>
            <w:tcBorders>
              <w:top w:val="single" w:sz="4" w:space="0" w:color="auto"/>
              <w:left w:val="single" w:sz="4" w:space="0" w:color="auto"/>
              <w:bottom w:val="single" w:sz="4" w:space="0" w:color="auto"/>
              <w:right w:val="single" w:sz="4" w:space="0" w:color="auto"/>
            </w:tcBorders>
            <w:vAlign w:val="center"/>
          </w:tcPr>
          <w:p>
            <w:pPr>
              <w:rPr>
                <w:rFonts w:eastAsia="Calibri"/>
                <w:b/>
                <w:noProof/>
                <w:sz w:val="20"/>
              </w:rPr>
            </w:pPr>
            <w:r>
              <w:rPr>
                <w:b/>
                <w:noProof/>
                <w:sz w:val="20"/>
              </w:rPr>
              <w:t>2022</w:t>
            </w:r>
          </w:p>
        </w:tc>
        <w:tc>
          <w:tcPr>
            <w:tcW w:w="868" w:type="dxa"/>
            <w:tcBorders>
              <w:top w:val="single" w:sz="4" w:space="0" w:color="auto"/>
              <w:left w:val="single" w:sz="4" w:space="0" w:color="auto"/>
              <w:bottom w:val="single" w:sz="4" w:space="0" w:color="auto"/>
              <w:right w:val="single" w:sz="4" w:space="0" w:color="auto"/>
            </w:tcBorders>
            <w:vAlign w:val="center"/>
          </w:tcPr>
          <w:p>
            <w:pPr>
              <w:rPr>
                <w:rFonts w:eastAsia="Calibri"/>
                <w:b/>
                <w:noProof/>
                <w:sz w:val="20"/>
              </w:rPr>
            </w:pPr>
            <w:r>
              <w:rPr>
                <w:b/>
                <w:noProof/>
                <w:sz w:val="20"/>
              </w:rPr>
              <w:t>2023</w:t>
            </w:r>
          </w:p>
        </w:tc>
        <w:tc>
          <w:tcPr>
            <w:tcW w:w="868" w:type="dxa"/>
            <w:tcBorders>
              <w:top w:val="single" w:sz="4" w:space="0" w:color="auto"/>
              <w:left w:val="single" w:sz="4" w:space="0" w:color="auto"/>
              <w:bottom w:val="single" w:sz="4" w:space="0" w:color="auto"/>
              <w:right w:val="single" w:sz="4" w:space="0" w:color="auto"/>
            </w:tcBorders>
            <w:vAlign w:val="center"/>
          </w:tcPr>
          <w:p>
            <w:pPr>
              <w:rPr>
                <w:rFonts w:eastAsia="Calibri"/>
                <w:b/>
                <w:noProof/>
                <w:sz w:val="20"/>
              </w:rPr>
            </w:pPr>
            <w:r>
              <w:rPr>
                <w:b/>
                <w:noProof/>
                <w:sz w:val="20"/>
              </w:rPr>
              <w:t>2024</w:t>
            </w:r>
          </w:p>
        </w:tc>
        <w:tc>
          <w:tcPr>
            <w:tcW w:w="868" w:type="dxa"/>
            <w:tcBorders>
              <w:top w:val="single" w:sz="4" w:space="0" w:color="auto"/>
              <w:left w:val="single" w:sz="4" w:space="0" w:color="auto"/>
              <w:bottom w:val="single" w:sz="4" w:space="0" w:color="auto"/>
              <w:right w:val="single" w:sz="4" w:space="0" w:color="auto"/>
            </w:tcBorders>
            <w:vAlign w:val="center"/>
          </w:tcPr>
          <w:p>
            <w:pPr>
              <w:rPr>
                <w:rFonts w:eastAsia="Calibri"/>
                <w:b/>
                <w:noProof/>
                <w:sz w:val="18"/>
              </w:rPr>
            </w:pPr>
            <w:r>
              <w:rPr>
                <w:b/>
                <w:noProof/>
                <w:sz w:val="18"/>
              </w:rPr>
              <w:t>2025</w:t>
            </w:r>
          </w:p>
        </w:tc>
        <w:tc>
          <w:tcPr>
            <w:tcW w:w="868" w:type="dxa"/>
            <w:tcBorders>
              <w:top w:val="single" w:sz="4" w:space="0" w:color="auto"/>
              <w:left w:val="single" w:sz="4" w:space="0" w:color="auto"/>
              <w:bottom w:val="single" w:sz="4" w:space="0" w:color="auto"/>
              <w:right w:val="single" w:sz="4" w:space="0" w:color="auto"/>
            </w:tcBorders>
            <w:vAlign w:val="center"/>
          </w:tcPr>
          <w:p>
            <w:pPr>
              <w:rPr>
                <w:rFonts w:eastAsia="Calibri"/>
                <w:b/>
                <w:noProof/>
                <w:sz w:val="18"/>
              </w:rPr>
            </w:pPr>
            <w:r>
              <w:rPr>
                <w:b/>
                <w:noProof/>
                <w:sz w:val="18"/>
              </w:rPr>
              <w:t>2026</w:t>
            </w:r>
          </w:p>
        </w:tc>
        <w:tc>
          <w:tcPr>
            <w:tcW w:w="868" w:type="dxa"/>
            <w:tcBorders>
              <w:top w:val="single" w:sz="4" w:space="0" w:color="auto"/>
              <w:left w:val="single" w:sz="4" w:space="0" w:color="auto"/>
              <w:bottom w:val="single" w:sz="4" w:space="0" w:color="auto"/>
              <w:right w:val="single" w:sz="4" w:space="0" w:color="auto"/>
            </w:tcBorders>
            <w:vAlign w:val="center"/>
          </w:tcPr>
          <w:p>
            <w:pPr>
              <w:rPr>
                <w:rFonts w:eastAsia="Calibri"/>
                <w:b/>
                <w:noProof/>
                <w:sz w:val="18"/>
              </w:rPr>
            </w:pPr>
            <w:r>
              <w:rPr>
                <w:b/>
                <w:noProof/>
                <w:sz w:val="18"/>
              </w:rPr>
              <w:t>2027</w:t>
            </w:r>
          </w:p>
        </w:tc>
        <w:tc>
          <w:tcPr>
            <w:tcW w:w="909" w:type="dxa"/>
            <w:tcBorders>
              <w:top w:val="single" w:sz="4" w:space="0" w:color="auto"/>
              <w:left w:val="single" w:sz="4" w:space="0" w:color="auto"/>
              <w:bottom w:val="single" w:sz="4" w:space="0" w:color="auto"/>
              <w:right w:val="single" w:sz="4" w:space="0" w:color="auto"/>
            </w:tcBorders>
          </w:tcPr>
          <w:p>
            <w:pPr>
              <w:rPr>
                <w:rFonts w:eastAsia="Calibri"/>
                <w:b/>
                <w:i/>
                <w:noProof/>
                <w:sz w:val="20"/>
              </w:rPr>
            </w:pPr>
            <w:r>
              <w:rPr>
                <w:b/>
                <w:i/>
                <w:noProof/>
                <w:sz w:val="20"/>
              </w:rPr>
              <w:t>Po roce 2027</w:t>
            </w:r>
          </w:p>
        </w:tc>
        <w:tc>
          <w:tcPr>
            <w:tcW w:w="1289" w:type="dxa"/>
            <w:tcBorders>
              <w:top w:val="single" w:sz="4" w:space="0" w:color="auto"/>
              <w:left w:val="single" w:sz="4" w:space="0" w:color="auto"/>
              <w:bottom w:val="single" w:sz="4" w:space="0" w:color="auto"/>
              <w:right w:val="single" w:sz="4" w:space="0" w:color="auto"/>
            </w:tcBorders>
            <w:vAlign w:val="center"/>
          </w:tcPr>
          <w:p>
            <w:pPr>
              <w:rPr>
                <w:rFonts w:eastAsia="Calibri"/>
                <w:b/>
                <w:noProof/>
                <w:sz w:val="20"/>
              </w:rPr>
            </w:pPr>
            <w:r>
              <w:rPr>
                <w:b/>
                <w:noProof/>
                <w:sz w:val="20"/>
              </w:rPr>
              <w:t>CELKEM</w:t>
            </w:r>
          </w:p>
        </w:tc>
      </w:tr>
      <w:tr>
        <w:trPr>
          <w:trHeight w:val="319"/>
          <w:jc w:val="center"/>
        </w:trPr>
        <w:tc>
          <w:tcPr>
            <w:tcW w:w="4103" w:type="dxa"/>
            <w:vAlign w:val="center"/>
          </w:tcPr>
          <w:p>
            <w:pPr>
              <w:rPr>
                <w:rFonts w:eastAsia="Calibri"/>
                <w:noProof/>
                <w:sz w:val="20"/>
              </w:rPr>
            </w:pPr>
            <w:r>
              <w:rPr>
                <w:noProof/>
                <w:sz w:val="20"/>
              </w:rPr>
              <w:t>Hlava I Rozpočet EIT (výdaje na zaměstnance)</w:t>
            </w:r>
            <w:r>
              <w:rPr>
                <w:rStyle w:val="FootnoteReference"/>
                <w:noProof/>
              </w:rPr>
              <w:footnoteReference w:id="37"/>
            </w:r>
          </w:p>
          <w:p>
            <w:pPr>
              <w:spacing w:before="20" w:after="20"/>
              <w:rPr>
                <w:rFonts w:eastAsia="Calibri"/>
                <w:noProof/>
                <w:sz w:val="20"/>
              </w:rPr>
            </w:pPr>
          </w:p>
        </w:tc>
        <w:tc>
          <w:tcPr>
            <w:tcW w:w="1440" w:type="dxa"/>
            <w:vAlign w:val="center"/>
          </w:tcPr>
          <w:p>
            <w:pPr>
              <w:spacing w:before="40" w:after="40"/>
              <w:rPr>
                <w:rFonts w:eastAsia="Calibri"/>
                <w:noProof/>
                <w:sz w:val="18"/>
              </w:rPr>
            </w:pPr>
            <w:r>
              <w:rPr>
                <w:noProof/>
                <w:sz w:val="18"/>
              </w:rPr>
              <w:t>Závazky = Platby</w:t>
            </w:r>
          </w:p>
        </w:tc>
        <w:tc>
          <w:tcPr>
            <w:tcW w:w="654" w:type="dxa"/>
            <w:vAlign w:val="center"/>
          </w:tcPr>
          <w:p>
            <w:pPr>
              <w:spacing w:before="40" w:after="40"/>
              <w:jc w:val="center"/>
              <w:rPr>
                <w:rFonts w:eastAsia="Calibri"/>
                <w:noProof/>
                <w:sz w:val="14"/>
              </w:rPr>
            </w:pPr>
            <w:r>
              <w:rPr>
                <w:noProof/>
                <w:sz w:val="14"/>
              </w:rPr>
              <w:t>(1)</w:t>
            </w:r>
          </w:p>
        </w:tc>
        <w:tc>
          <w:tcPr>
            <w:tcW w:w="868" w:type="dxa"/>
            <w:vAlign w:val="center"/>
          </w:tcPr>
          <w:p>
            <w:pPr>
              <w:spacing w:before="40" w:after="40"/>
              <w:jc w:val="right"/>
              <w:rPr>
                <w:rFonts w:eastAsia="Calibri"/>
                <w:noProof/>
                <w:sz w:val="20"/>
              </w:rPr>
            </w:pPr>
            <w:r>
              <w:rPr>
                <w:noProof/>
                <w:sz w:val="20"/>
              </w:rPr>
              <w:t>5,413</w:t>
            </w:r>
          </w:p>
        </w:tc>
        <w:tc>
          <w:tcPr>
            <w:tcW w:w="868" w:type="dxa"/>
            <w:vAlign w:val="center"/>
          </w:tcPr>
          <w:p>
            <w:pPr>
              <w:spacing w:before="40" w:after="40"/>
              <w:jc w:val="right"/>
              <w:rPr>
                <w:rFonts w:eastAsia="Calibri"/>
                <w:noProof/>
                <w:sz w:val="20"/>
              </w:rPr>
            </w:pPr>
            <w:r>
              <w:rPr>
                <w:noProof/>
                <w:sz w:val="20"/>
              </w:rPr>
              <w:t>5,588</w:t>
            </w:r>
          </w:p>
        </w:tc>
        <w:tc>
          <w:tcPr>
            <w:tcW w:w="868" w:type="dxa"/>
            <w:vAlign w:val="center"/>
          </w:tcPr>
          <w:p>
            <w:pPr>
              <w:spacing w:before="40" w:after="40"/>
              <w:jc w:val="right"/>
              <w:rPr>
                <w:rFonts w:eastAsia="Calibri"/>
                <w:noProof/>
                <w:sz w:val="20"/>
              </w:rPr>
            </w:pPr>
            <w:r>
              <w:rPr>
                <w:noProof/>
                <w:sz w:val="20"/>
              </w:rPr>
              <w:t>5,768</w:t>
            </w:r>
          </w:p>
        </w:tc>
        <w:tc>
          <w:tcPr>
            <w:tcW w:w="868" w:type="dxa"/>
            <w:vAlign w:val="center"/>
          </w:tcPr>
          <w:p>
            <w:pPr>
              <w:spacing w:before="40" w:after="40"/>
              <w:jc w:val="right"/>
              <w:rPr>
                <w:rFonts w:eastAsia="Calibri"/>
                <w:noProof/>
                <w:sz w:val="20"/>
              </w:rPr>
            </w:pPr>
            <w:r>
              <w:rPr>
                <w:noProof/>
                <w:sz w:val="20"/>
              </w:rPr>
              <w:t>5,954</w:t>
            </w:r>
          </w:p>
        </w:tc>
        <w:tc>
          <w:tcPr>
            <w:tcW w:w="868" w:type="dxa"/>
            <w:vAlign w:val="center"/>
          </w:tcPr>
          <w:p>
            <w:pPr>
              <w:spacing w:before="40" w:after="40"/>
              <w:jc w:val="right"/>
              <w:rPr>
                <w:rFonts w:eastAsia="Calibri"/>
                <w:noProof/>
                <w:sz w:val="20"/>
              </w:rPr>
            </w:pPr>
            <w:r>
              <w:rPr>
                <w:noProof/>
                <w:sz w:val="20"/>
              </w:rPr>
              <w:t>6,147</w:t>
            </w:r>
          </w:p>
        </w:tc>
        <w:tc>
          <w:tcPr>
            <w:tcW w:w="868" w:type="dxa"/>
            <w:vAlign w:val="center"/>
          </w:tcPr>
          <w:p>
            <w:pPr>
              <w:spacing w:before="40" w:after="40"/>
              <w:jc w:val="right"/>
              <w:rPr>
                <w:rFonts w:eastAsia="Calibri"/>
                <w:noProof/>
                <w:sz w:val="20"/>
              </w:rPr>
            </w:pPr>
            <w:r>
              <w:rPr>
                <w:noProof/>
                <w:sz w:val="20"/>
              </w:rPr>
              <w:t>6,346</w:t>
            </w:r>
          </w:p>
        </w:tc>
        <w:tc>
          <w:tcPr>
            <w:tcW w:w="868" w:type="dxa"/>
            <w:vAlign w:val="center"/>
          </w:tcPr>
          <w:p>
            <w:pPr>
              <w:spacing w:before="40" w:after="40"/>
              <w:jc w:val="right"/>
              <w:rPr>
                <w:rFonts w:eastAsia="Calibri"/>
                <w:noProof/>
                <w:sz w:val="20"/>
              </w:rPr>
            </w:pPr>
            <w:r>
              <w:rPr>
                <w:noProof/>
                <w:sz w:val="20"/>
              </w:rPr>
              <w:t>6,551</w:t>
            </w:r>
          </w:p>
        </w:tc>
        <w:tc>
          <w:tcPr>
            <w:tcW w:w="909" w:type="dxa"/>
            <w:shd w:val="clear" w:color="auto" w:fill="A6A6A6"/>
          </w:tcPr>
          <w:p>
            <w:pPr>
              <w:spacing w:before="40" w:after="40"/>
              <w:jc w:val="right"/>
              <w:rPr>
                <w:rFonts w:eastAsia="Calibri"/>
                <w:b/>
                <w:noProof/>
                <w:sz w:val="20"/>
              </w:rPr>
            </w:pPr>
          </w:p>
        </w:tc>
        <w:tc>
          <w:tcPr>
            <w:tcW w:w="1289" w:type="dxa"/>
            <w:vAlign w:val="center"/>
          </w:tcPr>
          <w:p>
            <w:pPr>
              <w:spacing w:before="40" w:after="40"/>
              <w:jc w:val="right"/>
              <w:rPr>
                <w:rFonts w:eastAsia="Calibri"/>
                <w:b/>
                <w:noProof/>
                <w:sz w:val="20"/>
              </w:rPr>
            </w:pPr>
            <w:r>
              <w:rPr>
                <w:b/>
                <w:noProof/>
                <w:sz w:val="20"/>
              </w:rPr>
              <w:t>41,767</w:t>
            </w:r>
          </w:p>
        </w:tc>
      </w:tr>
      <w:tr>
        <w:trPr>
          <w:trHeight w:val="319"/>
          <w:jc w:val="center"/>
        </w:trPr>
        <w:tc>
          <w:tcPr>
            <w:tcW w:w="4103" w:type="dxa"/>
            <w:vAlign w:val="center"/>
          </w:tcPr>
          <w:p>
            <w:pPr>
              <w:rPr>
                <w:rFonts w:eastAsia="Calibri"/>
                <w:noProof/>
                <w:sz w:val="20"/>
              </w:rPr>
            </w:pPr>
            <w:r>
              <w:rPr>
                <w:noProof/>
                <w:sz w:val="20"/>
              </w:rPr>
              <w:t>Hlava II Rozpočet EIT (výdaje na infrastrukturu a provoz)</w:t>
            </w:r>
          </w:p>
        </w:tc>
        <w:tc>
          <w:tcPr>
            <w:tcW w:w="1440" w:type="dxa"/>
            <w:vAlign w:val="center"/>
          </w:tcPr>
          <w:p>
            <w:pPr>
              <w:spacing w:before="40" w:after="40"/>
              <w:rPr>
                <w:rFonts w:eastAsia="Calibri"/>
                <w:noProof/>
                <w:sz w:val="18"/>
              </w:rPr>
            </w:pPr>
            <w:r>
              <w:rPr>
                <w:noProof/>
                <w:sz w:val="18"/>
              </w:rPr>
              <w:t>Závazky = Platby</w:t>
            </w:r>
          </w:p>
        </w:tc>
        <w:tc>
          <w:tcPr>
            <w:tcW w:w="654" w:type="dxa"/>
            <w:vAlign w:val="center"/>
          </w:tcPr>
          <w:p>
            <w:pPr>
              <w:spacing w:before="40" w:after="40"/>
              <w:jc w:val="center"/>
              <w:rPr>
                <w:rFonts w:eastAsia="Calibri"/>
                <w:noProof/>
                <w:sz w:val="14"/>
              </w:rPr>
            </w:pPr>
            <w:r>
              <w:rPr>
                <w:noProof/>
                <w:sz w:val="14"/>
              </w:rPr>
              <w:t>(2)</w:t>
            </w:r>
          </w:p>
        </w:tc>
        <w:tc>
          <w:tcPr>
            <w:tcW w:w="868" w:type="dxa"/>
            <w:vAlign w:val="center"/>
          </w:tcPr>
          <w:p>
            <w:pPr>
              <w:spacing w:before="40" w:after="40"/>
              <w:jc w:val="right"/>
              <w:rPr>
                <w:rFonts w:eastAsia="Calibri"/>
                <w:noProof/>
                <w:sz w:val="20"/>
              </w:rPr>
            </w:pPr>
            <w:r>
              <w:rPr>
                <w:noProof/>
                <w:sz w:val="20"/>
              </w:rPr>
              <w:t>1,309</w:t>
            </w:r>
          </w:p>
        </w:tc>
        <w:tc>
          <w:tcPr>
            <w:tcW w:w="868" w:type="dxa"/>
            <w:vAlign w:val="center"/>
          </w:tcPr>
          <w:p>
            <w:pPr>
              <w:spacing w:before="40" w:after="40"/>
              <w:jc w:val="right"/>
              <w:rPr>
                <w:rFonts w:eastAsia="Calibri"/>
                <w:noProof/>
                <w:sz w:val="20"/>
              </w:rPr>
            </w:pPr>
            <w:r>
              <w:rPr>
                <w:noProof/>
                <w:sz w:val="20"/>
              </w:rPr>
              <w:t>1,335</w:t>
            </w:r>
          </w:p>
        </w:tc>
        <w:tc>
          <w:tcPr>
            <w:tcW w:w="868" w:type="dxa"/>
            <w:vAlign w:val="center"/>
          </w:tcPr>
          <w:p>
            <w:pPr>
              <w:spacing w:before="40" w:after="40"/>
              <w:jc w:val="right"/>
              <w:rPr>
                <w:rFonts w:eastAsia="Calibri"/>
                <w:noProof/>
                <w:sz w:val="20"/>
              </w:rPr>
            </w:pPr>
            <w:r>
              <w:rPr>
                <w:noProof/>
                <w:sz w:val="20"/>
              </w:rPr>
              <w:t>1,362</w:t>
            </w:r>
          </w:p>
        </w:tc>
        <w:tc>
          <w:tcPr>
            <w:tcW w:w="868" w:type="dxa"/>
            <w:vAlign w:val="center"/>
          </w:tcPr>
          <w:p>
            <w:pPr>
              <w:spacing w:before="40" w:after="40"/>
              <w:jc w:val="right"/>
              <w:rPr>
                <w:rFonts w:eastAsia="Calibri"/>
                <w:noProof/>
                <w:sz w:val="20"/>
              </w:rPr>
            </w:pPr>
            <w:r>
              <w:rPr>
                <w:noProof/>
                <w:sz w:val="20"/>
              </w:rPr>
              <w:t>1,389</w:t>
            </w:r>
          </w:p>
        </w:tc>
        <w:tc>
          <w:tcPr>
            <w:tcW w:w="868" w:type="dxa"/>
            <w:vAlign w:val="center"/>
          </w:tcPr>
          <w:p>
            <w:pPr>
              <w:spacing w:before="40" w:after="40"/>
              <w:jc w:val="right"/>
              <w:rPr>
                <w:rFonts w:eastAsia="Calibri"/>
                <w:noProof/>
                <w:sz w:val="20"/>
              </w:rPr>
            </w:pPr>
            <w:r>
              <w:rPr>
                <w:noProof/>
                <w:sz w:val="20"/>
              </w:rPr>
              <w:t>1,417</w:t>
            </w:r>
          </w:p>
        </w:tc>
        <w:tc>
          <w:tcPr>
            <w:tcW w:w="868" w:type="dxa"/>
            <w:vAlign w:val="center"/>
          </w:tcPr>
          <w:p>
            <w:pPr>
              <w:spacing w:before="40" w:after="40"/>
              <w:jc w:val="right"/>
              <w:rPr>
                <w:rFonts w:eastAsia="Calibri"/>
                <w:noProof/>
                <w:sz w:val="20"/>
              </w:rPr>
            </w:pPr>
            <w:r>
              <w:rPr>
                <w:noProof/>
                <w:sz w:val="20"/>
              </w:rPr>
              <w:t>1,445</w:t>
            </w:r>
          </w:p>
        </w:tc>
        <w:tc>
          <w:tcPr>
            <w:tcW w:w="868" w:type="dxa"/>
            <w:vAlign w:val="center"/>
          </w:tcPr>
          <w:p>
            <w:pPr>
              <w:spacing w:before="40" w:after="40"/>
              <w:jc w:val="right"/>
              <w:rPr>
                <w:rFonts w:eastAsia="Calibri"/>
                <w:noProof/>
                <w:sz w:val="20"/>
              </w:rPr>
            </w:pPr>
            <w:r>
              <w:rPr>
                <w:noProof/>
                <w:sz w:val="20"/>
              </w:rPr>
              <w:t>1,474</w:t>
            </w:r>
          </w:p>
        </w:tc>
        <w:tc>
          <w:tcPr>
            <w:tcW w:w="909" w:type="dxa"/>
            <w:shd w:val="clear" w:color="auto" w:fill="A6A6A6"/>
          </w:tcPr>
          <w:p>
            <w:pPr>
              <w:spacing w:before="40" w:after="40"/>
              <w:jc w:val="right"/>
              <w:rPr>
                <w:rFonts w:eastAsia="Calibri"/>
                <w:b/>
                <w:noProof/>
                <w:sz w:val="20"/>
              </w:rPr>
            </w:pPr>
          </w:p>
        </w:tc>
        <w:tc>
          <w:tcPr>
            <w:tcW w:w="1289" w:type="dxa"/>
            <w:vAlign w:val="center"/>
          </w:tcPr>
          <w:p>
            <w:pPr>
              <w:spacing w:before="40" w:after="40"/>
              <w:jc w:val="right"/>
              <w:rPr>
                <w:rFonts w:eastAsia="Calibri"/>
                <w:b/>
                <w:noProof/>
                <w:sz w:val="20"/>
              </w:rPr>
            </w:pPr>
            <w:r>
              <w:rPr>
                <w:b/>
                <w:noProof/>
                <w:sz w:val="20"/>
              </w:rPr>
              <w:t>9,732</w:t>
            </w:r>
          </w:p>
        </w:tc>
      </w:tr>
      <w:tr>
        <w:trPr>
          <w:jc w:val="center"/>
        </w:trPr>
        <w:tc>
          <w:tcPr>
            <w:tcW w:w="4103" w:type="dxa"/>
            <w:vMerge w:val="restart"/>
            <w:vAlign w:val="center"/>
          </w:tcPr>
          <w:p>
            <w:pPr>
              <w:rPr>
                <w:rFonts w:eastAsia="Calibri"/>
                <w:b/>
                <w:noProof/>
              </w:rPr>
            </w:pPr>
            <w:r>
              <w:rPr>
                <w:noProof/>
                <w:sz w:val="20"/>
              </w:rPr>
              <w:t>Hlava III Rozpočet EIT (výdaje na provoz) Operační prostředky (rozdělené podle rozpočtových položek uvedených v bodě 3.1)</w:t>
            </w:r>
          </w:p>
        </w:tc>
        <w:tc>
          <w:tcPr>
            <w:tcW w:w="1440" w:type="dxa"/>
            <w:vAlign w:val="center"/>
          </w:tcPr>
          <w:p>
            <w:pPr>
              <w:rPr>
                <w:rFonts w:eastAsia="Calibri"/>
                <w:noProof/>
                <w:sz w:val="18"/>
              </w:rPr>
            </w:pPr>
            <w:r>
              <w:rPr>
                <w:noProof/>
                <w:sz w:val="18"/>
              </w:rPr>
              <w:t>Závazky</w:t>
            </w:r>
          </w:p>
        </w:tc>
        <w:tc>
          <w:tcPr>
            <w:tcW w:w="654" w:type="dxa"/>
            <w:vAlign w:val="center"/>
          </w:tcPr>
          <w:p>
            <w:pPr>
              <w:jc w:val="center"/>
              <w:rPr>
                <w:rFonts w:eastAsia="Calibri"/>
                <w:noProof/>
                <w:sz w:val="14"/>
              </w:rPr>
            </w:pPr>
            <w:r>
              <w:rPr>
                <w:noProof/>
                <w:sz w:val="14"/>
              </w:rPr>
              <w:t>(3)</w:t>
            </w:r>
          </w:p>
        </w:tc>
        <w:tc>
          <w:tcPr>
            <w:tcW w:w="868" w:type="dxa"/>
            <w:vAlign w:val="center"/>
          </w:tcPr>
          <w:p>
            <w:pPr>
              <w:spacing w:before="20" w:after="20"/>
              <w:jc w:val="right"/>
              <w:rPr>
                <w:rFonts w:eastAsia="Calibri"/>
                <w:noProof/>
                <w:sz w:val="20"/>
              </w:rPr>
            </w:pPr>
            <w:r>
              <w:rPr>
                <w:noProof/>
                <w:sz w:val="20"/>
              </w:rPr>
              <w:t>386,423</w:t>
            </w:r>
          </w:p>
        </w:tc>
        <w:tc>
          <w:tcPr>
            <w:tcW w:w="868" w:type="dxa"/>
            <w:vAlign w:val="center"/>
          </w:tcPr>
          <w:p>
            <w:pPr>
              <w:spacing w:before="20" w:after="20"/>
              <w:jc w:val="right"/>
              <w:rPr>
                <w:rFonts w:eastAsia="Calibri"/>
                <w:noProof/>
                <w:sz w:val="20"/>
              </w:rPr>
            </w:pPr>
            <w:r>
              <w:rPr>
                <w:noProof/>
                <w:sz w:val="20"/>
              </w:rPr>
              <w:t>394,190</w:t>
            </w:r>
          </w:p>
        </w:tc>
        <w:tc>
          <w:tcPr>
            <w:tcW w:w="868" w:type="dxa"/>
            <w:vAlign w:val="center"/>
          </w:tcPr>
          <w:p>
            <w:pPr>
              <w:spacing w:before="20" w:after="20"/>
              <w:jc w:val="right"/>
              <w:rPr>
                <w:rFonts w:eastAsia="Calibri"/>
                <w:noProof/>
                <w:sz w:val="20"/>
              </w:rPr>
            </w:pPr>
            <w:r>
              <w:rPr>
                <w:noProof/>
                <w:sz w:val="20"/>
              </w:rPr>
              <w:t>402,088</w:t>
            </w:r>
          </w:p>
        </w:tc>
        <w:tc>
          <w:tcPr>
            <w:tcW w:w="868" w:type="dxa"/>
            <w:vAlign w:val="center"/>
          </w:tcPr>
          <w:p>
            <w:pPr>
              <w:spacing w:before="20" w:after="20"/>
              <w:jc w:val="right"/>
              <w:rPr>
                <w:rFonts w:eastAsia="Calibri"/>
                <w:noProof/>
                <w:sz w:val="20"/>
              </w:rPr>
            </w:pPr>
            <w:r>
              <w:rPr>
                <w:noProof/>
                <w:sz w:val="20"/>
              </w:rPr>
              <w:t>410,155</w:t>
            </w:r>
          </w:p>
        </w:tc>
        <w:tc>
          <w:tcPr>
            <w:tcW w:w="868" w:type="dxa"/>
            <w:vAlign w:val="center"/>
          </w:tcPr>
          <w:p>
            <w:pPr>
              <w:spacing w:before="20" w:after="20"/>
              <w:jc w:val="right"/>
              <w:rPr>
                <w:rFonts w:eastAsia="Calibri"/>
                <w:noProof/>
                <w:sz w:val="20"/>
              </w:rPr>
            </w:pPr>
            <w:r>
              <w:rPr>
                <w:noProof/>
                <w:sz w:val="20"/>
              </w:rPr>
              <w:t>418,460</w:t>
            </w:r>
          </w:p>
        </w:tc>
        <w:tc>
          <w:tcPr>
            <w:tcW w:w="868" w:type="dxa"/>
            <w:vAlign w:val="center"/>
          </w:tcPr>
          <w:p>
            <w:pPr>
              <w:spacing w:before="20" w:after="20"/>
              <w:jc w:val="right"/>
              <w:rPr>
                <w:rFonts w:eastAsia="Calibri"/>
                <w:noProof/>
                <w:sz w:val="20"/>
              </w:rPr>
            </w:pPr>
            <w:r>
              <w:rPr>
                <w:noProof/>
                <w:sz w:val="20"/>
              </w:rPr>
              <w:t>426,790</w:t>
            </w:r>
          </w:p>
        </w:tc>
        <w:tc>
          <w:tcPr>
            <w:tcW w:w="868" w:type="dxa"/>
            <w:vAlign w:val="center"/>
          </w:tcPr>
          <w:p>
            <w:pPr>
              <w:spacing w:before="20" w:after="20"/>
              <w:jc w:val="right"/>
              <w:rPr>
                <w:rFonts w:eastAsia="Calibri"/>
                <w:noProof/>
                <w:sz w:val="20"/>
              </w:rPr>
            </w:pPr>
            <w:r>
              <w:rPr>
                <w:noProof/>
                <w:sz w:val="20"/>
              </w:rPr>
              <w:t>435,394</w:t>
            </w:r>
          </w:p>
        </w:tc>
        <w:tc>
          <w:tcPr>
            <w:tcW w:w="909" w:type="dxa"/>
            <w:shd w:val="clear" w:color="auto" w:fill="A6A6A6"/>
          </w:tcPr>
          <w:p>
            <w:pPr>
              <w:spacing w:before="20" w:after="20"/>
              <w:jc w:val="center"/>
              <w:rPr>
                <w:rFonts w:eastAsia="Calibri"/>
                <w:noProof/>
                <w:sz w:val="20"/>
              </w:rPr>
            </w:pPr>
          </w:p>
        </w:tc>
        <w:tc>
          <w:tcPr>
            <w:tcW w:w="1289" w:type="dxa"/>
            <w:vAlign w:val="center"/>
          </w:tcPr>
          <w:p>
            <w:pPr>
              <w:spacing w:before="20" w:after="20"/>
              <w:jc w:val="right"/>
              <w:rPr>
                <w:rFonts w:eastAsia="Calibri"/>
                <w:b/>
                <w:noProof/>
                <w:sz w:val="20"/>
              </w:rPr>
            </w:pPr>
            <w:r>
              <w:rPr>
                <w:b/>
                <w:noProof/>
                <w:sz w:val="20"/>
              </w:rPr>
              <w:t>2 873,500</w:t>
            </w:r>
          </w:p>
        </w:tc>
      </w:tr>
      <w:tr>
        <w:trPr>
          <w:jc w:val="center"/>
        </w:trPr>
        <w:tc>
          <w:tcPr>
            <w:tcW w:w="4103" w:type="dxa"/>
            <w:vMerge/>
            <w:vAlign w:val="center"/>
          </w:tcPr>
          <w:p>
            <w:pPr>
              <w:rPr>
                <w:rFonts w:eastAsia="Calibri"/>
                <w:b/>
                <w:noProof/>
              </w:rPr>
            </w:pPr>
          </w:p>
        </w:tc>
        <w:tc>
          <w:tcPr>
            <w:tcW w:w="1440" w:type="dxa"/>
            <w:vAlign w:val="center"/>
          </w:tcPr>
          <w:p>
            <w:pPr>
              <w:rPr>
                <w:rFonts w:eastAsia="Calibri"/>
                <w:noProof/>
                <w:sz w:val="18"/>
              </w:rPr>
            </w:pPr>
            <w:r>
              <w:rPr>
                <w:noProof/>
                <w:sz w:val="18"/>
              </w:rPr>
              <w:t>Platby</w:t>
            </w:r>
          </w:p>
        </w:tc>
        <w:tc>
          <w:tcPr>
            <w:tcW w:w="654" w:type="dxa"/>
            <w:vAlign w:val="center"/>
          </w:tcPr>
          <w:p>
            <w:pPr>
              <w:jc w:val="center"/>
              <w:rPr>
                <w:rFonts w:eastAsia="Calibri"/>
                <w:noProof/>
                <w:sz w:val="14"/>
              </w:rPr>
            </w:pPr>
            <w:r>
              <w:rPr>
                <w:noProof/>
                <w:sz w:val="14"/>
              </w:rPr>
              <w:t>(4)</w:t>
            </w:r>
          </w:p>
          <w:p>
            <w:pPr>
              <w:rPr>
                <w:rFonts w:eastAsia="Calibri"/>
                <w:noProof/>
                <w:sz w:val="14"/>
              </w:rPr>
            </w:pPr>
          </w:p>
        </w:tc>
        <w:tc>
          <w:tcPr>
            <w:tcW w:w="868" w:type="dxa"/>
            <w:vAlign w:val="center"/>
          </w:tcPr>
          <w:p>
            <w:pPr>
              <w:spacing w:before="20" w:after="20"/>
              <w:jc w:val="right"/>
              <w:rPr>
                <w:rFonts w:eastAsia="Calibri"/>
                <w:noProof/>
                <w:sz w:val="20"/>
              </w:rPr>
            </w:pPr>
            <w:r>
              <w:rPr>
                <w:noProof/>
                <w:sz w:val="20"/>
              </w:rPr>
              <w:t>270,496</w:t>
            </w:r>
          </w:p>
        </w:tc>
        <w:tc>
          <w:tcPr>
            <w:tcW w:w="868" w:type="dxa"/>
            <w:vAlign w:val="center"/>
          </w:tcPr>
          <w:p>
            <w:pPr>
              <w:spacing w:before="20" w:after="20"/>
              <w:jc w:val="right"/>
              <w:rPr>
                <w:rFonts w:eastAsia="Calibri"/>
                <w:noProof/>
                <w:sz w:val="20"/>
              </w:rPr>
            </w:pPr>
            <w:r>
              <w:rPr>
                <w:noProof/>
                <w:sz w:val="20"/>
              </w:rPr>
              <w:t>391,860</w:t>
            </w:r>
          </w:p>
        </w:tc>
        <w:tc>
          <w:tcPr>
            <w:tcW w:w="868" w:type="dxa"/>
            <w:vAlign w:val="center"/>
          </w:tcPr>
          <w:p>
            <w:pPr>
              <w:spacing w:before="20" w:after="20"/>
              <w:jc w:val="right"/>
              <w:rPr>
                <w:rFonts w:eastAsia="Calibri"/>
                <w:noProof/>
                <w:sz w:val="20"/>
              </w:rPr>
            </w:pPr>
            <w:r>
              <w:rPr>
                <w:noProof/>
                <w:sz w:val="20"/>
              </w:rPr>
              <w:t>399,719</w:t>
            </w:r>
          </w:p>
        </w:tc>
        <w:tc>
          <w:tcPr>
            <w:tcW w:w="868" w:type="dxa"/>
            <w:vAlign w:val="center"/>
          </w:tcPr>
          <w:p>
            <w:pPr>
              <w:spacing w:before="20" w:after="20"/>
              <w:jc w:val="right"/>
              <w:rPr>
                <w:rFonts w:eastAsia="Calibri"/>
                <w:noProof/>
                <w:sz w:val="20"/>
              </w:rPr>
            </w:pPr>
            <w:r>
              <w:rPr>
                <w:noProof/>
                <w:sz w:val="20"/>
              </w:rPr>
              <w:t>407,735</w:t>
            </w:r>
          </w:p>
        </w:tc>
        <w:tc>
          <w:tcPr>
            <w:tcW w:w="868" w:type="dxa"/>
            <w:vAlign w:val="center"/>
          </w:tcPr>
          <w:p>
            <w:pPr>
              <w:spacing w:before="20" w:after="20"/>
              <w:jc w:val="right"/>
              <w:rPr>
                <w:rFonts w:eastAsia="Calibri"/>
                <w:noProof/>
                <w:sz w:val="20"/>
              </w:rPr>
            </w:pPr>
            <w:r>
              <w:rPr>
                <w:noProof/>
                <w:sz w:val="20"/>
              </w:rPr>
              <w:t>415,969</w:t>
            </w:r>
          </w:p>
        </w:tc>
        <w:tc>
          <w:tcPr>
            <w:tcW w:w="868" w:type="dxa"/>
            <w:vAlign w:val="center"/>
          </w:tcPr>
          <w:p>
            <w:pPr>
              <w:spacing w:before="20" w:after="20"/>
              <w:jc w:val="right"/>
              <w:rPr>
                <w:rFonts w:eastAsia="Calibri"/>
                <w:noProof/>
                <w:sz w:val="20"/>
              </w:rPr>
            </w:pPr>
            <w:r>
              <w:rPr>
                <w:noProof/>
                <w:sz w:val="20"/>
              </w:rPr>
              <w:t>424,291</w:t>
            </w:r>
          </w:p>
        </w:tc>
        <w:tc>
          <w:tcPr>
            <w:tcW w:w="868" w:type="dxa"/>
            <w:vAlign w:val="center"/>
          </w:tcPr>
          <w:p>
            <w:pPr>
              <w:spacing w:before="20" w:after="20"/>
              <w:jc w:val="right"/>
              <w:rPr>
                <w:rFonts w:eastAsia="Calibri"/>
                <w:noProof/>
                <w:sz w:val="20"/>
              </w:rPr>
            </w:pPr>
            <w:r>
              <w:rPr>
                <w:noProof/>
                <w:sz w:val="20"/>
              </w:rPr>
              <w:t>432,813</w:t>
            </w:r>
          </w:p>
        </w:tc>
        <w:tc>
          <w:tcPr>
            <w:tcW w:w="909" w:type="dxa"/>
          </w:tcPr>
          <w:p>
            <w:pPr>
              <w:spacing w:before="20" w:after="20"/>
              <w:jc w:val="right"/>
              <w:rPr>
                <w:rFonts w:eastAsia="Calibri"/>
                <w:noProof/>
                <w:sz w:val="20"/>
              </w:rPr>
            </w:pPr>
            <w:r>
              <w:rPr>
                <w:noProof/>
                <w:sz w:val="20"/>
              </w:rPr>
              <w:t>130,618</w:t>
            </w:r>
          </w:p>
        </w:tc>
        <w:tc>
          <w:tcPr>
            <w:tcW w:w="1289" w:type="dxa"/>
            <w:vAlign w:val="center"/>
          </w:tcPr>
          <w:p>
            <w:pPr>
              <w:spacing w:before="20" w:after="20"/>
              <w:jc w:val="right"/>
              <w:rPr>
                <w:rFonts w:eastAsia="Calibri"/>
                <w:b/>
                <w:noProof/>
                <w:sz w:val="20"/>
              </w:rPr>
            </w:pPr>
            <w:r>
              <w:rPr>
                <w:b/>
                <w:noProof/>
                <w:sz w:val="20"/>
              </w:rPr>
              <w:t>2 873,500</w:t>
            </w:r>
          </w:p>
        </w:tc>
      </w:tr>
      <w:tr>
        <w:trPr>
          <w:jc w:val="center"/>
        </w:trPr>
        <w:tc>
          <w:tcPr>
            <w:tcW w:w="4103" w:type="dxa"/>
            <w:vMerge w:val="restart"/>
            <w:vAlign w:val="center"/>
          </w:tcPr>
          <w:p>
            <w:pPr>
              <w:rPr>
                <w:rFonts w:eastAsia="Calibri"/>
                <w:noProof/>
                <w:sz w:val="18"/>
                <w:szCs w:val="18"/>
              </w:rPr>
            </w:pPr>
            <w:r>
              <w:rPr>
                <w:noProof/>
                <w:sz w:val="18"/>
                <w:szCs w:val="18"/>
              </w:rPr>
              <w:t>01.02.03.XX Evropský inovační a technologický institut (EIT) – Operační prostředky</w:t>
            </w:r>
          </w:p>
        </w:tc>
        <w:tc>
          <w:tcPr>
            <w:tcW w:w="1440" w:type="dxa"/>
            <w:vAlign w:val="center"/>
          </w:tcPr>
          <w:p>
            <w:pPr>
              <w:rPr>
                <w:rFonts w:eastAsia="Calibri"/>
                <w:noProof/>
                <w:sz w:val="18"/>
              </w:rPr>
            </w:pPr>
            <w:r>
              <w:rPr>
                <w:noProof/>
                <w:sz w:val="18"/>
              </w:rPr>
              <w:t>Závazky</w:t>
            </w:r>
          </w:p>
        </w:tc>
        <w:tc>
          <w:tcPr>
            <w:tcW w:w="654" w:type="dxa"/>
            <w:vAlign w:val="center"/>
          </w:tcPr>
          <w:p>
            <w:pPr>
              <w:jc w:val="center"/>
              <w:rPr>
                <w:rFonts w:eastAsia="Calibri"/>
                <w:noProof/>
                <w:sz w:val="14"/>
              </w:rPr>
            </w:pPr>
            <w:r>
              <w:rPr>
                <w:noProof/>
                <w:sz w:val="14"/>
              </w:rPr>
              <w:t>(5)=(1)+(2)+(3)</w:t>
            </w:r>
          </w:p>
        </w:tc>
        <w:tc>
          <w:tcPr>
            <w:tcW w:w="868" w:type="dxa"/>
            <w:vAlign w:val="center"/>
          </w:tcPr>
          <w:p>
            <w:pPr>
              <w:spacing w:before="20" w:after="20"/>
              <w:jc w:val="right"/>
              <w:rPr>
                <w:rFonts w:eastAsia="Calibri"/>
                <w:noProof/>
                <w:sz w:val="20"/>
              </w:rPr>
            </w:pPr>
            <w:r>
              <w:rPr>
                <w:noProof/>
                <w:sz w:val="20"/>
              </w:rPr>
              <w:t>393,145</w:t>
            </w:r>
          </w:p>
        </w:tc>
        <w:tc>
          <w:tcPr>
            <w:tcW w:w="868" w:type="dxa"/>
            <w:vAlign w:val="center"/>
          </w:tcPr>
          <w:p>
            <w:pPr>
              <w:spacing w:before="20" w:after="20"/>
              <w:jc w:val="right"/>
              <w:rPr>
                <w:rFonts w:eastAsia="Calibri"/>
                <w:noProof/>
                <w:sz w:val="20"/>
              </w:rPr>
            </w:pPr>
            <w:r>
              <w:rPr>
                <w:noProof/>
                <w:sz w:val="20"/>
              </w:rPr>
              <w:t>401,113</w:t>
            </w:r>
          </w:p>
        </w:tc>
        <w:tc>
          <w:tcPr>
            <w:tcW w:w="868" w:type="dxa"/>
            <w:vAlign w:val="center"/>
          </w:tcPr>
          <w:p>
            <w:pPr>
              <w:spacing w:before="20" w:after="20"/>
              <w:jc w:val="right"/>
              <w:rPr>
                <w:rFonts w:eastAsia="Calibri"/>
                <w:noProof/>
                <w:sz w:val="20"/>
              </w:rPr>
            </w:pPr>
            <w:r>
              <w:rPr>
                <w:noProof/>
                <w:sz w:val="20"/>
              </w:rPr>
              <w:t>409,218</w:t>
            </w:r>
          </w:p>
        </w:tc>
        <w:tc>
          <w:tcPr>
            <w:tcW w:w="868" w:type="dxa"/>
            <w:vAlign w:val="center"/>
          </w:tcPr>
          <w:p>
            <w:pPr>
              <w:spacing w:before="20" w:after="20"/>
              <w:jc w:val="right"/>
              <w:rPr>
                <w:rFonts w:eastAsia="Calibri"/>
                <w:noProof/>
                <w:sz w:val="20"/>
              </w:rPr>
            </w:pPr>
            <w:r>
              <w:rPr>
                <w:noProof/>
                <w:sz w:val="20"/>
              </w:rPr>
              <w:t>417,499</w:t>
            </w:r>
          </w:p>
        </w:tc>
        <w:tc>
          <w:tcPr>
            <w:tcW w:w="868" w:type="dxa"/>
            <w:vAlign w:val="center"/>
          </w:tcPr>
          <w:p>
            <w:pPr>
              <w:spacing w:before="20" w:after="20"/>
              <w:jc w:val="right"/>
              <w:rPr>
                <w:rFonts w:eastAsia="Calibri"/>
                <w:noProof/>
                <w:sz w:val="20"/>
              </w:rPr>
            </w:pPr>
            <w:r>
              <w:rPr>
                <w:noProof/>
                <w:sz w:val="20"/>
              </w:rPr>
              <w:t>426,024</w:t>
            </w:r>
          </w:p>
        </w:tc>
        <w:tc>
          <w:tcPr>
            <w:tcW w:w="868" w:type="dxa"/>
            <w:vAlign w:val="center"/>
          </w:tcPr>
          <w:p>
            <w:pPr>
              <w:spacing w:before="20" w:after="20"/>
              <w:jc w:val="right"/>
              <w:rPr>
                <w:rFonts w:eastAsia="Calibri"/>
                <w:noProof/>
                <w:sz w:val="20"/>
              </w:rPr>
            </w:pPr>
            <w:r>
              <w:rPr>
                <w:noProof/>
                <w:sz w:val="20"/>
              </w:rPr>
              <w:t>434,581</w:t>
            </w:r>
          </w:p>
        </w:tc>
        <w:tc>
          <w:tcPr>
            <w:tcW w:w="868" w:type="dxa"/>
            <w:vAlign w:val="center"/>
          </w:tcPr>
          <w:p>
            <w:pPr>
              <w:spacing w:before="20" w:after="20"/>
              <w:jc w:val="right"/>
              <w:rPr>
                <w:rFonts w:eastAsia="Calibri"/>
                <w:noProof/>
                <w:sz w:val="20"/>
              </w:rPr>
            </w:pPr>
            <w:r>
              <w:rPr>
                <w:noProof/>
                <w:sz w:val="20"/>
              </w:rPr>
              <w:t>443,419</w:t>
            </w:r>
          </w:p>
        </w:tc>
        <w:tc>
          <w:tcPr>
            <w:tcW w:w="909" w:type="dxa"/>
            <w:shd w:val="clear" w:color="auto" w:fill="A6A6A6"/>
          </w:tcPr>
          <w:p>
            <w:pPr>
              <w:spacing w:before="20" w:after="20"/>
              <w:jc w:val="right"/>
              <w:rPr>
                <w:rFonts w:eastAsia="Calibri"/>
                <w:noProof/>
                <w:sz w:val="20"/>
              </w:rPr>
            </w:pPr>
          </w:p>
        </w:tc>
        <w:tc>
          <w:tcPr>
            <w:tcW w:w="1289" w:type="dxa"/>
            <w:vAlign w:val="center"/>
          </w:tcPr>
          <w:p>
            <w:pPr>
              <w:spacing w:before="20" w:after="20"/>
              <w:jc w:val="right"/>
              <w:rPr>
                <w:rFonts w:eastAsia="Calibri"/>
                <w:b/>
                <w:noProof/>
                <w:sz w:val="20"/>
              </w:rPr>
            </w:pPr>
            <w:r>
              <w:rPr>
                <w:b/>
                <w:noProof/>
                <w:sz w:val="20"/>
              </w:rPr>
              <w:t xml:space="preserve"> 2 925,000</w:t>
            </w:r>
          </w:p>
        </w:tc>
      </w:tr>
      <w:tr>
        <w:trPr>
          <w:jc w:val="center"/>
        </w:trPr>
        <w:tc>
          <w:tcPr>
            <w:tcW w:w="4103" w:type="dxa"/>
            <w:vMerge/>
          </w:tcPr>
          <w:p>
            <w:pPr>
              <w:rPr>
                <w:rFonts w:eastAsia="Calibri"/>
                <w:noProof/>
                <w:sz w:val="18"/>
                <w:szCs w:val="18"/>
              </w:rPr>
            </w:pPr>
          </w:p>
        </w:tc>
        <w:tc>
          <w:tcPr>
            <w:tcW w:w="1440" w:type="dxa"/>
            <w:vAlign w:val="center"/>
          </w:tcPr>
          <w:p>
            <w:pPr>
              <w:rPr>
                <w:rFonts w:eastAsia="Calibri"/>
                <w:noProof/>
                <w:sz w:val="18"/>
              </w:rPr>
            </w:pPr>
            <w:r>
              <w:rPr>
                <w:noProof/>
                <w:sz w:val="18"/>
              </w:rPr>
              <w:t>Platby</w:t>
            </w:r>
          </w:p>
        </w:tc>
        <w:tc>
          <w:tcPr>
            <w:tcW w:w="654" w:type="dxa"/>
            <w:vAlign w:val="center"/>
          </w:tcPr>
          <w:p>
            <w:pPr>
              <w:jc w:val="center"/>
              <w:rPr>
                <w:rFonts w:eastAsia="Calibri"/>
                <w:noProof/>
                <w:sz w:val="14"/>
              </w:rPr>
            </w:pPr>
            <w:r>
              <w:rPr>
                <w:noProof/>
                <w:sz w:val="14"/>
              </w:rPr>
              <w:t>(6)=(1)+(2)+(4)</w:t>
            </w:r>
          </w:p>
        </w:tc>
        <w:tc>
          <w:tcPr>
            <w:tcW w:w="868" w:type="dxa"/>
            <w:vAlign w:val="center"/>
          </w:tcPr>
          <w:p>
            <w:pPr>
              <w:spacing w:before="20" w:after="20"/>
              <w:jc w:val="right"/>
              <w:rPr>
                <w:rFonts w:eastAsia="Calibri"/>
                <w:noProof/>
                <w:sz w:val="20"/>
              </w:rPr>
            </w:pPr>
            <w:r>
              <w:rPr>
                <w:noProof/>
                <w:sz w:val="20"/>
              </w:rPr>
              <w:t>277,218</w:t>
            </w:r>
          </w:p>
        </w:tc>
        <w:tc>
          <w:tcPr>
            <w:tcW w:w="868" w:type="dxa"/>
            <w:vAlign w:val="center"/>
          </w:tcPr>
          <w:p>
            <w:pPr>
              <w:spacing w:before="20" w:after="20"/>
              <w:jc w:val="right"/>
              <w:rPr>
                <w:rFonts w:eastAsia="Calibri"/>
                <w:noProof/>
                <w:sz w:val="20"/>
              </w:rPr>
            </w:pPr>
            <w:r>
              <w:rPr>
                <w:noProof/>
                <w:sz w:val="20"/>
              </w:rPr>
              <w:t>398,783</w:t>
            </w:r>
          </w:p>
        </w:tc>
        <w:tc>
          <w:tcPr>
            <w:tcW w:w="868" w:type="dxa"/>
            <w:vAlign w:val="center"/>
          </w:tcPr>
          <w:p>
            <w:pPr>
              <w:spacing w:before="20" w:after="20"/>
              <w:jc w:val="right"/>
              <w:rPr>
                <w:rFonts w:eastAsia="Calibri"/>
                <w:noProof/>
                <w:sz w:val="20"/>
              </w:rPr>
            </w:pPr>
            <w:r>
              <w:rPr>
                <w:noProof/>
                <w:sz w:val="20"/>
              </w:rPr>
              <w:t>406,849</w:t>
            </w:r>
          </w:p>
        </w:tc>
        <w:tc>
          <w:tcPr>
            <w:tcW w:w="868" w:type="dxa"/>
            <w:vAlign w:val="center"/>
          </w:tcPr>
          <w:p>
            <w:pPr>
              <w:spacing w:before="20" w:after="20"/>
              <w:jc w:val="right"/>
              <w:rPr>
                <w:rFonts w:eastAsia="Calibri"/>
                <w:noProof/>
                <w:sz w:val="20"/>
              </w:rPr>
            </w:pPr>
            <w:r>
              <w:rPr>
                <w:noProof/>
                <w:sz w:val="20"/>
              </w:rPr>
              <w:t>415,079</w:t>
            </w:r>
          </w:p>
        </w:tc>
        <w:tc>
          <w:tcPr>
            <w:tcW w:w="868" w:type="dxa"/>
            <w:vAlign w:val="center"/>
          </w:tcPr>
          <w:p>
            <w:pPr>
              <w:spacing w:before="20" w:after="20"/>
              <w:jc w:val="right"/>
              <w:rPr>
                <w:rFonts w:eastAsia="Calibri"/>
                <w:noProof/>
                <w:sz w:val="20"/>
              </w:rPr>
            </w:pPr>
            <w:r>
              <w:rPr>
                <w:noProof/>
                <w:sz w:val="20"/>
              </w:rPr>
              <w:t>423,533</w:t>
            </w:r>
          </w:p>
        </w:tc>
        <w:tc>
          <w:tcPr>
            <w:tcW w:w="868" w:type="dxa"/>
            <w:vAlign w:val="center"/>
          </w:tcPr>
          <w:p>
            <w:pPr>
              <w:spacing w:before="20" w:after="20"/>
              <w:jc w:val="right"/>
              <w:rPr>
                <w:rFonts w:eastAsia="Calibri"/>
                <w:noProof/>
                <w:sz w:val="20"/>
              </w:rPr>
            </w:pPr>
            <w:r>
              <w:rPr>
                <w:noProof/>
                <w:sz w:val="20"/>
              </w:rPr>
              <w:t>432,082</w:t>
            </w:r>
          </w:p>
        </w:tc>
        <w:tc>
          <w:tcPr>
            <w:tcW w:w="868" w:type="dxa"/>
            <w:vAlign w:val="center"/>
          </w:tcPr>
          <w:p>
            <w:pPr>
              <w:spacing w:before="20" w:after="20"/>
              <w:jc w:val="right"/>
              <w:rPr>
                <w:rFonts w:eastAsia="Calibri"/>
                <w:noProof/>
                <w:sz w:val="20"/>
              </w:rPr>
            </w:pPr>
            <w:r>
              <w:rPr>
                <w:noProof/>
                <w:sz w:val="20"/>
              </w:rPr>
              <w:t>440,838</w:t>
            </w:r>
          </w:p>
        </w:tc>
        <w:tc>
          <w:tcPr>
            <w:tcW w:w="909" w:type="dxa"/>
          </w:tcPr>
          <w:p>
            <w:pPr>
              <w:spacing w:before="20" w:after="20"/>
              <w:jc w:val="right"/>
              <w:rPr>
                <w:rFonts w:eastAsia="Calibri"/>
                <w:noProof/>
                <w:sz w:val="20"/>
              </w:rPr>
            </w:pPr>
            <w:r>
              <w:rPr>
                <w:noProof/>
                <w:sz w:val="20"/>
              </w:rPr>
              <w:t>130,618</w:t>
            </w:r>
          </w:p>
        </w:tc>
        <w:tc>
          <w:tcPr>
            <w:tcW w:w="1289" w:type="dxa"/>
            <w:vAlign w:val="center"/>
          </w:tcPr>
          <w:p>
            <w:pPr>
              <w:spacing w:before="20" w:after="20"/>
              <w:jc w:val="right"/>
              <w:rPr>
                <w:rFonts w:eastAsia="Calibri"/>
                <w:b/>
                <w:noProof/>
                <w:sz w:val="20"/>
              </w:rPr>
            </w:pPr>
            <w:r>
              <w:rPr>
                <w:b/>
                <w:noProof/>
                <w:sz w:val="20"/>
              </w:rPr>
              <w:t>2 925,000</w:t>
            </w:r>
          </w:p>
        </w:tc>
      </w:tr>
      <w:tr>
        <w:trPr>
          <w:jc w:val="center"/>
        </w:trPr>
        <w:tc>
          <w:tcPr>
            <w:tcW w:w="4103" w:type="dxa"/>
          </w:tcPr>
          <w:p>
            <w:pPr>
              <w:rPr>
                <w:rFonts w:eastAsia="Calibri"/>
                <w:noProof/>
                <w:sz w:val="18"/>
                <w:szCs w:val="18"/>
              </w:rPr>
            </w:pPr>
            <w:r>
              <w:rPr>
                <w:noProof/>
                <w:sz w:val="18"/>
                <w:szCs w:val="18"/>
              </w:rPr>
              <w:t>01.010101 Výdaje související s úředníky a dočasnými pracovníky provádějícími výzkumné a inovační programy – Horizont Evropa</w:t>
            </w:r>
          </w:p>
        </w:tc>
        <w:tc>
          <w:tcPr>
            <w:tcW w:w="1440" w:type="dxa"/>
            <w:vAlign w:val="center"/>
          </w:tcPr>
          <w:p>
            <w:pPr>
              <w:rPr>
                <w:rFonts w:eastAsia="Calibri"/>
                <w:noProof/>
                <w:sz w:val="18"/>
              </w:rPr>
            </w:pPr>
            <w:r>
              <w:rPr>
                <w:noProof/>
                <w:sz w:val="18"/>
              </w:rPr>
              <w:t>Závazky = Platby</w:t>
            </w:r>
          </w:p>
        </w:tc>
        <w:tc>
          <w:tcPr>
            <w:tcW w:w="654" w:type="dxa"/>
            <w:vAlign w:val="center"/>
          </w:tcPr>
          <w:p>
            <w:pPr>
              <w:jc w:val="center"/>
              <w:rPr>
                <w:rFonts w:eastAsia="Calibri"/>
                <w:noProof/>
                <w:sz w:val="14"/>
              </w:rPr>
            </w:pPr>
            <w:r>
              <w:rPr>
                <w:noProof/>
                <w:sz w:val="14"/>
              </w:rPr>
              <w:t>(7)</w:t>
            </w:r>
          </w:p>
        </w:tc>
        <w:tc>
          <w:tcPr>
            <w:tcW w:w="868" w:type="dxa"/>
            <w:vAlign w:val="center"/>
          </w:tcPr>
          <w:p>
            <w:pPr>
              <w:spacing w:before="20" w:after="20"/>
              <w:jc w:val="right"/>
              <w:rPr>
                <w:rFonts w:eastAsia="Calibri"/>
                <w:noProof/>
                <w:sz w:val="20"/>
              </w:rPr>
            </w:pPr>
            <w:r>
              <w:rPr>
                <w:noProof/>
                <w:sz w:val="20"/>
              </w:rPr>
              <w:t>0,527</w:t>
            </w:r>
          </w:p>
        </w:tc>
        <w:tc>
          <w:tcPr>
            <w:tcW w:w="868" w:type="dxa"/>
            <w:vAlign w:val="center"/>
          </w:tcPr>
          <w:p>
            <w:pPr>
              <w:spacing w:before="20" w:after="20"/>
              <w:jc w:val="right"/>
              <w:rPr>
                <w:rFonts w:eastAsia="Calibri"/>
                <w:noProof/>
                <w:sz w:val="20"/>
              </w:rPr>
            </w:pPr>
            <w:r>
              <w:rPr>
                <w:noProof/>
                <w:sz w:val="20"/>
              </w:rPr>
              <w:t>0,545</w:t>
            </w:r>
          </w:p>
        </w:tc>
        <w:tc>
          <w:tcPr>
            <w:tcW w:w="868" w:type="dxa"/>
            <w:vAlign w:val="center"/>
          </w:tcPr>
          <w:p>
            <w:pPr>
              <w:spacing w:before="20" w:after="20"/>
              <w:jc w:val="right"/>
              <w:rPr>
                <w:rFonts w:eastAsia="Calibri"/>
                <w:noProof/>
                <w:sz w:val="20"/>
              </w:rPr>
            </w:pPr>
            <w:r>
              <w:rPr>
                <w:noProof/>
                <w:sz w:val="20"/>
              </w:rPr>
              <w:t>0,565</w:t>
            </w:r>
          </w:p>
        </w:tc>
        <w:tc>
          <w:tcPr>
            <w:tcW w:w="868" w:type="dxa"/>
            <w:vAlign w:val="center"/>
          </w:tcPr>
          <w:p>
            <w:pPr>
              <w:spacing w:before="20" w:after="20"/>
              <w:jc w:val="right"/>
              <w:rPr>
                <w:rFonts w:eastAsia="Calibri"/>
                <w:noProof/>
                <w:sz w:val="20"/>
              </w:rPr>
            </w:pPr>
            <w:r>
              <w:rPr>
                <w:noProof/>
                <w:sz w:val="20"/>
              </w:rPr>
              <w:t>0,584</w:t>
            </w:r>
          </w:p>
        </w:tc>
        <w:tc>
          <w:tcPr>
            <w:tcW w:w="868" w:type="dxa"/>
            <w:vAlign w:val="center"/>
          </w:tcPr>
          <w:p>
            <w:pPr>
              <w:spacing w:before="20" w:after="20"/>
              <w:jc w:val="right"/>
              <w:rPr>
                <w:rFonts w:eastAsia="Calibri"/>
                <w:noProof/>
                <w:sz w:val="20"/>
              </w:rPr>
            </w:pPr>
            <w:r>
              <w:rPr>
                <w:noProof/>
                <w:sz w:val="20"/>
              </w:rPr>
              <w:t>0,605</w:t>
            </w:r>
          </w:p>
        </w:tc>
        <w:tc>
          <w:tcPr>
            <w:tcW w:w="868" w:type="dxa"/>
            <w:vAlign w:val="center"/>
          </w:tcPr>
          <w:p>
            <w:pPr>
              <w:spacing w:before="20" w:after="20"/>
              <w:jc w:val="right"/>
              <w:rPr>
                <w:rFonts w:eastAsia="Calibri"/>
                <w:noProof/>
                <w:sz w:val="20"/>
              </w:rPr>
            </w:pPr>
            <w:r>
              <w:rPr>
                <w:noProof/>
                <w:sz w:val="20"/>
              </w:rPr>
              <w:t>0,626</w:t>
            </w:r>
          </w:p>
        </w:tc>
        <w:tc>
          <w:tcPr>
            <w:tcW w:w="868" w:type="dxa"/>
            <w:vAlign w:val="center"/>
          </w:tcPr>
          <w:p>
            <w:pPr>
              <w:spacing w:before="20" w:after="20"/>
              <w:jc w:val="right"/>
              <w:rPr>
                <w:rFonts w:eastAsia="Calibri"/>
                <w:noProof/>
                <w:sz w:val="20"/>
              </w:rPr>
            </w:pPr>
            <w:r>
              <w:rPr>
                <w:noProof/>
                <w:sz w:val="20"/>
              </w:rPr>
              <w:t>0,648</w:t>
            </w:r>
          </w:p>
        </w:tc>
        <w:tc>
          <w:tcPr>
            <w:tcW w:w="909" w:type="dxa"/>
          </w:tcPr>
          <w:p>
            <w:pPr>
              <w:spacing w:before="20" w:after="20"/>
              <w:jc w:val="right"/>
              <w:rPr>
                <w:rFonts w:eastAsia="Calibri"/>
                <w:noProof/>
                <w:sz w:val="20"/>
              </w:rPr>
            </w:pPr>
          </w:p>
        </w:tc>
        <w:tc>
          <w:tcPr>
            <w:tcW w:w="1289" w:type="dxa"/>
            <w:vAlign w:val="center"/>
          </w:tcPr>
          <w:p>
            <w:pPr>
              <w:spacing w:before="20" w:after="20"/>
              <w:jc w:val="right"/>
              <w:rPr>
                <w:rFonts w:eastAsia="Calibri"/>
                <w:b/>
                <w:noProof/>
                <w:sz w:val="20"/>
              </w:rPr>
            </w:pPr>
            <w:r>
              <w:rPr>
                <w:b/>
                <w:noProof/>
                <w:sz w:val="20"/>
              </w:rPr>
              <w:t>4,100</w:t>
            </w:r>
          </w:p>
        </w:tc>
      </w:tr>
      <w:tr>
        <w:trPr>
          <w:jc w:val="center"/>
        </w:trPr>
        <w:tc>
          <w:tcPr>
            <w:tcW w:w="4103" w:type="dxa"/>
          </w:tcPr>
          <w:p>
            <w:pPr>
              <w:rPr>
                <w:rFonts w:eastAsia="Calibri"/>
                <w:noProof/>
                <w:sz w:val="18"/>
                <w:szCs w:val="18"/>
              </w:rPr>
            </w:pPr>
            <w:r>
              <w:rPr>
                <w:noProof/>
                <w:sz w:val="18"/>
                <w:szCs w:val="18"/>
              </w:rPr>
              <w:t>01.010102 Externí pracovníci provádějící výzkumné a inovační programy – Horizont Evropa</w:t>
            </w:r>
          </w:p>
        </w:tc>
        <w:tc>
          <w:tcPr>
            <w:tcW w:w="1440" w:type="dxa"/>
          </w:tcPr>
          <w:p>
            <w:pPr>
              <w:rPr>
                <w:rFonts w:eastAsia="Calibri"/>
                <w:noProof/>
                <w:sz w:val="18"/>
                <w:szCs w:val="18"/>
              </w:rPr>
            </w:pPr>
            <w:r>
              <w:rPr>
                <w:noProof/>
                <w:sz w:val="18"/>
                <w:szCs w:val="18"/>
              </w:rPr>
              <w:t>Závazky = Platby</w:t>
            </w:r>
          </w:p>
        </w:tc>
        <w:tc>
          <w:tcPr>
            <w:tcW w:w="654" w:type="dxa"/>
          </w:tcPr>
          <w:p>
            <w:pPr>
              <w:jc w:val="center"/>
              <w:rPr>
                <w:rFonts w:eastAsia="Calibri"/>
                <w:noProof/>
                <w:sz w:val="14"/>
                <w:szCs w:val="14"/>
              </w:rPr>
            </w:pPr>
            <w:r>
              <w:rPr>
                <w:noProof/>
                <w:sz w:val="14"/>
                <w:szCs w:val="14"/>
              </w:rPr>
              <w:t>(8)</w:t>
            </w:r>
          </w:p>
        </w:tc>
        <w:tc>
          <w:tcPr>
            <w:tcW w:w="868" w:type="dxa"/>
          </w:tcPr>
          <w:p>
            <w:pPr>
              <w:spacing w:before="20" w:after="20"/>
              <w:jc w:val="right"/>
              <w:rPr>
                <w:rFonts w:eastAsia="Calibri"/>
                <w:noProof/>
                <w:sz w:val="18"/>
                <w:szCs w:val="18"/>
              </w:rPr>
            </w:pPr>
            <w:r>
              <w:rPr>
                <w:noProof/>
                <w:sz w:val="18"/>
                <w:szCs w:val="18"/>
              </w:rPr>
              <w:t>0,108</w:t>
            </w:r>
          </w:p>
        </w:tc>
        <w:tc>
          <w:tcPr>
            <w:tcW w:w="868" w:type="dxa"/>
          </w:tcPr>
          <w:p>
            <w:pPr>
              <w:spacing w:before="20" w:after="20"/>
              <w:jc w:val="right"/>
              <w:rPr>
                <w:rFonts w:eastAsia="Calibri"/>
                <w:noProof/>
                <w:sz w:val="18"/>
                <w:szCs w:val="18"/>
              </w:rPr>
            </w:pPr>
            <w:r>
              <w:rPr>
                <w:noProof/>
                <w:sz w:val="18"/>
                <w:szCs w:val="18"/>
              </w:rPr>
              <w:t>0,110</w:t>
            </w:r>
          </w:p>
        </w:tc>
        <w:tc>
          <w:tcPr>
            <w:tcW w:w="868" w:type="dxa"/>
          </w:tcPr>
          <w:p>
            <w:pPr>
              <w:spacing w:before="20" w:after="20"/>
              <w:jc w:val="right"/>
              <w:rPr>
                <w:rFonts w:eastAsia="Calibri"/>
                <w:noProof/>
                <w:sz w:val="18"/>
                <w:szCs w:val="18"/>
              </w:rPr>
            </w:pPr>
            <w:r>
              <w:rPr>
                <w:noProof/>
                <w:sz w:val="18"/>
                <w:szCs w:val="18"/>
              </w:rPr>
              <w:t>0,113</w:t>
            </w:r>
          </w:p>
        </w:tc>
        <w:tc>
          <w:tcPr>
            <w:tcW w:w="868" w:type="dxa"/>
          </w:tcPr>
          <w:p>
            <w:pPr>
              <w:spacing w:before="20" w:after="20"/>
              <w:jc w:val="right"/>
              <w:rPr>
                <w:rFonts w:eastAsia="Calibri"/>
                <w:noProof/>
                <w:sz w:val="18"/>
                <w:szCs w:val="18"/>
              </w:rPr>
            </w:pPr>
            <w:r>
              <w:rPr>
                <w:noProof/>
                <w:sz w:val="18"/>
                <w:szCs w:val="18"/>
              </w:rPr>
              <w:t>0,115</w:t>
            </w:r>
          </w:p>
        </w:tc>
        <w:tc>
          <w:tcPr>
            <w:tcW w:w="868" w:type="dxa"/>
          </w:tcPr>
          <w:p>
            <w:pPr>
              <w:spacing w:before="20" w:after="20"/>
              <w:jc w:val="right"/>
              <w:rPr>
                <w:rFonts w:eastAsia="Calibri"/>
                <w:noProof/>
                <w:sz w:val="18"/>
                <w:szCs w:val="18"/>
              </w:rPr>
            </w:pPr>
            <w:r>
              <w:rPr>
                <w:noProof/>
                <w:sz w:val="18"/>
                <w:szCs w:val="18"/>
              </w:rPr>
              <w:t>0,117</w:t>
            </w:r>
          </w:p>
        </w:tc>
        <w:tc>
          <w:tcPr>
            <w:tcW w:w="868" w:type="dxa"/>
          </w:tcPr>
          <w:p>
            <w:pPr>
              <w:spacing w:before="20" w:after="20"/>
              <w:jc w:val="right"/>
              <w:rPr>
                <w:rFonts w:eastAsia="Calibri"/>
                <w:noProof/>
                <w:sz w:val="18"/>
                <w:szCs w:val="18"/>
              </w:rPr>
            </w:pPr>
            <w:r>
              <w:rPr>
                <w:noProof/>
                <w:sz w:val="18"/>
                <w:szCs w:val="18"/>
              </w:rPr>
              <w:t>0,119</w:t>
            </w:r>
          </w:p>
        </w:tc>
        <w:tc>
          <w:tcPr>
            <w:tcW w:w="868" w:type="dxa"/>
          </w:tcPr>
          <w:p>
            <w:pPr>
              <w:spacing w:before="20" w:after="20"/>
              <w:jc w:val="right"/>
              <w:rPr>
                <w:rFonts w:eastAsia="Calibri"/>
                <w:noProof/>
                <w:sz w:val="18"/>
                <w:szCs w:val="18"/>
              </w:rPr>
            </w:pPr>
            <w:r>
              <w:rPr>
                <w:noProof/>
                <w:sz w:val="18"/>
                <w:szCs w:val="18"/>
              </w:rPr>
              <w:t>0,122</w:t>
            </w:r>
          </w:p>
        </w:tc>
        <w:tc>
          <w:tcPr>
            <w:tcW w:w="909" w:type="dxa"/>
          </w:tcPr>
          <w:p>
            <w:pPr>
              <w:spacing w:before="20" w:after="20"/>
              <w:jc w:val="right"/>
              <w:rPr>
                <w:rFonts w:eastAsia="Calibri"/>
                <w:noProof/>
                <w:sz w:val="18"/>
                <w:szCs w:val="18"/>
              </w:rPr>
            </w:pPr>
          </w:p>
        </w:tc>
        <w:tc>
          <w:tcPr>
            <w:tcW w:w="1289" w:type="dxa"/>
          </w:tcPr>
          <w:p>
            <w:pPr>
              <w:spacing w:before="20" w:after="20"/>
              <w:jc w:val="right"/>
              <w:rPr>
                <w:rFonts w:eastAsia="Calibri"/>
                <w:b/>
                <w:noProof/>
                <w:sz w:val="18"/>
                <w:szCs w:val="18"/>
              </w:rPr>
            </w:pPr>
            <w:r>
              <w:rPr>
                <w:noProof/>
                <w:sz w:val="18"/>
                <w:szCs w:val="18"/>
              </w:rPr>
              <w:t>0,804</w:t>
            </w:r>
          </w:p>
        </w:tc>
      </w:tr>
      <w:tr>
        <w:trPr>
          <w:jc w:val="center"/>
        </w:trPr>
        <w:tc>
          <w:tcPr>
            <w:tcW w:w="4103" w:type="dxa"/>
          </w:tcPr>
          <w:p>
            <w:pPr>
              <w:rPr>
                <w:rFonts w:eastAsia="Calibri"/>
                <w:noProof/>
                <w:sz w:val="18"/>
                <w:szCs w:val="18"/>
              </w:rPr>
            </w:pPr>
            <w:r>
              <w:rPr>
                <w:noProof/>
                <w:sz w:val="18"/>
                <w:szCs w:val="18"/>
              </w:rPr>
              <w:t>01.010103 Ostatní výdaje na řízení určené na výzkumné a inovační programy – Horizont Evropa</w:t>
            </w:r>
          </w:p>
        </w:tc>
        <w:tc>
          <w:tcPr>
            <w:tcW w:w="1440" w:type="dxa"/>
          </w:tcPr>
          <w:p>
            <w:pPr>
              <w:rPr>
                <w:rFonts w:eastAsia="Calibri"/>
                <w:noProof/>
                <w:sz w:val="18"/>
                <w:szCs w:val="18"/>
              </w:rPr>
            </w:pPr>
            <w:r>
              <w:rPr>
                <w:noProof/>
                <w:sz w:val="18"/>
                <w:szCs w:val="18"/>
              </w:rPr>
              <w:t>Závazky = Platby</w:t>
            </w:r>
          </w:p>
        </w:tc>
        <w:tc>
          <w:tcPr>
            <w:tcW w:w="654" w:type="dxa"/>
          </w:tcPr>
          <w:p>
            <w:pPr>
              <w:jc w:val="center"/>
              <w:rPr>
                <w:rFonts w:eastAsia="Calibri"/>
                <w:noProof/>
                <w:sz w:val="14"/>
                <w:szCs w:val="14"/>
              </w:rPr>
            </w:pPr>
            <w:r>
              <w:rPr>
                <w:noProof/>
                <w:sz w:val="14"/>
                <w:szCs w:val="14"/>
              </w:rPr>
              <w:t>(9)</w:t>
            </w:r>
          </w:p>
        </w:tc>
        <w:tc>
          <w:tcPr>
            <w:tcW w:w="868" w:type="dxa"/>
          </w:tcPr>
          <w:p>
            <w:pPr>
              <w:spacing w:before="20" w:after="20"/>
              <w:jc w:val="right"/>
              <w:rPr>
                <w:rFonts w:eastAsia="Calibri"/>
                <w:noProof/>
                <w:sz w:val="18"/>
                <w:szCs w:val="18"/>
              </w:rPr>
            </w:pPr>
            <w:r>
              <w:rPr>
                <w:noProof/>
                <w:sz w:val="18"/>
                <w:szCs w:val="18"/>
              </w:rPr>
              <w:t>9,445</w:t>
            </w:r>
          </w:p>
        </w:tc>
        <w:tc>
          <w:tcPr>
            <w:tcW w:w="868" w:type="dxa"/>
          </w:tcPr>
          <w:p>
            <w:pPr>
              <w:spacing w:before="20" w:after="20"/>
              <w:jc w:val="right"/>
              <w:rPr>
                <w:rFonts w:eastAsia="Calibri"/>
                <w:noProof/>
                <w:sz w:val="18"/>
                <w:szCs w:val="18"/>
              </w:rPr>
            </w:pPr>
            <w:r>
              <w:rPr>
                <w:noProof/>
                <w:sz w:val="18"/>
                <w:szCs w:val="18"/>
              </w:rPr>
              <w:t>9,629</w:t>
            </w:r>
          </w:p>
        </w:tc>
        <w:tc>
          <w:tcPr>
            <w:tcW w:w="868" w:type="dxa"/>
          </w:tcPr>
          <w:p>
            <w:pPr>
              <w:spacing w:before="20" w:after="20"/>
              <w:jc w:val="right"/>
              <w:rPr>
                <w:rFonts w:eastAsia="Calibri"/>
                <w:noProof/>
                <w:sz w:val="18"/>
                <w:szCs w:val="18"/>
              </w:rPr>
            </w:pPr>
            <w:r>
              <w:rPr>
                <w:noProof/>
                <w:sz w:val="18"/>
                <w:szCs w:val="18"/>
              </w:rPr>
              <w:t>9,816</w:t>
            </w:r>
          </w:p>
        </w:tc>
        <w:tc>
          <w:tcPr>
            <w:tcW w:w="868" w:type="dxa"/>
          </w:tcPr>
          <w:p>
            <w:pPr>
              <w:spacing w:before="20" w:after="20"/>
              <w:jc w:val="right"/>
              <w:rPr>
                <w:rFonts w:eastAsia="Calibri"/>
                <w:noProof/>
                <w:sz w:val="18"/>
                <w:szCs w:val="18"/>
              </w:rPr>
            </w:pPr>
            <w:r>
              <w:rPr>
                <w:noProof/>
                <w:sz w:val="18"/>
                <w:szCs w:val="18"/>
              </w:rPr>
              <w:t>10,006</w:t>
            </w:r>
          </w:p>
        </w:tc>
        <w:tc>
          <w:tcPr>
            <w:tcW w:w="868" w:type="dxa"/>
          </w:tcPr>
          <w:p>
            <w:pPr>
              <w:spacing w:before="20" w:after="20"/>
              <w:jc w:val="right"/>
              <w:rPr>
                <w:rFonts w:eastAsia="Calibri"/>
                <w:noProof/>
                <w:sz w:val="18"/>
                <w:szCs w:val="18"/>
              </w:rPr>
            </w:pPr>
            <w:r>
              <w:rPr>
                <w:noProof/>
                <w:sz w:val="18"/>
                <w:szCs w:val="18"/>
              </w:rPr>
              <w:t>10,202</w:t>
            </w:r>
          </w:p>
        </w:tc>
        <w:tc>
          <w:tcPr>
            <w:tcW w:w="868" w:type="dxa"/>
          </w:tcPr>
          <w:p>
            <w:pPr>
              <w:spacing w:before="20" w:after="20"/>
              <w:jc w:val="right"/>
              <w:rPr>
                <w:rFonts w:eastAsia="Calibri"/>
                <w:noProof/>
                <w:sz w:val="18"/>
                <w:szCs w:val="18"/>
              </w:rPr>
            </w:pPr>
            <w:r>
              <w:rPr>
                <w:noProof/>
                <w:sz w:val="18"/>
                <w:szCs w:val="18"/>
              </w:rPr>
              <w:t>10,398</w:t>
            </w:r>
          </w:p>
        </w:tc>
        <w:tc>
          <w:tcPr>
            <w:tcW w:w="868" w:type="dxa"/>
          </w:tcPr>
          <w:p>
            <w:pPr>
              <w:spacing w:before="20" w:after="20"/>
              <w:jc w:val="right"/>
              <w:rPr>
                <w:rFonts w:eastAsia="Calibri"/>
                <w:noProof/>
                <w:sz w:val="18"/>
                <w:szCs w:val="18"/>
              </w:rPr>
            </w:pPr>
            <w:r>
              <w:rPr>
                <w:noProof/>
                <w:sz w:val="18"/>
                <w:szCs w:val="18"/>
              </w:rPr>
              <w:t>10,600</w:t>
            </w:r>
          </w:p>
        </w:tc>
        <w:tc>
          <w:tcPr>
            <w:tcW w:w="909" w:type="dxa"/>
          </w:tcPr>
          <w:p>
            <w:pPr>
              <w:spacing w:before="20" w:after="20"/>
              <w:jc w:val="right"/>
              <w:rPr>
                <w:rFonts w:eastAsia="Calibri"/>
                <w:noProof/>
                <w:sz w:val="18"/>
                <w:szCs w:val="18"/>
              </w:rPr>
            </w:pPr>
          </w:p>
        </w:tc>
        <w:tc>
          <w:tcPr>
            <w:tcW w:w="1289" w:type="dxa"/>
          </w:tcPr>
          <w:p>
            <w:pPr>
              <w:spacing w:before="20" w:after="20"/>
              <w:jc w:val="right"/>
              <w:rPr>
                <w:rFonts w:eastAsia="Calibri"/>
                <w:b/>
                <w:noProof/>
                <w:sz w:val="18"/>
                <w:szCs w:val="18"/>
              </w:rPr>
            </w:pPr>
            <w:r>
              <w:rPr>
                <w:noProof/>
                <w:sz w:val="18"/>
                <w:szCs w:val="18"/>
              </w:rPr>
              <w:t>70,096</w:t>
            </w:r>
          </w:p>
        </w:tc>
      </w:tr>
      <w:tr>
        <w:trPr>
          <w:jc w:val="center"/>
        </w:trPr>
        <w:tc>
          <w:tcPr>
            <w:tcW w:w="4103" w:type="dxa"/>
          </w:tcPr>
          <w:p>
            <w:pPr>
              <w:rPr>
                <w:rFonts w:eastAsia="Calibri"/>
                <w:noProof/>
                <w:sz w:val="18"/>
                <w:szCs w:val="18"/>
              </w:rPr>
            </w:pPr>
            <w:r>
              <w:rPr>
                <w:noProof/>
                <w:sz w:val="18"/>
                <w:szCs w:val="18"/>
              </w:rPr>
              <w:t>Prostředky správní povahy financované z rámce na zvláštní programy</w:t>
            </w:r>
            <w:r>
              <w:rPr>
                <w:rStyle w:val="FootnoteReference"/>
                <w:noProof/>
              </w:rPr>
              <w:footnoteReference w:id="38"/>
            </w:r>
            <w:r>
              <w:rPr>
                <w:noProof/>
                <w:sz w:val="18"/>
                <w:szCs w:val="18"/>
              </w:rPr>
              <w:t xml:space="preserve"> </w:t>
            </w:r>
          </w:p>
        </w:tc>
        <w:tc>
          <w:tcPr>
            <w:tcW w:w="1440" w:type="dxa"/>
          </w:tcPr>
          <w:p>
            <w:pPr>
              <w:rPr>
                <w:rFonts w:eastAsia="Calibri"/>
                <w:noProof/>
                <w:sz w:val="18"/>
                <w:szCs w:val="18"/>
              </w:rPr>
            </w:pPr>
            <w:r>
              <w:rPr>
                <w:noProof/>
                <w:sz w:val="18"/>
                <w:szCs w:val="18"/>
              </w:rPr>
              <w:t>Závazky = Platby</w:t>
            </w:r>
          </w:p>
        </w:tc>
        <w:tc>
          <w:tcPr>
            <w:tcW w:w="654" w:type="dxa"/>
          </w:tcPr>
          <w:p>
            <w:pPr>
              <w:jc w:val="center"/>
              <w:rPr>
                <w:rFonts w:eastAsia="Calibri"/>
                <w:noProof/>
                <w:sz w:val="14"/>
                <w:szCs w:val="14"/>
              </w:rPr>
            </w:pPr>
            <w:r>
              <w:rPr>
                <w:noProof/>
                <w:sz w:val="14"/>
                <w:szCs w:val="14"/>
              </w:rPr>
              <w:t>(10)=(7)+(8)+(9)</w:t>
            </w:r>
          </w:p>
        </w:tc>
        <w:tc>
          <w:tcPr>
            <w:tcW w:w="868" w:type="dxa"/>
          </w:tcPr>
          <w:p>
            <w:pPr>
              <w:spacing w:before="20" w:after="20"/>
              <w:jc w:val="right"/>
              <w:rPr>
                <w:rFonts w:eastAsia="Calibri"/>
                <w:noProof/>
                <w:sz w:val="18"/>
                <w:szCs w:val="18"/>
              </w:rPr>
            </w:pPr>
            <w:r>
              <w:rPr>
                <w:noProof/>
                <w:sz w:val="18"/>
                <w:szCs w:val="18"/>
              </w:rPr>
              <w:t>10,081</w:t>
            </w:r>
          </w:p>
        </w:tc>
        <w:tc>
          <w:tcPr>
            <w:tcW w:w="868" w:type="dxa"/>
          </w:tcPr>
          <w:p>
            <w:pPr>
              <w:spacing w:before="20" w:after="20"/>
              <w:jc w:val="right"/>
              <w:rPr>
                <w:rFonts w:eastAsia="Calibri"/>
                <w:noProof/>
                <w:sz w:val="18"/>
                <w:szCs w:val="18"/>
              </w:rPr>
            </w:pPr>
            <w:r>
              <w:rPr>
                <w:noProof/>
                <w:sz w:val="18"/>
                <w:szCs w:val="18"/>
              </w:rPr>
              <w:t>10,285</w:t>
            </w:r>
          </w:p>
        </w:tc>
        <w:tc>
          <w:tcPr>
            <w:tcW w:w="868" w:type="dxa"/>
          </w:tcPr>
          <w:p>
            <w:pPr>
              <w:spacing w:before="20" w:after="20"/>
              <w:jc w:val="right"/>
              <w:rPr>
                <w:rFonts w:eastAsia="Calibri"/>
                <w:noProof/>
                <w:sz w:val="18"/>
                <w:szCs w:val="18"/>
              </w:rPr>
            </w:pPr>
            <w:r>
              <w:rPr>
                <w:noProof/>
                <w:sz w:val="18"/>
                <w:szCs w:val="18"/>
              </w:rPr>
              <w:t>10,493</w:t>
            </w:r>
          </w:p>
        </w:tc>
        <w:tc>
          <w:tcPr>
            <w:tcW w:w="868" w:type="dxa"/>
          </w:tcPr>
          <w:p>
            <w:pPr>
              <w:spacing w:before="20" w:after="20"/>
              <w:jc w:val="right"/>
              <w:rPr>
                <w:rFonts w:eastAsia="Calibri"/>
                <w:noProof/>
                <w:sz w:val="18"/>
                <w:szCs w:val="18"/>
              </w:rPr>
            </w:pPr>
            <w:r>
              <w:rPr>
                <w:noProof/>
                <w:sz w:val="18"/>
                <w:szCs w:val="18"/>
              </w:rPr>
              <w:t>10,705</w:t>
            </w:r>
          </w:p>
        </w:tc>
        <w:tc>
          <w:tcPr>
            <w:tcW w:w="868" w:type="dxa"/>
          </w:tcPr>
          <w:p>
            <w:pPr>
              <w:spacing w:before="20" w:after="20"/>
              <w:jc w:val="right"/>
              <w:rPr>
                <w:rFonts w:eastAsia="Calibri"/>
                <w:noProof/>
                <w:sz w:val="18"/>
                <w:szCs w:val="18"/>
              </w:rPr>
            </w:pPr>
            <w:r>
              <w:rPr>
                <w:noProof/>
                <w:sz w:val="18"/>
                <w:szCs w:val="18"/>
              </w:rPr>
              <w:t>10,924</w:t>
            </w:r>
          </w:p>
        </w:tc>
        <w:tc>
          <w:tcPr>
            <w:tcW w:w="868" w:type="dxa"/>
          </w:tcPr>
          <w:p>
            <w:pPr>
              <w:spacing w:before="20" w:after="20"/>
              <w:jc w:val="right"/>
              <w:rPr>
                <w:rFonts w:eastAsia="Calibri"/>
                <w:noProof/>
                <w:sz w:val="18"/>
                <w:szCs w:val="18"/>
              </w:rPr>
            </w:pPr>
            <w:r>
              <w:rPr>
                <w:noProof/>
                <w:sz w:val="18"/>
                <w:szCs w:val="18"/>
              </w:rPr>
              <w:t>11,143</w:t>
            </w:r>
          </w:p>
        </w:tc>
        <w:tc>
          <w:tcPr>
            <w:tcW w:w="868" w:type="dxa"/>
          </w:tcPr>
          <w:p>
            <w:pPr>
              <w:spacing w:before="20" w:after="20"/>
              <w:jc w:val="right"/>
              <w:rPr>
                <w:rFonts w:eastAsia="Calibri"/>
                <w:noProof/>
                <w:sz w:val="18"/>
                <w:szCs w:val="18"/>
              </w:rPr>
            </w:pPr>
            <w:r>
              <w:rPr>
                <w:noProof/>
                <w:sz w:val="18"/>
                <w:szCs w:val="18"/>
              </w:rPr>
              <w:t>11,370</w:t>
            </w:r>
          </w:p>
        </w:tc>
        <w:tc>
          <w:tcPr>
            <w:tcW w:w="909" w:type="dxa"/>
          </w:tcPr>
          <w:p>
            <w:pPr>
              <w:spacing w:before="20" w:after="20"/>
              <w:jc w:val="right"/>
              <w:rPr>
                <w:rFonts w:eastAsia="Calibri"/>
                <w:noProof/>
                <w:sz w:val="18"/>
                <w:szCs w:val="18"/>
              </w:rPr>
            </w:pPr>
            <w:r>
              <w:rPr>
                <w:noProof/>
                <w:sz w:val="18"/>
                <w:szCs w:val="18"/>
              </w:rPr>
              <w:t xml:space="preserve"> </w:t>
            </w:r>
          </w:p>
        </w:tc>
        <w:tc>
          <w:tcPr>
            <w:tcW w:w="1289" w:type="dxa"/>
          </w:tcPr>
          <w:p>
            <w:pPr>
              <w:spacing w:before="20" w:after="20"/>
              <w:jc w:val="right"/>
              <w:rPr>
                <w:rFonts w:eastAsia="Calibri"/>
                <w:b/>
                <w:noProof/>
                <w:sz w:val="18"/>
                <w:szCs w:val="18"/>
              </w:rPr>
            </w:pPr>
            <w:r>
              <w:rPr>
                <w:noProof/>
                <w:sz w:val="18"/>
                <w:szCs w:val="18"/>
              </w:rPr>
              <w:t xml:space="preserve">75,000 </w:t>
            </w:r>
          </w:p>
        </w:tc>
      </w:tr>
      <w:tr>
        <w:trPr>
          <w:jc w:val="center"/>
        </w:trPr>
        <w:tc>
          <w:tcPr>
            <w:tcW w:w="4103" w:type="dxa"/>
            <w:vMerge w:val="restart"/>
          </w:tcPr>
          <w:p>
            <w:pPr>
              <w:rPr>
                <w:rFonts w:eastAsia="Calibri"/>
                <w:b/>
                <w:noProof/>
                <w:sz w:val="18"/>
                <w:szCs w:val="18"/>
              </w:rPr>
            </w:pPr>
            <w:r>
              <w:rPr>
                <w:b/>
                <w:noProof/>
                <w:sz w:val="18"/>
                <w:szCs w:val="18"/>
              </w:rPr>
              <w:t>Prostředky z OKRUHU 1 víceletého finančního rámce pro EIT CELKEM</w:t>
            </w:r>
          </w:p>
        </w:tc>
        <w:tc>
          <w:tcPr>
            <w:tcW w:w="1440" w:type="dxa"/>
          </w:tcPr>
          <w:p>
            <w:pPr>
              <w:rPr>
                <w:rFonts w:eastAsia="Calibri"/>
                <w:noProof/>
                <w:sz w:val="18"/>
                <w:szCs w:val="18"/>
              </w:rPr>
            </w:pPr>
            <w:r>
              <w:rPr>
                <w:noProof/>
                <w:sz w:val="18"/>
                <w:szCs w:val="18"/>
              </w:rPr>
              <w:t>Závazky</w:t>
            </w:r>
          </w:p>
        </w:tc>
        <w:tc>
          <w:tcPr>
            <w:tcW w:w="654" w:type="dxa"/>
          </w:tcPr>
          <w:p>
            <w:pPr>
              <w:jc w:val="center"/>
              <w:rPr>
                <w:rFonts w:eastAsia="Calibri"/>
                <w:noProof/>
                <w:sz w:val="14"/>
                <w:szCs w:val="14"/>
              </w:rPr>
            </w:pPr>
            <w:r>
              <w:rPr>
                <w:noProof/>
                <w:sz w:val="14"/>
                <w:szCs w:val="14"/>
              </w:rPr>
              <w:t>(11) =(5)+(10)</w:t>
            </w:r>
          </w:p>
        </w:tc>
        <w:tc>
          <w:tcPr>
            <w:tcW w:w="868" w:type="dxa"/>
          </w:tcPr>
          <w:p>
            <w:pPr>
              <w:spacing w:before="20" w:after="20"/>
              <w:jc w:val="right"/>
              <w:rPr>
                <w:rFonts w:eastAsia="Calibri"/>
                <w:noProof/>
                <w:sz w:val="18"/>
                <w:szCs w:val="18"/>
              </w:rPr>
            </w:pPr>
            <w:r>
              <w:rPr>
                <w:noProof/>
                <w:sz w:val="18"/>
                <w:szCs w:val="18"/>
              </w:rPr>
              <w:t>403,226</w:t>
            </w:r>
          </w:p>
        </w:tc>
        <w:tc>
          <w:tcPr>
            <w:tcW w:w="868" w:type="dxa"/>
          </w:tcPr>
          <w:p>
            <w:pPr>
              <w:spacing w:before="20" w:after="20"/>
              <w:jc w:val="right"/>
              <w:rPr>
                <w:rFonts w:eastAsia="Calibri"/>
                <w:noProof/>
                <w:sz w:val="18"/>
                <w:szCs w:val="18"/>
              </w:rPr>
            </w:pPr>
            <w:r>
              <w:rPr>
                <w:noProof/>
                <w:sz w:val="18"/>
                <w:szCs w:val="18"/>
              </w:rPr>
              <w:t>411,398</w:t>
            </w:r>
          </w:p>
        </w:tc>
        <w:tc>
          <w:tcPr>
            <w:tcW w:w="868" w:type="dxa"/>
          </w:tcPr>
          <w:p>
            <w:pPr>
              <w:spacing w:before="20" w:after="20"/>
              <w:jc w:val="right"/>
              <w:rPr>
                <w:rFonts w:eastAsia="Calibri"/>
                <w:noProof/>
                <w:sz w:val="18"/>
                <w:szCs w:val="18"/>
              </w:rPr>
            </w:pPr>
            <w:r>
              <w:rPr>
                <w:noProof/>
                <w:sz w:val="18"/>
                <w:szCs w:val="18"/>
              </w:rPr>
              <w:t>419,711</w:t>
            </w:r>
          </w:p>
        </w:tc>
        <w:tc>
          <w:tcPr>
            <w:tcW w:w="868" w:type="dxa"/>
          </w:tcPr>
          <w:p>
            <w:pPr>
              <w:spacing w:before="20" w:after="20"/>
              <w:jc w:val="right"/>
              <w:rPr>
                <w:rFonts w:eastAsia="Calibri"/>
                <w:noProof/>
                <w:sz w:val="18"/>
                <w:szCs w:val="18"/>
              </w:rPr>
            </w:pPr>
            <w:r>
              <w:rPr>
                <w:noProof/>
                <w:sz w:val="18"/>
                <w:szCs w:val="18"/>
              </w:rPr>
              <w:t>428,204</w:t>
            </w:r>
          </w:p>
        </w:tc>
        <w:tc>
          <w:tcPr>
            <w:tcW w:w="868" w:type="dxa"/>
          </w:tcPr>
          <w:p>
            <w:pPr>
              <w:spacing w:before="20" w:after="20"/>
              <w:jc w:val="right"/>
              <w:rPr>
                <w:rFonts w:eastAsia="Calibri"/>
                <w:noProof/>
                <w:sz w:val="18"/>
                <w:szCs w:val="18"/>
              </w:rPr>
            </w:pPr>
            <w:r>
              <w:rPr>
                <w:noProof/>
                <w:sz w:val="18"/>
                <w:szCs w:val="18"/>
              </w:rPr>
              <w:t>436,948</w:t>
            </w:r>
          </w:p>
        </w:tc>
        <w:tc>
          <w:tcPr>
            <w:tcW w:w="868" w:type="dxa"/>
          </w:tcPr>
          <w:p>
            <w:pPr>
              <w:spacing w:before="20" w:after="20"/>
              <w:jc w:val="right"/>
              <w:rPr>
                <w:rFonts w:eastAsia="Calibri"/>
                <w:noProof/>
                <w:sz w:val="18"/>
                <w:szCs w:val="18"/>
              </w:rPr>
            </w:pPr>
            <w:r>
              <w:rPr>
                <w:noProof/>
                <w:sz w:val="18"/>
                <w:szCs w:val="18"/>
              </w:rPr>
              <w:t>445,724</w:t>
            </w:r>
          </w:p>
        </w:tc>
        <w:tc>
          <w:tcPr>
            <w:tcW w:w="868" w:type="dxa"/>
          </w:tcPr>
          <w:p>
            <w:pPr>
              <w:spacing w:before="20" w:after="20"/>
              <w:jc w:val="right"/>
              <w:rPr>
                <w:rFonts w:eastAsia="Calibri"/>
                <w:noProof/>
                <w:sz w:val="18"/>
                <w:szCs w:val="18"/>
              </w:rPr>
            </w:pPr>
            <w:r>
              <w:rPr>
                <w:noProof/>
                <w:sz w:val="18"/>
                <w:szCs w:val="18"/>
              </w:rPr>
              <w:t>454,789</w:t>
            </w:r>
          </w:p>
        </w:tc>
        <w:tc>
          <w:tcPr>
            <w:tcW w:w="909" w:type="dxa"/>
          </w:tcPr>
          <w:p>
            <w:pPr>
              <w:spacing w:before="20" w:after="20"/>
              <w:jc w:val="right"/>
              <w:rPr>
                <w:rFonts w:eastAsia="Calibri"/>
                <w:noProof/>
                <w:sz w:val="18"/>
                <w:szCs w:val="18"/>
              </w:rPr>
            </w:pPr>
          </w:p>
        </w:tc>
        <w:tc>
          <w:tcPr>
            <w:tcW w:w="1289" w:type="dxa"/>
          </w:tcPr>
          <w:p>
            <w:pPr>
              <w:spacing w:before="20" w:after="20"/>
              <w:jc w:val="right"/>
              <w:rPr>
                <w:rFonts w:eastAsia="Calibri"/>
                <w:b/>
                <w:noProof/>
                <w:sz w:val="18"/>
                <w:szCs w:val="18"/>
              </w:rPr>
            </w:pPr>
            <w:r>
              <w:rPr>
                <w:noProof/>
                <w:sz w:val="18"/>
                <w:szCs w:val="18"/>
              </w:rPr>
              <w:t>3 000,000</w:t>
            </w:r>
          </w:p>
        </w:tc>
      </w:tr>
      <w:tr>
        <w:trPr>
          <w:jc w:val="center"/>
        </w:trPr>
        <w:tc>
          <w:tcPr>
            <w:tcW w:w="4103" w:type="dxa"/>
            <w:vMerge/>
          </w:tcPr>
          <w:p>
            <w:pPr>
              <w:rPr>
                <w:rFonts w:eastAsia="Calibri"/>
                <w:b/>
                <w:noProof/>
              </w:rPr>
            </w:pPr>
          </w:p>
        </w:tc>
        <w:tc>
          <w:tcPr>
            <w:tcW w:w="1440" w:type="dxa"/>
          </w:tcPr>
          <w:p>
            <w:pPr>
              <w:rPr>
                <w:rFonts w:eastAsia="Calibri"/>
                <w:noProof/>
                <w:sz w:val="18"/>
                <w:szCs w:val="18"/>
                <w:highlight w:val="yellow"/>
              </w:rPr>
            </w:pPr>
            <w:r>
              <w:rPr>
                <w:noProof/>
                <w:sz w:val="18"/>
                <w:szCs w:val="18"/>
              </w:rPr>
              <w:t>Platby</w:t>
            </w:r>
          </w:p>
        </w:tc>
        <w:tc>
          <w:tcPr>
            <w:tcW w:w="654" w:type="dxa"/>
          </w:tcPr>
          <w:p>
            <w:pPr>
              <w:jc w:val="center"/>
              <w:rPr>
                <w:rFonts w:eastAsia="Calibri"/>
                <w:noProof/>
                <w:sz w:val="14"/>
                <w:szCs w:val="14"/>
              </w:rPr>
            </w:pPr>
            <w:r>
              <w:rPr>
                <w:noProof/>
                <w:sz w:val="14"/>
                <w:szCs w:val="14"/>
              </w:rPr>
              <w:t>(12)=(6)+(10)</w:t>
            </w:r>
          </w:p>
        </w:tc>
        <w:tc>
          <w:tcPr>
            <w:tcW w:w="868" w:type="dxa"/>
          </w:tcPr>
          <w:p>
            <w:pPr>
              <w:spacing w:before="20" w:after="20"/>
              <w:jc w:val="right"/>
              <w:rPr>
                <w:rFonts w:eastAsia="Calibri"/>
                <w:noProof/>
                <w:sz w:val="18"/>
                <w:szCs w:val="18"/>
              </w:rPr>
            </w:pPr>
            <w:r>
              <w:rPr>
                <w:noProof/>
                <w:sz w:val="18"/>
                <w:szCs w:val="18"/>
              </w:rPr>
              <w:t>287,299</w:t>
            </w:r>
          </w:p>
        </w:tc>
        <w:tc>
          <w:tcPr>
            <w:tcW w:w="868" w:type="dxa"/>
          </w:tcPr>
          <w:p>
            <w:pPr>
              <w:spacing w:before="20" w:after="20"/>
              <w:jc w:val="right"/>
              <w:rPr>
                <w:rFonts w:eastAsia="Calibri"/>
                <w:noProof/>
                <w:sz w:val="18"/>
                <w:szCs w:val="18"/>
              </w:rPr>
            </w:pPr>
            <w:r>
              <w:rPr>
                <w:noProof/>
                <w:sz w:val="18"/>
                <w:szCs w:val="18"/>
              </w:rPr>
              <w:t>409,068</w:t>
            </w:r>
          </w:p>
        </w:tc>
        <w:tc>
          <w:tcPr>
            <w:tcW w:w="868" w:type="dxa"/>
          </w:tcPr>
          <w:p>
            <w:pPr>
              <w:spacing w:before="20" w:after="20"/>
              <w:jc w:val="right"/>
              <w:rPr>
                <w:rFonts w:eastAsia="Calibri"/>
                <w:noProof/>
                <w:sz w:val="18"/>
                <w:szCs w:val="18"/>
              </w:rPr>
            </w:pPr>
            <w:r>
              <w:rPr>
                <w:noProof/>
                <w:sz w:val="18"/>
                <w:szCs w:val="18"/>
              </w:rPr>
              <w:t>417,342</w:t>
            </w:r>
          </w:p>
        </w:tc>
        <w:tc>
          <w:tcPr>
            <w:tcW w:w="868" w:type="dxa"/>
          </w:tcPr>
          <w:p>
            <w:pPr>
              <w:spacing w:before="20" w:after="20"/>
              <w:jc w:val="right"/>
              <w:rPr>
                <w:rFonts w:eastAsia="Calibri"/>
                <w:noProof/>
                <w:sz w:val="18"/>
                <w:szCs w:val="18"/>
              </w:rPr>
            </w:pPr>
            <w:r>
              <w:rPr>
                <w:noProof/>
                <w:sz w:val="18"/>
                <w:szCs w:val="18"/>
              </w:rPr>
              <w:t>425,784</w:t>
            </w:r>
          </w:p>
        </w:tc>
        <w:tc>
          <w:tcPr>
            <w:tcW w:w="868" w:type="dxa"/>
          </w:tcPr>
          <w:p>
            <w:pPr>
              <w:spacing w:before="20" w:after="20"/>
              <w:jc w:val="right"/>
              <w:rPr>
                <w:rFonts w:eastAsia="Calibri"/>
                <w:noProof/>
                <w:sz w:val="18"/>
                <w:szCs w:val="18"/>
              </w:rPr>
            </w:pPr>
            <w:r>
              <w:rPr>
                <w:noProof/>
                <w:sz w:val="18"/>
                <w:szCs w:val="18"/>
              </w:rPr>
              <w:t>434,456</w:t>
            </w:r>
          </w:p>
        </w:tc>
        <w:tc>
          <w:tcPr>
            <w:tcW w:w="868" w:type="dxa"/>
          </w:tcPr>
          <w:p>
            <w:pPr>
              <w:spacing w:before="20" w:after="20"/>
              <w:jc w:val="right"/>
              <w:rPr>
                <w:rFonts w:eastAsia="Calibri"/>
                <w:noProof/>
                <w:sz w:val="18"/>
                <w:szCs w:val="18"/>
              </w:rPr>
            </w:pPr>
            <w:r>
              <w:rPr>
                <w:noProof/>
                <w:sz w:val="18"/>
                <w:szCs w:val="18"/>
              </w:rPr>
              <w:t>443,225</w:t>
            </w:r>
          </w:p>
        </w:tc>
        <w:tc>
          <w:tcPr>
            <w:tcW w:w="868" w:type="dxa"/>
          </w:tcPr>
          <w:p>
            <w:pPr>
              <w:spacing w:before="20" w:after="20"/>
              <w:jc w:val="right"/>
              <w:rPr>
                <w:rFonts w:eastAsia="Calibri"/>
                <w:noProof/>
                <w:sz w:val="18"/>
                <w:szCs w:val="18"/>
              </w:rPr>
            </w:pPr>
            <w:r>
              <w:rPr>
                <w:noProof/>
                <w:sz w:val="18"/>
                <w:szCs w:val="18"/>
              </w:rPr>
              <w:t>452,208</w:t>
            </w:r>
          </w:p>
        </w:tc>
        <w:tc>
          <w:tcPr>
            <w:tcW w:w="909" w:type="dxa"/>
          </w:tcPr>
          <w:p>
            <w:pPr>
              <w:spacing w:before="20" w:after="20"/>
              <w:jc w:val="right"/>
              <w:rPr>
                <w:rFonts w:eastAsia="Calibri"/>
                <w:noProof/>
                <w:sz w:val="18"/>
                <w:szCs w:val="18"/>
              </w:rPr>
            </w:pPr>
            <w:r>
              <w:rPr>
                <w:noProof/>
                <w:sz w:val="18"/>
                <w:szCs w:val="18"/>
              </w:rPr>
              <w:t>130,618</w:t>
            </w:r>
          </w:p>
        </w:tc>
        <w:tc>
          <w:tcPr>
            <w:tcW w:w="1289" w:type="dxa"/>
          </w:tcPr>
          <w:p>
            <w:pPr>
              <w:spacing w:before="20" w:after="20"/>
              <w:jc w:val="right"/>
              <w:rPr>
                <w:rFonts w:eastAsia="Calibri"/>
                <w:noProof/>
                <w:sz w:val="18"/>
                <w:szCs w:val="18"/>
              </w:rPr>
            </w:pPr>
            <w:r>
              <w:rPr>
                <w:noProof/>
                <w:sz w:val="18"/>
                <w:szCs w:val="18"/>
              </w:rPr>
              <w:t>3 000,000</w:t>
            </w:r>
          </w:p>
        </w:tc>
      </w:tr>
    </w:tbl>
    <w:p>
      <w:pPr>
        <w:rPr>
          <w:rFonts w:eastAsia="Calibri"/>
          <w:noProof/>
        </w:rPr>
      </w:pPr>
    </w:p>
    <w:p>
      <w:pPr>
        <w:rPr>
          <w:rFonts w:eastAsia="Calibri"/>
          <w:noProof/>
          <w:sz w:val="16"/>
        </w:rPr>
      </w:pPr>
    </w:p>
    <w:p>
      <w:pPr>
        <w:rPr>
          <w:rFonts w:eastAsia="Calibri"/>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Calibri"/>
                <w:b/>
                <w:noProof/>
              </w:rPr>
            </w:pPr>
            <w:r>
              <w:rPr>
                <w:noProof/>
              </w:rPr>
              <w:br w:type="page"/>
            </w:r>
            <w:r>
              <w:rPr>
                <w:b/>
                <w:noProof/>
                <w:sz w:val="22"/>
              </w:rPr>
              <w:t>Okruh víceletého finančního</w:t>
            </w:r>
            <w:r>
              <w:rPr>
                <w:noProof/>
                <w:sz w:val="22"/>
              </w:rPr>
              <w:br/>
            </w:r>
            <w:r>
              <w:rPr>
                <w:b/>
                <w:noProof/>
                <w:sz w:val="22"/>
              </w:rPr>
              <w:t xml:space="preserve">rámce </w:t>
            </w:r>
          </w:p>
        </w:tc>
        <w:tc>
          <w:tcPr>
            <w:tcW w:w="1080" w:type="dxa"/>
            <w:shd w:val="thinDiagStripe" w:color="C0C0C0" w:fill="auto"/>
            <w:vAlign w:val="center"/>
          </w:tcPr>
          <w:p>
            <w:pPr>
              <w:spacing w:before="60" w:after="60"/>
              <w:jc w:val="center"/>
              <w:rPr>
                <w:rFonts w:eastAsia="Calibri"/>
                <w:noProof/>
              </w:rPr>
            </w:pPr>
            <w:r>
              <w:rPr>
                <w:noProof/>
              </w:rPr>
              <w:t>7</w:t>
            </w:r>
          </w:p>
        </w:tc>
        <w:tc>
          <w:tcPr>
            <w:tcW w:w="7817" w:type="dxa"/>
            <w:vAlign w:val="center"/>
          </w:tcPr>
          <w:p>
            <w:pPr>
              <w:spacing w:before="60" w:after="60"/>
              <w:rPr>
                <w:rFonts w:eastAsia="Calibri"/>
                <w:noProof/>
              </w:rPr>
            </w:pPr>
            <w:r>
              <w:rPr>
                <w:noProof/>
                <w:sz w:val="22"/>
              </w:rPr>
              <w:t>Správní výdaje</w:t>
            </w:r>
          </w:p>
        </w:tc>
      </w:tr>
    </w:tbl>
    <w:p>
      <w:pPr>
        <w:jc w:val="left"/>
        <w:rPr>
          <w:rFonts w:eastAsia="Calibri"/>
          <w:noProof/>
        </w:rPr>
      </w:pPr>
      <w:r>
        <w:rPr>
          <w:noProof/>
        </w:rPr>
        <w:t xml:space="preserve">Tento oddíl se vyplní pomocí „rozpočtových údajů správní povahy“, jež se nejprve uvedou v </w:t>
      </w:r>
      <w:hyperlink r:id="rId18" w:history="1">
        <w:r>
          <w:rPr>
            <w:noProof/>
            <w:u w:val="single"/>
          </w:rPr>
          <w:t>příloze legislativního finančního výkazu</w:t>
        </w:r>
      </w:hyperlink>
      <w:r>
        <w:rPr>
          <w:noProof/>
        </w:rPr>
        <w:t>, která se pro účely konzultace mezi útvary vloží do aplikace DECIDE.</w:t>
      </w:r>
    </w:p>
    <w:p>
      <w:pPr>
        <w:jc w:val="left"/>
        <w:rPr>
          <w:rFonts w:eastAsia="Calibri"/>
          <w:noProof/>
          <w:color w:val="0000FF"/>
        </w:rPr>
      </w:pPr>
      <w:r>
        <w:rPr>
          <w:noProof/>
        </w:rPr>
        <w:br w:type="page"/>
      </w:r>
    </w:p>
    <w:p>
      <w:pPr>
        <w:jc w:val="right"/>
        <w:rPr>
          <w:rFonts w:eastAsia="Calibri"/>
          <w:noProof/>
          <w:sz w:val="20"/>
        </w:rPr>
      </w:pPr>
      <w:r>
        <w:rPr>
          <w:noProof/>
          <w:sz w:val="20"/>
        </w:rPr>
        <w:t>v milionech EUR (zaokrouhleno na tři desetinná místa)</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790"/>
        <w:gridCol w:w="946"/>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rFonts w:eastAsia="Calibri"/>
                <w:noProof/>
                <w:sz w:val="20"/>
              </w:rPr>
            </w:pPr>
            <w:r>
              <w:rPr>
                <w:noProof/>
                <w:sz w:val="20"/>
              </w:rPr>
              <w:t xml:space="preserve">Evropská komise </w:t>
            </w:r>
          </w:p>
        </w:tc>
        <w:tc>
          <w:tcPr>
            <w:tcW w:w="868" w:type="dxa"/>
            <w:vAlign w:val="center"/>
          </w:tcPr>
          <w:p>
            <w:pPr>
              <w:jc w:val="center"/>
              <w:rPr>
                <w:rFonts w:eastAsia="Calibri"/>
                <w:b/>
                <w:noProof/>
                <w:sz w:val="20"/>
              </w:rPr>
            </w:pPr>
            <w:r>
              <w:rPr>
                <w:b/>
                <w:noProof/>
                <w:sz w:val="20"/>
              </w:rPr>
              <w:t>2021</w:t>
            </w:r>
          </w:p>
        </w:tc>
        <w:tc>
          <w:tcPr>
            <w:tcW w:w="790" w:type="dxa"/>
            <w:vAlign w:val="center"/>
          </w:tcPr>
          <w:p>
            <w:pPr>
              <w:jc w:val="center"/>
              <w:rPr>
                <w:rFonts w:eastAsia="Calibri"/>
                <w:b/>
                <w:noProof/>
                <w:sz w:val="20"/>
              </w:rPr>
            </w:pPr>
            <w:r>
              <w:rPr>
                <w:b/>
                <w:noProof/>
                <w:sz w:val="20"/>
              </w:rPr>
              <w:t>2022</w:t>
            </w:r>
          </w:p>
        </w:tc>
        <w:tc>
          <w:tcPr>
            <w:tcW w:w="946" w:type="dxa"/>
            <w:vAlign w:val="center"/>
          </w:tcPr>
          <w:p>
            <w:pPr>
              <w:jc w:val="center"/>
              <w:rPr>
                <w:rFonts w:eastAsia="Calibri"/>
                <w:b/>
                <w:noProof/>
                <w:sz w:val="20"/>
              </w:rPr>
            </w:pPr>
            <w:r>
              <w:rPr>
                <w:b/>
                <w:noProof/>
                <w:sz w:val="20"/>
              </w:rPr>
              <w:t>2023</w:t>
            </w:r>
          </w:p>
        </w:tc>
        <w:tc>
          <w:tcPr>
            <w:tcW w:w="868" w:type="dxa"/>
            <w:vAlign w:val="center"/>
          </w:tcPr>
          <w:p>
            <w:pPr>
              <w:jc w:val="center"/>
              <w:rPr>
                <w:rFonts w:eastAsia="Calibri"/>
                <w:b/>
                <w:noProof/>
                <w:sz w:val="20"/>
              </w:rPr>
            </w:pPr>
            <w:r>
              <w:rPr>
                <w:b/>
                <w:noProof/>
                <w:sz w:val="20"/>
              </w:rPr>
              <w:t>2024</w:t>
            </w:r>
          </w:p>
        </w:tc>
        <w:tc>
          <w:tcPr>
            <w:tcW w:w="868" w:type="dxa"/>
            <w:vAlign w:val="center"/>
          </w:tcPr>
          <w:p>
            <w:pPr>
              <w:jc w:val="center"/>
              <w:rPr>
                <w:rFonts w:eastAsia="Calibri"/>
                <w:b/>
                <w:noProof/>
                <w:sz w:val="18"/>
              </w:rPr>
            </w:pPr>
            <w:r>
              <w:rPr>
                <w:b/>
                <w:noProof/>
                <w:sz w:val="18"/>
              </w:rPr>
              <w:t>2025</w:t>
            </w:r>
          </w:p>
        </w:tc>
        <w:tc>
          <w:tcPr>
            <w:tcW w:w="868" w:type="dxa"/>
            <w:vAlign w:val="center"/>
          </w:tcPr>
          <w:p>
            <w:pPr>
              <w:jc w:val="center"/>
              <w:rPr>
                <w:rFonts w:eastAsia="Calibri"/>
                <w:b/>
                <w:noProof/>
                <w:sz w:val="18"/>
              </w:rPr>
            </w:pPr>
            <w:r>
              <w:rPr>
                <w:b/>
                <w:noProof/>
                <w:sz w:val="18"/>
              </w:rPr>
              <w:t>2026</w:t>
            </w:r>
          </w:p>
        </w:tc>
        <w:tc>
          <w:tcPr>
            <w:tcW w:w="868" w:type="dxa"/>
            <w:vAlign w:val="center"/>
          </w:tcPr>
          <w:p>
            <w:pPr>
              <w:jc w:val="center"/>
              <w:rPr>
                <w:rFonts w:eastAsia="Calibri"/>
                <w:b/>
                <w:noProof/>
                <w:sz w:val="18"/>
              </w:rPr>
            </w:pPr>
            <w:r>
              <w:rPr>
                <w:b/>
                <w:noProof/>
                <w:sz w:val="18"/>
              </w:rPr>
              <w:t>2027</w:t>
            </w:r>
          </w:p>
        </w:tc>
        <w:tc>
          <w:tcPr>
            <w:tcW w:w="887" w:type="dxa"/>
          </w:tcPr>
          <w:p>
            <w:pPr>
              <w:jc w:val="center"/>
              <w:rPr>
                <w:rFonts w:eastAsia="Calibri"/>
                <w:b/>
                <w:noProof/>
                <w:sz w:val="20"/>
              </w:rPr>
            </w:pPr>
            <w:r>
              <w:rPr>
                <w:b/>
                <w:i/>
                <w:noProof/>
                <w:sz w:val="20"/>
              </w:rPr>
              <w:t>Po roce 2027</w:t>
            </w:r>
          </w:p>
        </w:tc>
        <w:tc>
          <w:tcPr>
            <w:tcW w:w="1291" w:type="dxa"/>
            <w:vAlign w:val="center"/>
          </w:tcPr>
          <w:p>
            <w:pPr>
              <w:jc w:val="center"/>
              <w:rPr>
                <w:rFonts w:eastAsia="Calibri"/>
                <w:b/>
                <w:noProof/>
                <w:sz w:val="20"/>
              </w:rPr>
            </w:pPr>
            <w:r>
              <w:rPr>
                <w:b/>
                <w:noProof/>
                <w:sz w:val="20"/>
              </w:rPr>
              <w:t>CELKEM</w:t>
            </w:r>
          </w:p>
        </w:tc>
      </w:tr>
      <w:tr>
        <w:trPr>
          <w:trHeight w:val="313"/>
          <w:jc w:val="center"/>
        </w:trPr>
        <w:tc>
          <w:tcPr>
            <w:tcW w:w="6245" w:type="dxa"/>
            <w:gridSpan w:val="2"/>
            <w:vAlign w:val="center"/>
          </w:tcPr>
          <w:p>
            <w:pPr>
              <w:spacing w:before="20" w:after="20"/>
              <w:rPr>
                <w:rFonts w:eastAsia="Calibri"/>
                <w:noProof/>
              </w:rPr>
            </w:pPr>
          </w:p>
        </w:tc>
        <w:tc>
          <w:tcPr>
            <w:tcW w:w="868" w:type="dxa"/>
            <w:vAlign w:val="center"/>
          </w:tcPr>
          <w:p>
            <w:pPr>
              <w:spacing w:before="20" w:after="20"/>
              <w:jc w:val="right"/>
              <w:rPr>
                <w:rFonts w:eastAsia="Calibri"/>
                <w:noProof/>
                <w:sz w:val="20"/>
              </w:rPr>
            </w:pPr>
          </w:p>
        </w:tc>
        <w:tc>
          <w:tcPr>
            <w:tcW w:w="790" w:type="dxa"/>
            <w:vAlign w:val="center"/>
          </w:tcPr>
          <w:p>
            <w:pPr>
              <w:spacing w:before="20" w:after="20"/>
              <w:jc w:val="center"/>
              <w:rPr>
                <w:rFonts w:eastAsia="Calibri"/>
                <w:noProof/>
                <w:sz w:val="20"/>
              </w:rPr>
            </w:pPr>
          </w:p>
        </w:tc>
        <w:tc>
          <w:tcPr>
            <w:tcW w:w="946" w:type="dxa"/>
            <w:vAlign w:val="center"/>
          </w:tcPr>
          <w:p>
            <w:pPr>
              <w:spacing w:before="20" w:after="20"/>
              <w:jc w:val="center"/>
              <w:rPr>
                <w:rFonts w:eastAsia="Calibri"/>
                <w:noProof/>
                <w:sz w:val="20"/>
              </w:rPr>
            </w:pPr>
          </w:p>
        </w:tc>
        <w:tc>
          <w:tcPr>
            <w:tcW w:w="868" w:type="dxa"/>
            <w:vAlign w:val="center"/>
          </w:tcPr>
          <w:p>
            <w:pPr>
              <w:spacing w:before="20" w:after="20"/>
              <w:jc w:val="center"/>
              <w:rPr>
                <w:rFonts w:eastAsia="Calibri"/>
                <w:noProof/>
                <w:sz w:val="20"/>
              </w:rPr>
            </w:pPr>
          </w:p>
        </w:tc>
        <w:tc>
          <w:tcPr>
            <w:tcW w:w="868" w:type="dxa"/>
            <w:vAlign w:val="center"/>
          </w:tcPr>
          <w:p>
            <w:pPr>
              <w:spacing w:before="20" w:after="20"/>
              <w:jc w:val="center"/>
              <w:rPr>
                <w:rFonts w:eastAsia="Calibri"/>
                <w:noProof/>
                <w:sz w:val="20"/>
              </w:rPr>
            </w:pPr>
          </w:p>
        </w:tc>
        <w:tc>
          <w:tcPr>
            <w:tcW w:w="868" w:type="dxa"/>
            <w:vAlign w:val="center"/>
          </w:tcPr>
          <w:p>
            <w:pPr>
              <w:spacing w:before="20" w:after="20"/>
              <w:jc w:val="center"/>
              <w:rPr>
                <w:rFonts w:eastAsia="Calibri"/>
                <w:noProof/>
                <w:sz w:val="20"/>
              </w:rPr>
            </w:pPr>
          </w:p>
        </w:tc>
        <w:tc>
          <w:tcPr>
            <w:tcW w:w="868" w:type="dxa"/>
            <w:vAlign w:val="center"/>
          </w:tcPr>
          <w:p>
            <w:pPr>
              <w:spacing w:before="20" w:after="20"/>
              <w:jc w:val="center"/>
              <w:rPr>
                <w:rFonts w:eastAsia="Calibri"/>
                <w:noProof/>
                <w:sz w:val="20"/>
              </w:rPr>
            </w:pPr>
          </w:p>
        </w:tc>
        <w:tc>
          <w:tcPr>
            <w:tcW w:w="887" w:type="dxa"/>
            <w:shd w:val="clear" w:color="auto" w:fill="A6A6A6"/>
          </w:tcPr>
          <w:p>
            <w:pPr>
              <w:spacing w:before="20" w:after="20"/>
              <w:jc w:val="right"/>
              <w:rPr>
                <w:rFonts w:eastAsia="Calibri"/>
                <w:b/>
                <w:noProof/>
                <w:sz w:val="20"/>
              </w:rPr>
            </w:pPr>
          </w:p>
        </w:tc>
        <w:tc>
          <w:tcPr>
            <w:tcW w:w="1291" w:type="dxa"/>
            <w:vAlign w:val="center"/>
          </w:tcPr>
          <w:p>
            <w:pPr>
              <w:spacing w:before="20" w:after="20"/>
              <w:jc w:val="right"/>
              <w:rPr>
                <w:rFonts w:eastAsia="Calibri"/>
                <w:b/>
                <w:noProof/>
                <w:sz w:val="20"/>
              </w:rPr>
            </w:pPr>
          </w:p>
        </w:tc>
      </w:tr>
      <w:tr>
        <w:trPr>
          <w:trHeight w:val="313"/>
          <w:jc w:val="center"/>
        </w:trPr>
        <w:tc>
          <w:tcPr>
            <w:tcW w:w="6245" w:type="dxa"/>
            <w:gridSpan w:val="2"/>
            <w:vAlign w:val="center"/>
          </w:tcPr>
          <w:p>
            <w:pPr>
              <w:spacing w:before="20" w:after="20"/>
              <w:rPr>
                <w:rFonts w:eastAsia="Calibri"/>
                <w:noProof/>
              </w:rPr>
            </w:pPr>
          </w:p>
        </w:tc>
        <w:tc>
          <w:tcPr>
            <w:tcW w:w="868" w:type="dxa"/>
            <w:vAlign w:val="center"/>
          </w:tcPr>
          <w:p>
            <w:pPr>
              <w:spacing w:before="20" w:after="20"/>
              <w:jc w:val="right"/>
              <w:rPr>
                <w:rFonts w:eastAsia="Calibri"/>
                <w:noProof/>
                <w:sz w:val="20"/>
              </w:rPr>
            </w:pPr>
          </w:p>
        </w:tc>
        <w:tc>
          <w:tcPr>
            <w:tcW w:w="790" w:type="dxa"/>
          </w:tcPr>
          <w:p>
            <w:pPr>
              <w:spacing w:before="20" w:after="20"/>
              <w:rPr>
                <w:rFonts w:eastAsia="Calibri"/>
                <w:noProof/>
                <w:sz w:val="20"/>
              </w:rPr>
            </w:pPr>
          </w:p>
        </w:tc>
        <w:tc>
          <w:tcPr>
            <w:tcW w:w="946" w:type="dxa"/>
          </w:tcPr>
          <w:p>
            <w:pPr>
              <w:spacing w:before="20" w:after="20"/>
              <w:jc w:val="center"/>
              <w:rPr>
                <w:rFonts w:eastAsia="Calibri"/>
                <w:noProof/>
                <w:sz w:val="20"/>
              </w:rPr>
            </w:pPr>
          </w:p>
        </w:tc>
        <w:tc>
          <w:tcPr>
            <w:tcW w:w="868" w:type="dxa"/>
          </w:tcPr>
          <w:p>
            <w:pPr>
              <w:spacing w:before="20" w:after="20"/>
              <w:jc w:val="center"/>
              <w:rPr>
                <w:rFonts w:eastAsia="Calibri"/>
                <w:noProof/>
                <w:sz w:val="20"/>
              </w:rPr>
            </w:pPr>
          </w:p>
        </w:tc>
        <w:tc>
          <w:tcPr>
            <w:tcW w:w="868" w:type="dxa"/>
          </w:tcPr>
          <w:p>
            <w:pPr>
              <w:spacing w:before="20" w:after="20"/>
              <w:jc w:val="center"/>
              <w:rPr>
                <w:rFonts w:eastAsia="Calibri"/>
                <w:noProof/>
                <w:sz w:val="20"/>
              </w:rPr>
            </w:pPr>
          </w:p>
        </w:tc>
        <w:tc>
          <w:tcPr>
            <w:tcW w:w="868" w:type="dxa"/>
          </w:tcPr>
          <w:p>
            <w:pPr>
              <w:spacing w:before="20" w:after="20"/>
              <w:jc w:val="center"/>
              <w:rPr>
                <w:rFonts w:eastAsia="Calibri"/>
                <w:noProof/>
                <w:sz w:val="20"/>
              </w:rPr>
            </w:pPr>
          </w:p>
        </w:tc>
        <w:tc>
          <w:tcPr>
            <w:tcW w:w="868" w:type="dxa"/>
          </w:tcPr>
          <w:p>
            <w:pPr>
              <w:spacing w:before="20" w:after="20"/>
              <w:jc w:val="center"/>
              <w:rPr>
                <w:rFonts w:eastAsia="Calibri"/>
                <w:noProof/>
                <w:sz w:val="20"/>
              </w:rPr>
            </w:pPr>
          </w:p>
        </w:tc>
        <w:tc>
          <w:tcPr>
            <w:tcW w:w="887" w:type="dxa"/>
            <w:shd w:val="clear" w:color="auto" w:fill="A6A6A6"/>
          </w:tcPr>
          <w:p>
            <w:pPr>
              <w:spacing w:before="20" w:after="20"/>
              <w:jc w:val="right"/>
              <w:rPr>
                <w:rFonts w:eastAsia="Calibri"/>
                <w:b/>
                <w:noProof/>
                <w:sz w:val="20"/>
              </w:rPr>
            </w:pPr>
          </w:p>
        </w:tc>
        <w:tc>
          <w:tcPr>
            <w:tcW w:w="1291" w:type="dxa"/>
            <w:vAlign w:val="center"/>
          </w:tcPr>
          <w:p>
            <w:pPr>
              <w:spacing w:before="20" w:after="20"/>
              <w:jc w:val="right"/>
              <w:rPr>
                <w:rFonts w:eastAsia="Calibri"/>
                <w:b/>
                <w:noProof/>
                <w:sz w:val="20"/>
              </w:rPr>
            </w:pPr>
          </w:p>
        </w:tc>
      </w:tr>
      <w:tr>
        <w:trPr>
          <w:trHeight w:val="351"/>
          <w:jc w:val="center"/>
        </w:trPr>
        <w:tc>
          <w:tcPr>
            <w:tcW w:w="6245" w:type="dxa"/>
            <w:gridSpan w:val="2"/>
            <w:vAlign w:val="center"/>
          </w:tcPr>
          <w:p>
            <w:pPr>
              <w:spacing w:before="20" w:after="20"/>
              <w:rPr>
                <w:rFonts w:eastAsia="Calibri"/>
                <w:noProof/>
              </w:rPr>
            </w:pPr>
          </w:p>
        </w:tc>
        <w:tc>
          <w:tcPr>
            <w:tcW w:w="868" w:type="dxa"/>
            <w:vAlign w:val="center"/>
          </w:tcPr>
          <w:p>
            <w:pPr>
              <w:spacing w:before="20" w:after="20"/>
              <w:jc w:val="right"/>
              <w:rPr>
                <w:rFonts w:eastAsia="Calibri"/>
                <w:noProof/>
                <w:sz w:val="20"/>
              </w:rPr>
            </w:pPr>
          </w:p>
        </w:tc>
        <w:tc>
          <w:tcPr>
            <w:tcW w:w="790" w:type="dxa"/>
            <w:vAlign w:val="center"/>
          </w:tcPr>
          <w:p>
            <w:pPr>
              <w:spacing w:before="20" w:after="20"/>
              <w:jc w:val="center"/>
              <w:rPr>
                <w:rFonts w:eastAsia="Calibri"/>
                <w:noProof/>
                <w:sz w:val="20"/>
              </w:rPr>
            </w:pPr>
          </w:p>
        </w:tc>
        <w:tc>
          <w:tcPr>
            <w:tcW w:w="946" w:type="dxa"/>
            <w:vAlign w:val="center"/>
          </w:tcPr>
          <w:p>
            <w:pPr>
              <w:spacing w:before="20" w:after="20"/>
              <w:jc w:val="center"/>
              <w:rPr>
                <w:rFonts w:eastAsia="Calibri"/>
                <w:noProof/>
                <w:sz w:val="20"/>
              </w:rPr>
            </w:pPr>
          </w:p>
        </w:tc>
        <w:tc>
          <w:tcPr>
            <w:tcW w:w="868" w:type="dxa"/>
            <w:vAlign w:val="center"/>
          </w:tcPr>
          <w:p>
            <w:pPr>
              <w:spacing w:before="20" w:after="20"/>
              <w:jc w:val="center"/>
              <w:rPr>
                <w:rFonts w:eastAsia="Calibri"/>
                <w:noProof/>
                <w:sz w:val="20"/>
              </w:rPr>
            </w:pPr>
          </w:p>
        </w:tc>
        <w:tc>
          <w:tcPr>
            <w:tcW w:w="868" w:type="dxa"/>
            <w:vAlign w:val="center"/>
          </w:tcPr>
          <w:p>
            <w:pPr>
              <w:spacing w:before="20" w:after="20"/>
              <w:jc w:val="center"/>
              <w:rPr>
                <w:rFonts w:eastAsia="Calibri"/>
                <w:noProof/>
                <w:sz w:val="20"/>
              </w:rPr>
            </w:pPr>
          </w:p>
        </w:tc>
        <w:tc>
          <w:tcPr>
            <w:tcW w:w="868" w:type="dxa"/>
            <w:vAlign w:val="center"/>
          </w:tcPr>
          <w:p>
            <w:pPr>
              <w:spacing w:before="20" w:after="20"/>
              <w:jc w:val="center"/>
              <w:rPr>
                <w:rFonts w:eastAsia="Calibri"/>
                <w:noProof/>
                <w:sz w:val="20"/>
              </w:rPr>
            </w:pPr>
          </w:p>
        </w:tc>
        <w:tc>
          <w:tcPr>
            <w:tcW w:w="868" w:type="dxa"/>
            <w:vAlign w:val="center"/>
          </w:tcPr>
          <w:p>
            <w:pPr>
              <w:spacing w:before="20" w:after="20"/>
              <w:jc w:val="center"/>
              <w:rPr>
                <w:rFonts w:eastAsia="Calibri"/>
                <w:noProof/>
                <w:sz w:val="20"/>
              </w:rPr>
            </w:pPr>
          </w:p>
        </w:tc>
        <w:tc>
          <w:tcPr>
            <w:tcW w:w="887" w:type="dxa"/>
            <w:shd w:val="clear" w:color="auto" w:fill="A6A6A6"/>
          </w:tcPr>
          <w:p>
            <w:pPr>
              <w:spacing w:before="20" w:after="20"/>
              <w:jc w:val="right"/>
              <w:rPr>
                <w:rFonts w:eastAsia="Calibri"/>
                <w:b/>
                <w:noProof/>
                <w:sz w:val="20"/>
              </w:rPr>
            </w:pPr>
          </w:p>
        </w:tc>
        <w:tc>
          <w:tcPr>
            <w:tcW w:w="1291" w:type="dxa"/>
            <w:vAlign w:val="center"/>
          </w:tcPr>
          <w:p>
            <w:pPr>
              <w:spacing w:before="20" w:after="20"/>
              <w:jc w:val="right"/>
              <w:rPr>
                <w:rFonts w:eastAsia="Calibri"/>
                <w:b/>
                <w:noProof/>
                <w:sz w:val="20"/>
              </w:rPr>
            </w:pPr>
          </w:p>
        </w:tc>
      </w:tr>
      <w:tr>
        <w:trPr>
          <w:trHeight w:val="351"/>
          <w:jc w:val="center"/>
        </w:trPr>
        <w:tc>
          <w:tcPr>
            <w:tcW w:w="4199" w:type="dxa"/>
            <w:vAlign w:val="center"/>
          </w:tcPr>
          <w:p>
            <w:pPr>
              <w:spacing w:before="20" w:after="20"/>
              <w:jc w:val="left"/>
              <w:rPr>
                <w:rFonts w:eastAsia="Calibri"/>
                <w:b/>
                <w:noProof/>
              </w:rPr>
            </w:pPr>
            <w:r>
              <w:rPr>
                <w:b/>
                <w:noProof/>
                <w:sz w:val="22"/>
              </w:rPr>
              <w:t>Prostředky z OKRUHU 7 víceletého finančního rámce pro EIT CELKEM</w:t>
            </w:r>
          </w:p>
        </w:tc>
        <w:tc>
          <w:tcPr>
            <w:tcW w:w="2046" w:type="dxa"/>
            <w:vAlign w:val="center"/>
          </w:tcPr>
          <w:p>
            <w:pPr>
              <w:spacing w:before="20" w:after="20"/>
              <w:rPr>
                <w:rFonts w:eastAsia="Calibri"/>
                <w:noProof/>
              </w:rPr>
            </w:pPr>
            <w:r>
              <w:rPr>
                <w:noProof/>
                <w:sz w:val="18"/>
              </w:rPr>
              <w:t>(Závazky celkem = platby celkem)</w:t>
            </w:r>
          </w:p>
        </w:tc>
        <w:tc>
          <w:tcPr>
            <w:tcW w:w="868" w:type="dxa"/>
            <w:vAlign w:val="center"/>
          </w:tcPr>
          <w:p>
            <w:pPr>
              <w:spacing w:before="20" w:after="20"/>
              <w:jc w:val="right"/>
              <w:rPr>
                <w:rFonts w:eastAsia="Calibri"/>
                <w:noProof/>
                <w:sz w:val="20"/>
              </w:rPr>
            </w:pPr>
          </w:p>
        </w:tc>
        <w:tc>
          <w:tcPr>
            <w:tcW w:w="790" w:type="dxa"/>
          </w:tcPr>
          <w:p>
            <w:pPr>
              <w:spacing w:before="20" w:after="20"/>
              <w:jc w:val="center"/>
              <w:rPr>
                <w:rFonts w:eastAsia="Calibri"/>
                <w:noProof/>
                <w:sz w:val="20"/>
              </w:rPr>
            </w:pPr>
          </w:p>
        </w:tc>
        <w:tc>
          <w:tcPr>
            <w:tcW w:w="946" w:type="dxa"/>
          </w:tcPr>
          <w:p>
            <w:pPr>
              <w:spacing w:before="20" w:after="20"/>
              <w:jc w:val="center"/>
              <w:rPr>
                <w:rFonts w:eastAsia="Calibri"/>
                <w:noProof/>
                <w:sz w:val="20"/>
              </w:rPr>
            </w:pPr>
          </w:p>
        </w:tc>
        <w:tc>
          <w:tcPr>
            <w:tcW w:w="868" w:type="dxa"/>
          </w:tcPr>
          <w:p>
            <w:pPr>
              <w:spacing w:before="20" w:after="20"/>
              <w:jc w:val="center"/>
              <w:rPr>
                <w:rFonts w:eastAsia="Calibri"/>
                <w:noProof/>
                <w:sz w:val="20"/>
              </w:rPr>
            </w:pPr>
          </w:p>
        </w:tc>
        <w:tc>
          <w:tcPr>
            <w:tcW w:w="868" w:type="dxa"/>
          </w:tcPr>
          <w:p>
            <w:pPr>
              <w:spacing w:before="20" w:after="20"/>
              <w:jc w:val="center"/>
              <w:rPr>
                <w:rFonts w:eastAsia="Calibri"/>
                <w:noProof/>
                <w:sz w:val="20"/>
              </w:rPr>
            </w:pPr>
          </w:p>
        </w:tc>
        <w:tc>
          <w:tcPr>
            <w:tcW w:w="868" w:type="dxa"/>
          </w:tcPr>
          <w:p>
            <w:pPr>
              <w:spacing w:before="20" w:after="20"/>
              <w:jc w:val="center"/>
              <w:rPr>
                <w:rFonts w:eastAsia="Calibri"/>
                <w:noProof/>
                <w:sz w:val="20"/>
              </w:rPr>
            </w:pPr>
          </w:p>
        </w:tc>
        <w:tc>
          <w:tcPr>
            <w:tcW w:w="868" w:type="dxa"/>
          </w:tcPr>
          <w:p>
            <w:pPr>
              <w:spacing w:before="20" w:after="20"/>
              <w:jc w:val="center"/>
              <w:rPr>
                <w:rFonts w:eastAsia="Calibri"/>
                <w:noProof/>
                <w:sz w:val="20"/>
              </w:rPr>
            </w:pPr>
          </w:p>
        </w:tc>
        <w:tc>
          <w:tcPr>
            <w:tcW w:w="887" w:type="dxa"/>
            <w:shd w:val="clear" w:color="auto" w:fill="A6A6A6"/>
          </w:tcPr>
          <w:p>
            <w:pPr>
              <w:spacing w:before="20" w:after="20"/>
              <w:jc w:val="right"/>
              <w:rPr>
                <w:rFonts w:eastAsia="Calibri"/>
                <w:b/>
                <w:noProof/>
                <w:sz w:val="20"/>
              </w:rPr>
            </w:pPr>
          </w:p>
        </w:tc>
        <w:tc>
          <w:tcPr>
            <w:tcW w:w="1291" w:type="dxa"/>
            <w:vAlign w:val="center"/>
          </w:tcPr>
          <w:p>
            <w:pPr>
              <w:spacing w:before="20" w:after="20"/>
              <w:jc w:val="right"/>
              <w:rPr>
                <w:rFonts w:eastAsia="Calibri"/>
                <w:b/>
                <w:noProof/>
                <w:sz w:val="20"/>
              </w:rPr>
            </w:pPr>
          </w:p>
        </w:tc>
      </w:tr>
    </w:tbl>
    <w:p>
      <w:pPr>
        <w:jc w:val="right"/>
        <w:rPr>
          <w:rFonts w:eastAsia="Calibri"/>
          <w:noProof/>
          <w:sz w:val="20"/>
        </w:rPr>
      </w:pPr>
      <w:r>
        <w:rPr>
          <w:noProof/>
          <w:sz w:val="20"/>
        </w:rPr>
        <w:t>v milionech EUR (zaokrouhleno na tři desetinná místa)</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trPr>
          <w:jc w:val="center"/>
        </w:trPr>
        <w:tc>
          <w:tcPr>
            <w:tcW w:w="4173" w:type="dxa"/>
            <w:tcBorders>
              <w:top w:val="nil"/>
              <w:left w:val="nil"/>
              <w:right w:val="nil"/>
            </w:tcBorders>
            <w:vAlign w:val="center"/>
          </w:tcPr>
          <w:p>
            <w:pPr>
              <w:jc w:val="center"/>
              <w:rPr>
                <w:rFonts w:eastAsia="Calibri"/>
                <w:noProof/>
              </w:rPr>
            </w:pPr>
          </w:p>
        </w:tc>
        <w:tc>
          <w:tcPr>
            <w:tcW w:w="1560" w:type="dxa"/>
            <w:tcBorders>
              <w:top w:val="nil"/>
              <w:left w:val="nil"/>
              <w:right w:val="nil"/>
            </w:tcBorders>
          </w:tcPr>
          <w:p>
            <w:pPr>
              <w:rPr>
                <w:rFonts w:eastAsia="Calibri"/>
                <w:noProof/>
                <w:sz w:val="20"/>
              </w:rPr>
            </w:pPr>
          </w:p>
        </w:tc>
        <w:tc>
          <w:tcPr>
            <w:tcW w:w="534" w:type="dxa"/>
            <w:tcBorders>
              <w:top w:val="nil"/>
              <w:left w:val="nil"/>
            </w:tcBorders>
          </w:tcPr>
          <w:p>
            <w:pPr>
              <w:jc w:val="center"/>
              <w:rPr>
                <w:rFonts w:eastAsia="Calibri"/>
                <w:noProof/>
                <w:sz w:val="20"/>
              </w:rPr>
            </w:pPr>
          </w:p>
        </w:tc>
        <w:tc>
          <w:tcPr>
            <w:tcW w:w="868" w:type="dxa"/>
            <w:vAlign w:val="center"/>
          </w:tcPr>
          <w:p>
            <w:pPr>
              <w:jc w:val="center"/>
              <w:rPr>
                <w:rFonts w:eastAsia="Calibri"/>
                <w:noProof/>
                <w:sz w:val="20"/>
              </w:rPr>
            </w:pPr>
            <w:r>
              <w:rPr>
                <w:b/>
                <w:noProof/>
                <w:sz w:val="20"/>
              </w:rPr>
              <w:t>2021</w:t>
            </w:r>
          </w:p>
        </w:tc>
        <w:tc>
          <w:tcPr>
            <w:tcW w:w="868" w:type="dxa"/>
            <w:vAlign w:val="center"/>
          </w:tcPr>
          <w:p>
            <w:pPr>
              <w:jc w:val="center"/>
              <w:rPr>
                <w:rFonts w:eastAsia="Calibri"/>
                <w:noProof/>
                <w:sz w:val="20"/>
              </w:rPr>
            </w:pPr>
            <w:r>
              <w:rPr>
                <w:b/>
                <w:noProof/>
                <w:sz w:val="20"/>
              </w:rPr>
              <w:t>2022</w:t>
            </w:r>
          </w:p>
        </w:tc>
        <w:tc>
          <w:tcPr>
            <w:tcW w:w="868" w:type="dxa"/>
            <w:vAlign w:val="center"/>
          </w:tcPr>
          <w:p>
            <w:pPr>
              <w:jc w:val="center"/>
              <w:rPr>
                <w:rFonts w:eastAsia="Calibri"/>
                <w:noProof/>
                <w:sz w:val="20"/>
              </w:rPr>
            </w:pPr>
            <w:r>
              <w:rPr>
                <w:b/>
                <w:noProof/>
                <w:sz w:val="20"/>
              </w:rPr>
              <w:t>2023</w:t>
            </w:r>
          </w:p>
        </w:tc>
        <w:tc>
          <w:tcPr>
            <w:tcW w:w="868" w:type="dxa"/>
            <w:vAlign w:val="center"/>
          </w:tcPr>
          <w:p>
            <w:pPr>
              <w:jc w:val="center"/>
              <w:rPr>
                <w:rFonts w:eastAsia="Calibri"/>
                <w:noProof/>
                <w:sz w:val="20"/>
              </w:rPr>
            </w:pPr>
            <w:r>
              <w:rPr>
                <w:b/>
                <w:noProof/>
                <w:sz w:val="20"/>
              </w:rPr>
              <w:t>2024</w:t>
            </w:r>
          </w:p>
        </w:tc>
        <w:tc>
          <w:tcPr>
            <w:tcW w:w="868" w:type="dxa"/>
            <w:vAlign w:val="center"/>
          </w:tcPr>
          <w:p>
            <w:pPr>
              <w:jc w:val="center"/>
              <w:rPr>
                <w:rFonts w:eastAsia="Calibri"/>
                <w:b/>
                <w:noProof/>
                <w:sz w:val="18"/>
              </w:rPr>
            </w:pPr>
            <w:r>
              <w:rPr>
                <w:b/>
                <w:noProof/>
                <w:sz w:val="18"/>
              </w:rPr>
              <w:t>2025</w:t>
            </w:r>
          </w:p>
        </w:tc>
        <w:tc>
          <w:tcPr>
            <w:tcW w:w="868" w:type="dxa"/>
            <w:vAlign w:val="center"/>
          </w:tcPr>
          <w:p>
            <w:pPr>
              <w:jc w:val="center"/>
              <w:rPr>
                <w:rFonts w:eastAsia="Calibri"/>
                <w:b/>
                <w:noProof/>
                <w:sz w:val="18"/>
              </w:rPr>
            </w:pPr>
            <w:r>
              <w:rPr>
                <w:b/>
                <w:noProof/>
                <w:sz w:val="18"/>
              </w:rPr>
              <w:t>2026</w:t>
            </w:r>
          </w:p>
        </w:tc>
        <w:tc>
          <w:tcPr>
            <w:tcW w:w="868" w:type="dxa"/>
            <w:vAlign w:val="center"/>
          </w:tcPr>
          <w:p>
            <w:pPr>
              <w:jc w:val="center"/>
              <w:rPr>
                <w:rFonts w:eastAsia="Calibri"/>
                <w:b/>
                <w:noProof/>
                <w:sz w:val="18"/>
              </w:rPr>
            </w:pPr>
            <w:r>
              <w:rPr>
                <w:b/>
                <w:noProof/>
                <w:sz w:val="18"/>
              </w:rPr>
              <w:t>2027</w:t>
            </w:r>
          </w:p>
        </w:tc>
        <w:tc>
          <w:tcPr>
            <w:tcW w:w="877" w:type="dxa"/>
          </w:tcPr>
          <w:p>
            <w:pPr>
              <w:jc w:val="center"/>
              <w:rPr>
                <w:rFonts w:eastAsia="Calibri"/>
                <w:b/>
                <w:noProof/>
                <w:sz w:val="20"/>
              </w:rPr>
            </w:pPr>
            <w:r>
              <w:rPr>
                <w:b/>
                <w:i/>
                <w:noProof/>
                <w:sz w:val="20"/>
              </w:rPr>
              <w:t>Po roce 2027</w:t>
            </w:r>
          </w:p>
        </w:tc>
        <w:tc>
          <w:tcPr>
            <w:tcW w:w="1292" w:type="dxa"/>
            <w:vAlign w:val="center"/>
          </w:tcPr>
          <w:p>
            <w:pPr>
              <w:jc w:val="center"/>
              <w:rPr>
                <w:rFonts w:eastAsia="Calibri"/>
                <w:b/>
                <w:noProof/>
                <w:sz w:val="20"/>
              </w:rPr>
            </w:pPr>
            <w:r>
              <w:rPr>
                <w:b/>
                <w:noProof/>
                <w:sz w:val="20"/>
              </w:rPr>
              <w:t>CELKEM</w:t>
            </w:r>
          </w:p>
        </w:tc>
      </w:tr>
      <w:tr>
        <w:trPr>
          <w:jc w:val="center"/>
        </w:trPr>
        <w:tc>
          <w:tcPr>
            <w:tcW w:w="4173" w:type="dxa"/>
            <w:vMerge w:val="restart"/>
            <w:shd w:val="clear" w:color="auto" w:fill="C0C0C0"/>
            <w:vAlign w:val="center"/>
          </w:tcPr>
          <w:p>
            <w:pPr>
              <w:jc w:val="center"/>
              <w:rPr>
                <w:rFonts w:eastAsia="Calibri"/>
                <w:b/>
                <w:noProof/>
              </w:rPr>
            </w:pPr>
            <w:r>
              <w:rPr>
                <w:b/>
                <w:noProof/>
                <w:sz w:val="22"/>
              </w:rPr>
              <w:t>Prostředky ze všech OKRUHŮ</w:t>
            </w:r>
            <w:r>
              <w:rPr>
                <w:noProof/>
                <w:sz w:val="22"/>
              </w:rPr>
              <w:t xml:space="preserve"> víceletého finančního rámce pro EIT </w:t>
            </w:r>
            <w:r>
              <w:rPr>
                <w:b/>
                <w:noProof/>
                <w:sz w:val="22"/>
              </w:rPr>
              <w:t>CELKEM</w:t>
            </w:r>
          </w:p>
        </w:tc>
        <w:tc>
          <w:tcPr>
            <w:tcW w:w="2094" w:type="dxa"/>
            <w:gridSpan w:val="2"/>
            <w:vAlign w:val="center"/>
          </w:tcPr>
          <w:p>
            <w:pPr>
              <w:rPr>
                <w:rFonts w:eastAsia="Calibri"/>
                <w:noProof/>
                <w:sz w:val="14"/>
              </w:rPr>
            </w:pPr>
            <w:r>
              <w:rPr>
                <w:noProof/>
                <w:sz w:val="18"/>
              </w:rPr>
              <w:t>Závazky</w:t>
            </w:r>
          </w:p>
        </w:tc>
        <w:tc>
          <w:tcPr>
            <w:tcW w:w="868" w:type="dxa"/>
            <w:vAlign w:val="center"/>
          </w:tcPr>
          <w:p>
            <w:pPr>
              <w:spacing w:before="60" w:after="60"/>
              <w:jc w:val="right"/>
              <w:rPr>
                <w:rFonts w:eastAsia="Calibri"/>
                <w:noProof/>
                <w:sz w:val="20"/>
              </w:rPr>
            </w:pPr>
            <w:r>
              <w:rPr>
                <w:b/>
                <w:noProof/>
                <w:sz w:val="18"/>
              </w:rPr>
              <w:t>403,226</w:t>
            </w:r>
          </w:p>
        </w:tc>
        <w:tc>
          <w:tcPr>
            <w:tcW w:w="868" w:type="dxa"/>
            <w:vAlign w:val="center"/>
          </w:tcPr>
          <w:p>
            <w:pPr>
              <w:spacing w:before="60" w:after="60"/>
              <w:jc w:val="right"/>
              <w:rPr>
                <w:rFonts w:eastAsia="Calibri"/>
                <w:noProof/>
                <w:sz w:val="20"/>
              </w:rPr>
            </w:pPr>
            <w:r>
              <w:rPr>
                <w:b/>
                <w:noProof/>
                <w:sz w:val="18"/>
              </w:rPr>
              <w:t>411,398</w:t>
            </w:r>
          </w:p>
        </w:tc>
        <w:tc>
          <w:tcPr>
            <w:tcW w:w="868" w:type="dxa"/>
            <w:vAlign w:val="center"/>
          </w:tcPr>
          <w:p>
            <w:pPr>
              <w:spacing w:before="60" w:after="60"/>
              <w:jc w:val="right"/>
              <w:rPr>
                <w:rFonts w:eastAsia="Calibri"/>
                <w:noProof/>
                <w:sz w:val="20"/>
              </w:rPr>
            </w:pPr>
            <w:r>
              <w:rPr>
                <w:b/>
                <w:noProof/>
                <w:sz w:val="18"/>
              </w:rPr>
              <w:t>419,711</w:t>
            </w:r>
          </w:p>
        </w:tc>
        <w:tc>
          <w:tcPr>
            <w:tcW w:w="868" w:type="dxa"/>
            <w:vAlign w:val="center"/>
          </w:tcPr>
          <w:p>
            <w:pPr>
              <w:spacing w:before="60" w:after="60"/>
              <w:jc w:val="right"/>
              <w:rPr>
                <w:rFonts w:eastAsia="Calibri"/>
                <w:noProof/>
                <w:sz w:val="20"/>
              </w:rPr>
            </w:pPr>
            <w:r>
              <w:rPr>
                <w:b/>
                <w:noProof/>
                <w:sz w:val="18"/>
              </w:rPr>
              <w:t>428,204</w:t>
            </w:r>
          </w:p>
        </w:tc>
        <w:tc>
          <w:tcPr>
            <w:tcW w:w="868" w:type="dxa"/>
            <w:vAlign w:val="center"/>
          </w:tcPr>
          <w:p>
            <w:pPr>
              <w:spacing w:before="60" w:after="60"/>
              <w:jc w:val="right"/>
              <w:rPr>
                <w:rFonts w:eastAsia="Calibri"/>
                <w:noProof/>
                <w:sz w:val="20"/>
              </w:rPr>
            </w:pPr>
            <w:r>
              <w:rPr>
                <w:b/>
                <w:noProof/>
                <w:sz w:val="18"/>
              </w:rPr>
              <w:t>436,948</w:t>
            </w:r>
          </w:p>
        </w:tc>
        <w:tc>
          <w:tcPr>
            <w:tcW w:w="868" w:type="dxa"/>
            <w:vAlign w:val="center"/>
          </w:tcPr>
          <w:p>
            <w:pPr>
              <w:spacing w:before="60" w:after="60"/>
              <w:jc w:val="right"/>
              <w:rPr>
                <w:rFonts w:eastAsia="Calibri"/>
                <w:noProof/>
                <w:sz w:val="20"/>
              </w:rPr>
            </w:pPr>
            <w:r>
              <w:rPr>
                <w:b/>
                <w:noProof/>
                <w:sz w:val="18"/>
              </w:rPr>
              <w:t>445,724</w:t>
            </w:r>
          </w:p>
        </w:tc>
        <w:tc>
          <w:tcPr>
            <w:tcW w:w="868" w:type="dxa"/>
            <w:vAlign w:val="center"/>
          </w:tcPr>
          <w:p>
            <w:pPr>
              <w:spacing w:before="60" w:after="60"/>
              <w:jc w:val="right"/>
              <w:rPr>
                <w:rFonts w:eastAsia="Calibri"/>
                <w:noProof/>
                <w:sz w:val="20"/>
              </w:rPr>
            </w:pPr>
            <w:r>
              <w:rPr>
                <w:b/>
                <w:noProof/>
                <w:sz w:val="18"/>
              </w:rPr>
              <w:t>454,789</w:t>
            </w:r>
          </w:p>
        </w:tc>
        <w:tc>
          <w:tcPr>
            <w:tcW w:w="877" w:type="dxa"/>
            <w:shd w:val="clear" w:color="auto" w:fill="A6A6A6"/>
          </w:tcPr>
          <w:p>
            <w:pPr>
              <w:spacing w:before="60" w:after="60"/>
              <w:jc w:val="right"/>
              <w:rPr>
                <w:rFonts w:eastAsia="Calibri"/>
                <w:noProof/>
                <w:sz w:val="20"/>
              </w:rPr>
            </w:pPr>
          </w:p>
        </w:tc>
        <w:tc>
          <w:tcPr>
            <w:tcW w:w="1292" w:type="dxa"/>
            <w:vAlign w:val="center"/>
          </w:tcPr>
          <w:p>
            <w:pPr>
              <w:spacing w:before="60" w:after="60"/>
              <w:jc w:val="right"/>
              <w:rPr>
                <w:rFonts w:eastAsia="Calibri"/>
                <w:b/>
                <w:noProof/>
                <w:sz w:val="20"/>
              </w:rPr>
            </w:pPr>
            <w:r>
              <w:rPr>
                <w:b/>
                <w:noProof/>
                <w:sz w:val="18"/>
              </w:rPr>
              <w:t>3 000,000</w:t>
            </w:r>
          </w:p>
        </w:tc>
      </w:tr>
      <w:tr>
        <w:trPr>
          <w:jc w:val="center"/>
        </w:trPr>
        <w:tc>
          <w:tcPr>
            <w:tcW w:w="4173" w:type="dxa"/>
            <w:vMerge/>
            <w:shd w:val="clear" w:color="auto" w:fill="C0C0C0"/>
          </w:tcPr>
          <w:p>
            <w:pPr>
              <w:rPr>
                <w:rFonts w:eastAsia="Calibri"/>
                <w:noProof/>
                <w:sz w:val="20"/>
              </w:rPr>
            </w:pPr>
          </w:p>
        </w:tc>
        <w:tc>
          <w:tcPr>
            <w:tcW w:w="2094" w:type="dxa"/>
            <w:gridSpan w:val="2"/>
            <w:vAlign w:val="center"/>
          </w:tcPr>
          <w:p>
            <w:pPr>
              <w:rPr>
                <w:rFonts w:eastAsia="Calibri"/>
                <w:noProof/>
                <w:sz w:val="14"/>
              </w:rPr>
            </w:pPr>
            <w:r>
              <w:rPr>
                <w:noProof/>
                <w:sz w:val="18"/>
              </w:rPr>
              <w:t>Platby</w:t>
            </w:r>
          </w:p>
        </w:tc>
        <w:tc>
          <w:tcPr>
            <w:tcW w:w="868" w:type="dxa"/>
            <w:vAlign w:val="center"/>
          </w:tcPr>
          <w:p>
            <w:pPr>
              <w:spacing w:before="60" w:after="60"/>
              <w:jc w:val="right"/>
              <w:rPr>
                <w:rFonts w:eastAsia="Calibri"/>
                <w:b/>
                <w:noProof/>
                <w:sz w:val="18"/>
              </w:rPr>
            </w:pPr>
            <w:r>
              <w:rPr>
                <w:b/>
                <w:noProof/>
                <w:sz w:val="18"/>
              </w:rPr>
              <w:t>287,299</w:t>
            </w:r>
          </w:p>
        </w:tc>
        <w:tc>
          <w:tcPr>
            <w:tcW w:w="868" w:type="dxa"/>
            <w:vAlign w:val="center"/>
          </w:tcPr>
          <w:p>
            <w:pPr>
              <w:spacing w:before="60" w:after="60"/>
              <w:jc w:val="right"/>
              <w:rPr>
                <w:rFonts w:eastAsia="Calibri"/>
                <w:b/>
                <w:noProof/>
                <w:sz w:val="18"/>
              </w:rPr>
            </w:pPr>
            <w:r>
              <w:rPr>
                <w:b/>
                <w:noProof/>
                <w:sz w:val="18"/>
              </w:rPr>
              <w:t>409,068</w:t>
            </w:r>
          </w:p>
        </w:tc>
        <w:tc>
          <w:tcPr>
            <w:tcW w:w="868" w:type="dxa"/>
            <w:vAlign w:val="center"/>
          </w:tcPr>
          <w:p>
            <w:pPr>
              <w:spacing w:before="60" w:after="60"/>
              <w:jc w:val="right"/>
              <w:rPr>
                <w:rFonts w:eastAsia="Calibri"/>
                <w:b/>
                <w:noProof/>
                <w:sz w:val="18"/>
              </w:rPr>
            </w:pPr>
            <w:r>
              <w:rPr>
                <w:b/>
                <w:noProof/>
                <w:sz w:val="18"/>
              </w:rPr>
              <w:t>417,342</w:t>
            </w:r>
          </w:p>
        </w:tc>
        <w:tc>
          <w:tcPr>
            <w:tcW w:w="868" w:type="dxa"/>
            <w:vAlign w:val="center"/>
          </w:tcPr>
          <w:p>
            <w:pPr>
              <w:spacing w:before="60" w:after="60"/>
              <w:jc w:val="right"/>
              <w:rPr>
                <w:rFonts w:eastAsia="Calibri"/>
                <w:b/>
                <w:noProof/>
                <w:sz w:val="18"/>
              </w:rPr>
            </w:pPr>
            <w:r>
              <w:rPr>
                <w:b/>
                <w:noProof/>
                <w:sz w:val="18"/>
              </w:rPr>
              <w:t>425,784</w:t>
            </w:r>
          </w:p>
        </w:tc>
        <w:tc>
          <w:tcPr>
            <w:tcW w:w="868" w:type="dxa"/>
            <w:vAlign w:val="center"/>
          </w:tcPr>
          <w:p>
            <w:pPr>
              <w:spacing w:before="60" w:after="60"/>
              <w:jc w:val="right"/>
              <w:rPr>
                <w:rFonts w:eastAsia="Calibri"/>
                <w:b/>
                <w:noProof/>
                <w:sz w:val="18"/>
              </w:rPr>
            </w:pPr>
            <w:r>
              <w:rPr>
                <w:b/>
                <w:noProof/>
                <w:sz w:val="18"/>
              </w:rPr>
              <w:t>434,456</w:t>
            </w:r>
          </w:p>
        </w:tc>
        <w:tc>
          <w:tcPr>
            <w:tcW w:w="868" w:type="dxa"/>
            <w:vAlign w:val="center"/>
          </w:tcPr>
          <w:p>
            <w:pPr>
              <w:spacing w:before="60" w:after="60"/>
              <w:jc w:val="right"/>
              <w:rPr>
                <w:rFonts w:eastAsia="Calibri"/>
                <w:b/>
                <w:noProof/>
                <w:sz w:val="18"/>
              </w:rPr>
            </w:pPr>
            <w:r>
              <w:rPr>
                <w:b/>
                <w:noProof/>
                <w:sz w:val="18"/>
              </w:rPr>
              <w:t>443,225</w:t>
            </w:r>
          </w:p>
        </w:tc>
        <w:tc>
          <w:tcPr>
            <w:tcW w:w="868" w:type="dxa"/>
            <w:vAlign w:val="center"/>
          </w:tcPr>
          <w:p>
            <w:pPr>
              <w:spacing w:before="60" w:after="60"/>
              <w:jc w:val="right"/>
              <w:rPr>
                <w:rFonts w:eastAsia="Calibri"/>
                <w:b/>
                <w:noProof/>
                <w:sz w:val="18"/>
              </w:rPr>
            </w:pPr>
            <w:r>
              <w:rPr>
                <w:b/>
                <w:noProof/>
                <w:sz w:val="18"/>
              </w:rPr>
              <w:t>452,208</w:t>
            </w:r>
          </w:p>
        </w:tc>
        <w:tc>
          <w:tcPr>
            <w:tcW w:w="877" w:type="dxa"/>
          </w:tcPr>
          <w:p>
            <w:pPr>
              <w:spacing w:before="60" w:after="60"/>
              <w:rPr>
                <w:rFonts w:eastAsia="Calibri"/>
                <w:b/>
                <w:noProof/>
                <w:sz w:val="18"/>
              </w:rPr>
            </w:pPr>
            <w:r>
              <w:rPr>
                <w:b/>
                <w:noProof/>
                <w:sz w:val="18"/>
              </w:rPr>
              <w:t>130,618</w:t>
            </w:r>
          </w:p>
        </w:tc>
        <w:tc>
          <w:tcPr>
            <w:tcW w:w="1292" w:type="dxa"/>
            <w:vAlign w:val="center"/>
          </w:tcPr>
          <w:p>
            <w:pPr>
              <w:spacing w:before="60" w:after="60"/>
              <w:jc w:val="center"/>
              <w:rPr>
                <w:rFonts w:eastAsia="Calibri"/>
                <w:b/>
                <w:noProof/>
                <w:sz w:val="18"/>
              </w:rPr>
            </w:pPr>
            <w:r>
              <w:rPr>
                <w:b/>
                <w:noProof/>
                <w:sz w:val="18"/>
              </w:rPr>
              <w:t>3 000,000</w:t>
            </w:r>
          </w:p>
        </w:tc>
      </w:tr>
    </w:tbl>
    <w:p>
      <w:pPr>
        <w:rPr>
          <w:rFonts w:eastAsia="Calibri"/>
          <w:noProof/>
        </w:rPr>
        <w:sectPr>
          <w:headerReference w:type="default" r:id="rId19"/>
          <w:footerReference w:type="default" r:id="rId20"/>
          <w:headerReference w:type="first" r:id="rId21"/>
          <w:footerReference w:type="first" r:id="rId22"/>
          <w:pgSz w:w="16840" w:h="11907" w:orient="landscape" w:code="9"/>
          <w:pgMar w:top="1134" w:right="1418" w:bottom="1134" w:left="1418" w:header="709" w:footer="709" w:gutter="0"/>
          <w:cols w:space="708"/>
          <w:docGrid w:linePitch="360"/>
        </w:sectPr>
      </w:pPr>
    </w:p>
    <w:p>
      <w:pPr>
        <w:keepNext/>
        <w:tabs>
          <w:tab w:val="left" w:pos="850"/>
        </w:tabs>
        <w:ind w:left="850" w:hanging="850"/>
        <w:outlineLvl w:val="2"/>
        <w:rPr>
          <w:rFonts w:eastAsia="Calibri"/>
          <w:i/>
          <w:noProof/>
        </w:rPr>
      </w:pPr>
      <w:r>
        <w:rPr>
          <w:i/>
          <w:noProof/>
        </w:rPr>
        <w:t>3.2.2.</w:t>
      </w:r>
      <w:r>
        <w:rPr>
          <w:i/>
          <w:noProof/>
        </w:rPr>
        <w:tab/>
        <w:t>Odhadovaný souhrnný dopad na prostředky správní povahy</w:t>
      </w:r>
    </w:p>
    <w:p>
      <w:pPr>
        <w:tabs>
          <w:tab w:val="num" w:pos="1134"/>
        </w:tabs>
        <w:ind w:left="1134" w:hanging="283"/>
        <w:rPr>
          <w:rFonts w:eastAsia="Calibri"/>
          <w:noProof/>
        </w:rPr>
      </w:pPr>
      <w:r>
        <w:rPr>
          <w:noProof/>
        </w:rPr>
        <w:sym w:font="Wingdings" w:char="F0A8"/>
      </w:r>
      <w:r>
        <w:rPr>
          <w:noProof/>
        </w:rPr>
        <w:tab/>
        <w:t xml:space="preserve">Návrh/podnět nevyžaduje využití prostředků správní povahy. </w:t>
      </w:r>
    </w:p>
    <w:p>
      <w:pPr>
        <w:tabs>
          <w:tab w:val="num" w:pos="1134"/>
        </w:tabs>
        <w:ind w:left="1134" w:hanging="283"/>
        <w:rPr>
          <w:rFonts w:eastAsia="Calibri"/>
          <w:noProof/>
        </w:rPr>
      </w:pPr>
      <w:r>
        <w:rPr>
          <w:noProof/>
        </w:rPr>
        <w:t>X</w:t>
      </w:r>
      <w:r>
        <w:rPr>
          <w:noProof/>
        </w:rPr>
        <w:tab/>
        <w:t>Návrh/podnět vyžaduje využití prostředků správní povahy, jak je vysvětleno dále:</w:t>
      </w:r>
    </w:p>
    <w:p>
      <w:pPr>
        <w:rPr>
          <w:rFonts w:eastAsia="Calibri"/>
          <w:noProof/>
          <w:sz w:val="20"/>
        </w:rPr>
      </w:pPr>
      <w:r>
        <w:rPr>
          <w:noProof/>
          <w:sz w:val="20"/>
        </w:rPr>
        <w:t>v milionech EUR (zaokrouhleno na tři desetinná místa)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rFonts w:eastAsia="Calibri"/>
                <w:b/>
                <w:noProof/>
                <w:sz w:val="16"/>
                <w:szCs w:val="16"/>
              </w:rPr>
            </w:pPr>
            <w:r>
              <w:rPr>
                <w:b/>
                <w:noProof/>
                <w:sz w:val="16"/>
                <w:szCs w:val="16"/>
              </w:rPr>
              <w:t>Roky</w:t>
            </w:r>
          </w:p>
        </w:tc>
        <w:tc>
          <w:tcPr>
            <w:tcW w:w="1080" w:type="dxa"/>
            <w:vAlign w:val="center"/>
          </w:tcPr>
          <w:p>
            <w:pPr>
              <w:spacing w:before="60" w:after="60" w:line="200" w:lineRule="exact"/>
              <w:jc w:val="center"/>
              <w:rPr>
                <w:rFonts w:eastAsia="Calibri"/>
                <w:noProof/>
                <w:sz w:val="16"/>
                <w:szCs w:val="16"/>
              </w:rPr>
            </w:pPr>
            <w:r>
              <w:rPr>
                <w:b/>
                <w:noProof/>
                <w:sz w:val="20"/>
              </w:rPr>
              <w:t>2021</w:t>
            </w:r>
          </w:p>
        </w:tc>
        <w:tc>
          <w:tcPr>
            <w:tcW w:w="1080" w:type="dxa"/>
            <w:vAlign w:val="center"/>
          </w:tcPr>
          <w:p>
            <w:pPr>
              <w:spacing w:before="60" w:after="60" w:line="200" w:lineRule="exact"/>
              <w:jc w:val="center"/>
              <w:rPr>
                <w:rFonts w:eastAsia="Calibri"/>
                <w:noProof/>
                <w:sz w:val="16"/>
                <w:szCs w:val="16"/>
              </w:rPr>
            </w:pPr>
            <w:r>
              <w:rPr>
                <w:b/>
                <w:noProof/>
                <w:sz w:val="20"/>
              </w:rPr>
              <w:t>2022</w:t>
            </w:r>
          </w:p>
        </w:tc>
        <w:tc>
          <w:tcPr>
            <w:tcW w:w="1080" w:type="dxa"/>
            <w:vAlign w:val="center"/>
          </w:tcPr>
          <w:p>
            <w:pPr>
              <w:spacing w:before="60" w:after="60" w:line="200" w:lineRule="exact"/>
              <w:jc w:val="center"/>
              <w:rPr>
                <w:rFonts w:eastAsia="Calibri"/>
                <w:noProof/>
                <w:sz w:val="16"/>
                <w:szCs w:val="16"/>
              </w:rPr>
            </w:pPr>
            <w:r>
              <w:rPr>
                <w:b/>
                <w:noProof/>
                <w:sz w:val="20"/>
              </w:rPr>
              <w:t>2023</w:t>
            </w:r>
          </w:p>
        </w:tc>
        <w:tc>
          <w:tcPr>
            <w:tcW w:w="1080" w:type="dxa"/>
            <w:vAlign w:val="center"/>
          </w:tcPr>
          <w:p>
            <w:pPr>
              <w:spacing w:before="60" w:after="60" w:line="200" w:lineRule="exact"/>
              <w:jc w:val="center"/>
              <w:rPr>
                <w:rFonts w:eastAsia="Calibri"/>
                <w:noProof/>
                <w:sz w:val="16"/>
                <w:szCs w:val="16"/>
              </w:rPr>
            </w:pPr>
            <w:r>
              <w:rPr>
                <w:b/>
                <w:noProof/>
                <w:sz w:val="20"/>
              </w:rPr>
              <w:t>2024</w:t>
            </w:r>
          </w:p>
        </w:tc>
        <w:tc>
          <w:tcPr>
            <w:tcW w:w="1080" w:type="dxa"/>
            <w:vAlign w:val="center"/>
          </w:tcPr>
          <w:p>
            <w:pPr>
              <w:spacing w:line="200" w:lineRule="exact"/>
              <w:jc w:val="center"/>
              <w:rPr>
                <w:rFonts w:eastAsia="Calibri"/>
                <w:b/>
                <w:noProof/>
                <w:sz w:val="16"/>
                <w:szCs w:val="16"/>
              </w:rPr>
            </w:pPr>
            <w:r>
              <w:rPr>
                <w:b/>
                <w:noProof/>
                <w:sz w:val="18"/>
              </w:rPr>
              <w:t>2025</w:t>
            </w:r>
          </w:p>
        </w:tc>
        <w:tc>
          <w:tcPr>
            <w:tcW w:w="1080" w:type="dxa"/>
            <w:vAlign w:val="center"/>
          </w:tcPr>
          <w:p>
            <w:pPr>
              <w:spacing w:line="200" w:lineRule="exact"/>
              <w:jc w:val="center"/>
              <w:rPr>
                <w:rFonts w:eastAsia="Calibri"/>
                <w:b/>
                <w:noProof/>
                <w:sz w:val="16"/>
                <w:szCs w:val="16"/>
              </w:rPr>
            </w:pPr>
            <w:r>
              <w:rPr>
                <w:b/>
                <w:noProof/>
                <w:sz w:val="18"/>
              </w:rPr>
              <w:t>2026</w:t>
            </w:r>
          </w:p>
        </w:tc>
        <w:tc>
          <w:tcPr>
            <w:tcW w:w="1080" w:type="dxa"/>
            <w:vAlign w:val="center"/>
          </w:tcPr>
          <w:p>
            <w:pPr>
              <w:spacing w:line="200" w:lineRule="exact"/>
              <w:jc w:val="center"/>
              <w:rPr>
                <w:rFonts w:eastAsia="Calibri"/>
                <w:b/>
                <w:noProof/>
                <w:sz w:val="16"/>
                <w:szCs w:val="16"/>
              </w:rPr>
            </w:pPr>
            <w:r>
              <w:rPr>
                <w:b/>
                <w:noProof/>
                <w:sz w:val="18"/>
              </w:rPr>
              <w:t>2027</w:t>
            </w:r>
          </w:p>
        </w:tc>
        <w:tc>
          <w:tcPr>
            <w:tcW w:w="1080" w:type="dxa"/>
            <w:vAlign w:val="center"/>
          </w:tcPr>
          <w:p>
            <w:pPr>
              <w:spacing w:before="60" w:after="60" w:line="200" w:lineRule="exact"/>
              <w:jc w:val="center"/>
              <w:rPr>
                <w:rFonts w:eastAsia="Calibri"/>
                <w:b/>
                <w:noProof/>
                <w:sz w:val="16"/>
                <w:szCs w:val="16"/>
              </w:rPr>
            </w:pPr>
            <w:r>
              <w:rPr>
                <w:b/>
                <w:noProof/>
                <w:sz w:val="16"/>
              </w:rPr>
              <w:t>CELKEM</w:t>
            </w:r>
          </w:p>
        </w:tc>
      </w:tr>
    </w:tbl>
    <w:p>
      <w:pPr>
        <w:spacing w:line="200" w:lineRule="exact"/>
        <w:rPr>
          <w:rFonts w:eastAsia="Calibri"/>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rFonts w:eastAsia="Calibri"/>
                <w:b/>
                <w:noProof/>
                <w:sz w:val="16"/>
                <w:szCs w:val="16"/>
              </w:rPr>
            </w:pPr>
            <w:r>
              <w:rPr>
                <w:b/>
                <w:noProof/>
                <w:sz w:val="16"/>
              </w:rPr>
              <w:t>OKRUH 7 víceletého finančního rámce</w:t>
            </w: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b/>
                <w:noProof/>
                <w:sz w:val="16"/>
                <w:szCs w:val="16"/>
              </w:rPr>
            </w:pPr>
          </w:p>
        </w:tc>
        <w:tc>
          <w:tcPr>
            <w:tcW w:w="1080" w:type="dxa"/>
            <w:vAlign w:val="center"/>
          </w:tcPr>
          <w:p>
            <w:pPr>
              <w:spacing w:before="60" w:after="60" w:line="200" w:lineRule="exact"/>
              <w:jc w:val="right"/>
              <w:rPr>
                <w:rFonts w:eastAsia="Calibri"/>
                <w:b/>
                <w:noProof/>
                <w:sz w:val="16"/>
                <w:szCs w:val="16"/>
              </w:rPr>
            </w:pPr>
          </w:p>
        </w:tc>
      </w:tr>
      <w:tr>
        <w:trPr>
          <w:trHeight w:val="585"/>
        </w:trPr>
        <w:tc>
          <w:tcPr>
            <w:tcW w:w="1980" w:type="dxa"/>
            <w:vAlign w:val="center"/>
          </w:tcPr>
          <w:p>
            <w:pPr>
              <w:spacing w:before="60" w:after="60" w:line="200" w:lineRule="exact"/>
              <w:ind w:left="72"/>
              <w:jc w:val="left"/>
              <w:rPr>
                <w:rFonts w:eastAsia="Calibri"/>
                <w:noProof/>
                <w:sz w:val="16"/>
                <w:szCs w:val="16"/>
              </w:rPr>
            </w:pPr>
            <w:r>
              <w:rPr>
                <w:noProof/>
                <w:sz w:val="16"/>
              </w:rPr>
              <w:t xml:space="preserve">Lidské zdroje </w:t>
            </w: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b/>
                <w:noProof/>
                <w:sz w:val="16"/>
                <w:szCs w:val="16"/>
              </w:rPr>
            </w:pPr>
          </w:p>
        </w:tc>
        <w:tc>
          <w:tcPr>
            <w:tcW w:w="1080" w:type="dxa"/>
            <w:vAlign w:val="center"/>
          </w:tcPr>
          <w:p>
            <w:pPr>
              <w:spacing w:before="60" w:after="60" w:line="200" w:lineRule="exact"/>
              <w:jc w:val="right"/>
              <w:rPr>
                <w:rFonts w:eastAsia="Calibri"/>
                <w:b/>
                <w:noProof/>
                <w:sz w:val="16"/>
                <w:szCs w:val="16"/>
              </w:rPr>
            </w:pPr>
          </w:p>
        </w:tc>
      </w:tr>
      <w:tr>
        <w:trPr>
          <w:trHeight w:val="585"/>
        </w:trPr>
        <w:tc>
          <w:tcPr>
            <w:tcW w:w="1980" w:type="dxa"/>
            <w:vAlign w:val="center"/>
          </w:tcPr>
          <w:p>
            <w:pPr>
              <w:spacing w:before="60" w:after="60" w:line="200" w:lineRule="exact"/>
              <w:ind w:left="72"/>
              <w:jc w:val="left"/>
              <w:rPr>
                <w:rFonts w:eastAsia="Calibri"/>
                <w:noProof/>
                <w:sz w:val="16"/>
                <w:szCs w:val="16"/>
              </w:rPr>
            </w:pPr>
            <w:r>
              <w:rPr>
                <w:noProof/>
                <w:sz w:val="16"/>
              </w:rPr>
              <w:t xml:space="preserve">Ostatní správní výdaje </w:t>
            </w: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b/>
                <w:noProof/>
                <w:sz w:val="16"/>
                <w:szCs w:val="16"/>
              </w:rPr>
            </w:pPr>
          </w:p>
        </w:tc>
        <w:tc>
          <w:tcPr>
            <w:tcW w:w="1080" w:type="dxa"/>
            <w:vAlign w:val="center"/>
          </w:tcPr>
          <w:p>
            <w:pPr>
              <w:spacing w:before="60" w:after="60" w:line="200" w:lineRule="exact"/>
              <w:jc w:val="right"/>
              <w:rPr>
                <w:rFonts w:eastAsia="Calibri"/>
                <w:b/>
                <w:noProof/>
                <w:sz w:val="16"/>
                <w:szCs w:val="16"/>
              </w:rPr>
            </w:pPr>
          </w:p>
        </w:tc>
      </w:tr>
      <w:tr>
        <w:trPr>
          <w:trHeight w:val="585"/>
        </w:trPr>
        <w:tc>
          <w:tcPr>
            <w:tcW w:w="1980" w:type="dxa"/>
            <w:shd w:val="clear" w:color="auto" w:fill="CCCCCC"/>
            <w:vAlign w:val="center"/>
          </w:tcPr>
          <w:p>
            <w:pPr>
              <w:spacing w:before="60" w:after="60" w:line="200" w:lineRule="exact"/>
              <w:jc w:val="center"/>
              <w:rPr>
                <w:rFonts w:eastAsia="Calibri"/>
                <w:b/>
                <w:noProof/>
                <w:sz w:val="16"/>
                <w:szCs w:val="16"/>
              </w:rPr>
            </w:pPr>
            <w:r>
              <w:rPr>
                <w:b/>
                <w:noProof/>
                <w:sz w:val="16"/>
              </w:rPr>
              <w:t xml:space="preserve">Mezisoučet za OKRUH 7 víceletého finančního rámce </w:t>
            </w: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b/>
                <w:noProof/>
                <w:sz w:val="16"/>
                <w:szCs w:val="16"/>
              </w:rPr>
            </w:pPr>
          </w:p>
        </w:tc>
        <w:tc>
          <w:tcPr>
            <w:tcW w:w="1080" w:type="dxa"/>
            <w:vAlign w:val="center"/>
          </w:tcPr>
          <w:p>
            <w:pPr>
              <w:spacing w:before="60" w:after="60" w:line="200" w:lineRule="exact"/>
              <w:jc w:val="right"/>
              <w:rPr>
                <w:rFonts w:eastAsia="Calibri"/>
                <w:b/>
                <w:noProof/>
                <w:sz w:val="16"/>
                <w:szCs w:val="16"/>
              </w:rPr>
            </w:pPr>
          </w:p>
        </w:tc>
      </w:tr>
    </w:tbl>
    <w:p>
      <w:pPr>
        <w:spacing w:line="200" w:lineRule="exact"/>
        <w:rPr>
          <w:rFonts w:eastAsia="Calibri"/>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rFonts w:eastAsia="Calibri"/>
                <w:noProof/>
                <w:sz w:val="16"/>
                <w:szCs w:val="16"/>
              </w:rPr>
            </w:pPr>
            <w:r>
              <w:rPr>
                <w:b/>
                <w:noProof/>
                <w:sz w:val="16"/>
              </w:rPr>
              <w:t xml:space="preserve">Mimo OKRUH 7 víceletého finančního rámce </w:t>
            </w:r>
          </w:p>
          <w:p>
            <w:pPr>
              <w:spacing w:before="0" w:after="0" w:line="200" w:lineRule="exact"/>
              <w:jc w:val="center"/>
              <w:rPr>
                <w:rFonts w:eastAsia="Calibri"/>
                <w:b/>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b/>
                <w:noProof/>
                <w:sz w:val="16"/>
                <w:szCs w:val="16"/>
              </w:rPr>
            </w:pPr>
          </w:p>
        </w:tc>
        <w:tc>
          <w:tcPr>
            <w:tcW w:w="1080" w:type="dxa"/>
            <w:vAlign w:val="center"/>
          </w:tcPr>
          <w:p>
            <w:pPr>
              <w:spacing w:before="60" w:after="60" w:line="200" w:lineRule="exact"/>
              <w:jc w:val="right"/>
              <w:rPr>
                <w:rFonts w:eastAsia="Calibri"/>
                <w:b/>
                <w:noProof/>
                <w:sz w:val="16"/>
                <w:szCs w:val="16"/>
              </w:rPr>
            </w:pPr>
          </w:p>
        </w:tc>
      </w:tr>
      <w:tr>
        <w:trPr>
          <w:trHeight w:val="585"/>
        </w:trPr>
        <w:tc>
          <w:tcPr>
            <w:tcW w:w="1980" w:type="dxa"/>
            <w:vAlign w:val="center"/>
          </w:tcPr>
          <w:p>
            <w:pPr>
              <w:spacing w:before="60" w:after="60" w:line="200" w:lineRule="exact"/>
              <w:ind w:left="72"/>
              <w:jc w:val="left"/>
              <w:rPr>
                <w:noProof/>
                <w:sz w:val="16"/>
              </w:rPr>
            </w:pPr>
            <w:r>
              <w:rPr>
                <w:noProof/>
                <w:sz w:val="16"/>
              </w:rPr>
              <w:t>Lidské zdroje. Položka 01.010101 Úředníci a dočasní pracovníci provádějící výzkumné a inovační programy – Horizont Evropa</w:t>
            </w:r>
          </w:p>
        </w:tc>
        <w:tc>
          <w:tcPr>
            <w:tcW w:w="1080" w:type="dxa"/>
            <w:vAlign w:val="center"/>
          </w:tcPr>
          <w:p>
            <w:pPr>
              <w:spacing w:before="60" w:after="60" w:line="200" w:lineRule="exact"/>
              <w:jc w:val="right"/>
              <w:rPr>
                <w:rFonts w:eastAsia="Calibri"/>
                <w:noProof/>
                <w:sz w:val="16"/>
                <w:szCs w:val="16"/>
              </w:rPr>
            </w:pPr>
            <w:r>
              <w:rPr>
                <w:noProof/>
                <w:sz w:val="16"/>
                <w:szCs w:val="16"/>
              </w:rPr>
              <w:t>0,527</w:t>
            </w:r>
          </w:p>
        </w:tc>
        <w:tc>
          <w:tcPr>
            <w:tcW w:w="1080" w:type="dxa"/>
            <w:vAlign w:val="center"/>
          </w:tcPr>
          <w:p>
            <w:pPr>
              <w:spacing w:before="60" w:after="60" w:line="200" w:lineRule="exact"/>
              <w:jc w:val="right"/>
              <w:rPr>
                <w:rFonts w:eastAsia="Calibri"/>
                <w:noProof/>
                <w:sz w:val="16"/>
                <w:szCs w:val="16"/>
              </w:rPr>
            </w:pPr>
            <w:r>
              <w:rPr>
                <w:noProof/>
                <w:sz w:val="16"/>
                <w:szCs w:val="16"/>
              </w:rPr>
              <w:t>0,545</w:t>
            </w:r>
          </w:p>
        </w:tc>
        <w:tc>
          <w:tcPr>
            <w:tcW w:w="1080" w:type="dxa"/>
            <w:vAlign w:val="center"/>
          </w:tcPr>
          <w:p>
            <w:pPr>
              <w:spacing w:before="60" w:after="60" w:line="200" w:lineRule="exact"/>
              <w:jc w:val="right"/>
              <w:rPr>
                <w:rFonts w:eastAsia="Calibri"/>
                <w:noProof/>
                <w:sz w:val="16"/>
                <w:szCs w:val="16"/>
              </w:rPr>
            </w:pPr>
            <w:r>
              <w:rPr>
                <w:noProof/>
                <w:sz w:val="16"/>
                <w:szCs w:val="16"/>
              </w:rPr>
              <w:t>0,565</w:t>
            </w:r>
          </w:p>
        </w:tc>
        <w:tc>
          <w:tcPr>
            <w:tcW w:w="1080" w:type="dxa"/>
            <w:vAlign w:val="center"/>
          </w:tcPr>
          <w:p>
            <w:pPr>
              <w:spacing w:before="60" w:after="60" w:line="200" w:lineRule="exact"/>
              <w:jc w:val="right"/>
              <w:rPr>
                <w:rFonts w:eastAsia="Calibri"/>
                <w:noProof/>
                <w:sz w:val="16"/>
                <w:szCs w:val="16"/>
              </w:rPr>
            </w:pPr>
            <w:r>
              <w:rPr>
                <w:noProof/>
                <w:sz w:val="16"/>
                <w:szCs w:val="16"/>
              </w:rPr>
              <w:t>0,584</w:t>
            </w:r>
          </w:p>
        </w:tc>
        <w:tc>
          <w:tcPr>
            <w:tcW w:w="1080" w:type="dxa"/>
            <w:vAlign w:val="center"/>
          </w:tcPr>
          <w:p>
            <w:pPr>
              <w:spacing w:before="60" w:after="60" w:line="200" w:lineRule="exact"/>
              <w:jc w:val="right"/>
              <w:rPr>
                <w:rFonts w:eastAsia="Calibri"/>
                <w:noProof/>
                <w:sz w:val="16"/>
                <w:szCs w:val="16"/>
              </w:rPr>
            </w:pPr>
            <w:r>
              <w:rPr>
                <w:noProof/>
                <w:sz w:val="16"/>
                <w:szCs w:val="16"/>
              </w:rPr>
              <w:t>0,605</w:t>
            </w:r>
          </w:p>
        </w:tc>
        <w:tc>
          <w:tcPr>
            <w:tcW w:w="1080" w:type="dxa"/>
            <w:vAlign w:val="center"/>
          </w:tcPr>
          <w:p>
            <w:pPr>
              <w:spacing w:before="60" w:after="60" w:line="200" w:lineRule="exact"/>
              <w:jc w:val="right"/>
              <w:rPr>
                <w:rFonts w:eastAsia="Calibri"/>
                <w:noProof/>
                <w:sz w:val="16"/>
                <w:szCs w:val="16"/>
              </w:rPr>
            </w:pPr>
            <w:r>
              <w:rPr>
                <w:noProof/>
                <w:sz w:val="16"/>
                <w:szCs w:val="16"/>
              </w:rPr>
              <w:t>0,626</w:t>
            </w:r>
          </w:p>
        </w:tc>
        <w:tc>
          <w:tcPr>
            <w:tcW w:w="1080" w:type="dxa"/>
            <w:vAlign w:val="center"/>
          </w:tcPr>
          <w:p>
            <w:pPr>
              <w:spacing w:before="60" w:after="60" w:line="200" w:lineRule="exact"/>
              <w:jc w:val="right"/>
              <w:rPr>
                <w:rFonts w:eastAsia="Calibri"/>
                <w:noProof/>
                <w:sz w:val="16"/>
                <w:szCs w:val="16"/>
              </w:rPr>
            </w:pPr>
            <w:r>
              <w:rPr>
                <w:noProof/>
                <w:sz w:val="16"/>
                <w:szCs w:val="16"/>
              </w:rPr>
              <w:t>0,648</w:t>
            </w:r>
          </w:p>
        </w:tc>
        <w:tc>
          <w:tcPr>
            <w:tcW w:w="1080" w:type="dxa"/>
            <w:vAlign w:val="center"/>
          </w:tcPr>
          <w:p>
            <w:pPr>
              <w:spacing w:before="60" w:after="60" w:line="200" w:lineRule="exact"/>
              <w:jc w:val="right"/>
              <w:rPr>
                <w:rFonts w:eastAsia="Calibri"/>
                <w:b/>
                <w:noProof/>
                <w:sz w:val="16"/>
                <w:szCs w:val="16"/>
              </w:rPr>
            </w:pPr>
            <w:r>
              <w:rPr>
                <w:b/>
                <w:noProof/>
                <w:sz w:val="20"/>
              </w:rPr>
              <w:t>4,100</w:t>
            </w:r>
          </w:p>
        </w:tc>
      </w:tr>
      <w:tr>
        <w:trPr>
          <w:trHeight w:val="585"/>
        </w:trPr>
        <w:tc>
          <w:tcPr>
            <w:tcW w:w="1980" w:type="dxa"/>
            <w:vAlign w:val="center"/>
          </w:tcPr>
          <w:p>
            <w:pPr>
              <w:spacing w:before="60" w:after="60" w:line="200" w:lineRule="exact"/>
              <w:ind w:left="72"/>
              <w:jc w:val="left"/>
              <w:rPr>
                <w:rFonts w:eastAsia="Calibri"/>
                <w:noProof/>
                <w:sz w:val="16"/>
              </w:rPr>
            </w:pPr>
            <w:r>
              <w:rPr>
                <w:noProof/>
                <w:sz w:val="16"/>
              </w:rPr>
              <w:t>Lidské zdroje. Položka 01.010102 Externí pracovníci provádějící výzkumné a inovační programy – Horizont Evropa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noProof/>
                <w:sz w:val="16"/>
                <w:szCs w:val="16"/>
              </w:rPr>
              <w:t>0,108</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noProof/>
                <w:sz w:val="16"/>
                <w:szCs w:val="16"/>
              </w:rPr>
              <w:t>0,110</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noProof/>
                <w:sz w:val="16"/>
                <w:szCs w:val="16"/>
              </w:rPr>
              <w:t>0,113</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noProof/>
                <w:sz w:val="16"/>
                <w:szCs w:val="16"/>
              </w:rPr>
              <w:t>0,115</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noProof/>
                <w:sz w:val="16"/>
                <w:szCs w:val="16"/>
              </w:rPr>
              <w:t>0,117</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noProof/>
                <w:sz w:val="16"/>
                <w:szCs w:val="16"/>
              </w:rPr>
              <w:t>0,119</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noProof/>
                <w:sz w:val="16"/>
                <w:szCs w:val="16"/>
              </w:rPr>
              <w:t>0,122</w:t>
            </w:r>
          </w:p>
        </w:tc>
        <w:tc>
          <w:tcPr>
            <w:tcW w:w="1080" w:type="dxa"/>
            <w:tcBorders>
              <w:top w:val="single" w:sz="4" w:space="0" w:color="auto"/>
              <w:left w:val="nil"/>
              <w:bottom w:val="single" w:sz="4" w:space="0" w:color="auto"/>
              <w:right w:val="single" w:sz="8" w:space="0" w:color="auto"/>
            </w:tcBorders>
            <w:shd w:val="clear" w:color="auto" w:fill="auto"/>
            <w:vAlign w:val="center"/>
          </w:tcPr>
          <w:p>
            <w:pPr>
              <w:spacing w:before="60" w:after="60" w:line="200" w:lineRule="exact"/>
              <w:jc w:val="right"/>
              <w:rPr>
                <w:rFonts w:eastAsia="Calibri"/>
                <w:b/>
                <w:noProof/>
                <w:sz w:val="16"/>
                <w:szCs w:val="16"/>
              </w:rPr>
            </w:pPr>
            <w:r>
              <w:rPr>
                <w:b/>
                <w:noProof/>
                <w:sz w:val="20"/>
              </w:rPr>
              <w:t>0,804</w:t>
            </w:r>
          </w:p>
        </w:tc>
      </w:tr>
      <w:tr>
        <w:trPr>
          <w:trHeight w:val="585"/>
        </w:trPr>
        <w:tc>
          <w:tcPr>
            <w:tcW w:w="1980" w:type="dxa"/>
            <w:vAlign w:val="center"/>
          </w:tcPr>
          <w:p>
            <w:pPr>
              <w:spacing w:before="60" w:after="60" w:line="200" w:lineRule="exact"/>
              <w:ind w:left="72"/>
              <w:jc w:val="left"/>
              <w:rPr>
                <w:rFonts w:eastAsia="Calibri"/>
                <w:noProof/>
                <w:sz w:val="16"/>
                <w:szCs w:val="16"/>
              </w:rPr>
            </w:pPr>
            <w:r>
              <w:rPr>
                <w:noProof/>
                <w:sz w:val="16"/>
              </w:rPr>
              <w:t>Položka 01.010103 Ostatní výdaje na řízení určené na výzkumné a inovační programy – Horizont Evropa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noProof/>
                <w:sz w:val="16"/>
                <w:szCs w:val="16"/>
              </w:rPr>
              <w:t>9,445</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noProof/>
                <w:sz w:val="16"/>
                <w:szCs w:val="16"/>
              </w:rPr>
              <w:t>9,629</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noProof/>
                <w:sz w:val="16"/>
                <w:szCs w:val="16"/>
              </w:rPr>
              <w:t>9,816</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noProof/>
                <w:sz w:val="16"/>
                <w:szCs w:val="16"/>
              </w:rPr>
              <w:t>10,006</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noProof/>
                <w:sz w:val="16"/>
                <w:szCs w:val="16"/>
              </w:rPr>
              <w:t>10,202</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noProof/>
                <w:sz w:val="16"/>
                <w:szCs w:val="16"/>
              </w:rPr>
              <w:t>10,398</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noProof/>
                <w:sz w:val="16"/>
                <w:szCs w:val="16"/>
              </w:rPr>
              <w:t>10,600</w:t>
            </w:r>
          </w:p>
        </w:tc>
        <w:tc>
          <w:tcPr>
            <w:tcW w:w="1080" w:type="dxa"/>
            <w:tcBorders>
              <w:top w:val="single" w:sz="4" w:space="0" w:color="auto"/>
              <w:left w:val="nil"/>
              <w:bottom w:val="single" w:sz="4" w:space="0" w:color="auto"/>
              <w:right w:val="single" w:sz="8" w:space="0" w:color="auto"/>
            </w:tcBorders>
            <w:shd w:val="clear" w:color="auto" w:fill="auto"/>
            <w:vAlign w:val="center"/>
          </w:tcPr>
          <w:p>
            <w:pPr>
              <w:spacing w:before="60" w:after="60" w:line="200" w:lineRule="exact"/>
              <w:jc w:val="right"/>
              <w:rPr>
                <w:rFonts w:eastAsia="Calibri"/>
                <w:b/>
                <w:noProof/>
                <w:sz w:val="16"/>
                <w:szCs w:val="16"/>
              </w:rPr>
            </w:pPr>
            <w:r>
              <w:rPr>
                <w:b/>
                <w:noProof/>
                <w:sz w:val="20"/>
              </w:rPr>
              <w:t>70,096</w:t>
            </w:r>
          </w:p>
        </w:tc>
      </w:tr>
      <w:tr>
        <w:trPr>
          <w:trHeight w:val="585"/>
        </w:trPr>
        <w:tc>
          <w:tcPr>
            <w:tcW w:w="1980" w:type="dxa"/>
            <w:shd w:val="clear" w:color="auto" w:fill="CCCCCC"/>
            <w:vAlign w:val="center"/>
          </w:tcPr>
          <w:p>
            <w:pPr>
              <w:spacing w:before="60" w:after="60" w:line="200" w:lineRule="exact"/>
              <w:jc w:val="center"/>
              <w:rPr>
                <w:rFonts w:eastAsia="Calibri"/>
                <w:b/>
                <w:noProof/>
                <w:sz w:val="16"/>
                <w:szCs w:val="16"/>
              </w:rPr>
            </w:pPr>
            <w:r>
              <w:rPr>
                <w:b/>
                <w:noProof/>
                <w:sz w:val="16"/>
              </w:rPr>
              <w:t xml:space="preserve">Mezisoučet mimo OKRUH 7 víceletého finančního rámce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noProof/>
                <w:sz w:val="16"/>
                <w:szCs w:val="16"/>
              </w:rPr>
              <w:t>10,081</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noProof/>
                <w:sz w:val="16"/>
                <w:szCs w:val="16"/>
              </w:rPr>
              <w:t>10,285</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noProof/>
                <w:sz w:val="16"/>
                <w:szCs w:val="16"/>
              </w:rPr>
              <w:t>10,493</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noProof/>
                <w:sz w:val="16"/>
                <w:szCs w:val="16"/>
              </w:rPr>
              <w:t>10,705</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noProof/>
                <w:sz w:val="16"/>
                <w:szCs w:val="16"/>
              </w:rPr>
              <w:t>10,924</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noProof/>
                <w:sz w:val="16"/>
                <w:szCs w:val="16"/>
              </w:rPr>
              <w:t>11,143</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noProof/>
                <w:sz w:val="16"/>
                <w:szCs w:val="16"/>
              </w:rPr>
            </w:pPr>
            <w:r>
              <w:rPr>
                <w:noProof/>
                <w:sz w:val="16"/>
                <w:szCs w:val="16"/>
              </w:rPr>
              <w:t>11,370</w:t>
            </w:r>
          </w:p>
        </w:tc>
        <w:tc>
          <w:tcPr>
            <w:tcW w:w="1080" w:type="dxa"/>
            <w:tcBorders>
              <w:top w:val="single" w:sz="4" w:space="0" w:color="auto"/>
              <w:left w:val="nil"/>
              <w:bottom w:val="single" w:sz="4" w:space="0" w:color="auto"/>
              <w:right w:val="single" w:sz="8" w:space="0" w:color="auto"/>
            </w:tcBorders>
            <w:shd w:val="clear" w:color="auto" w:fill="auto"/>
            <w:vAlign w:val="center"/>
          </w:tcPr>
          <w:p>
            <w:pPr>
              <w:spacing w:before="60" w:after="60" w:line="200" w:lineRule="exact"/>
              <w:jc w:val="right"/>
              <w:rPr>
                <w:rFonts w:eastAsia="Calibri"/>
                <w:b/>
                <w:noProof/>
                <w:sz w:val="16"/>
                <w:szCs w:val="16"/>
              </w:rPr>
            </w:pPr>
            <w:r>
              <w:rPr>
                <w:b/>
                <w:noProof/>
                <w:sz w:val="20"/>
              </w:rPr>
              <w:t>75,000</w:t>
            </w:r>
          </w:p>
        </w:tc>
      </w:tr>
    </w:tbl>
    <w:p>
      <w:pPr>
        <w:spacing w:line="200" w:lineRule="exact"/>
        <w:rPr>
          <w:rFonts w:eastAsia="Calibri"/>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rFonts w:eastAsia="Calibri"/>
                <w:noProof/>
                <w:sz w:val="16"/>
                <w:szCs w:val="16"/>
              </w:rPr>
            </w:pPr>
            <w:r>
              <w:rPr>
                <w:b/>
                <w:noProof/>
                <w:sz w:val="16"/>
              </w:rPr>
              <w:t>CELKEM</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line="200" w:lineRule="exact"/>
              <w:jc w:val="right"/>
              <w:rPr>
                <w:rFonts w:eastAsia="Calibri"/>
                <w:b/>
                <w:noProof/>
                <w:sz w:val="16"/>
                <w:szCs w:val="16"/>
              </w:rPr>
            </w:pPr>
            <w:r>
              <w:rPr>
                <w:b/>
                <w:noProof/>
                <w:color w:val="000000"/>
                <w:sz w:val="20"/>
                <w:szCs w:val="20"/>
              </w:rPr>
              <w:t>10,081</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b/>
                <w:noProof/>
                <w:sz w:val="16"/>
                <w:szCs w:val="16"/>
              </w:rPr>
            </w:pPr>
            <w:r>
              <w:rPr>
                <w:b/>
                <w:noProof/>
                <w:sz w:val="20"/>
              </w:rPr>
              <w:t>10,285</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b/>
                <w:noProof/>
                <w:sz w:val="16"/>
                <w:szCs w:val="16"/>
              </w:rPr>
            </w:pPr>
            <w:r>
              <w:rPr>
                <w:b/>
                <w:noProof/>
                <w:sz w:val="20"/>
              </w:rPr>
              <w:t>10,493</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b/>
                <w:noProof/>
                <w:sz w:val="16"/>
                <w:szCs w:val="16"/>
              </w:rPr>
            </w:pPr>
            <w:r>
              <w:rPr>
                <w:b/>
                <w:noProof/>
                <w:sz w:val="20"/>
              </w:rPr>
              <w:t>10,705</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b/>
                <w:noProof/>
                <w:sz w:val="16"/>
                <w:szCs w:val="16"/>
              </w:rPr>
            </w:pPr>
            <w:r>
              <w:rPr>
                <w:b/>
                <w:noProof/>
                <w:sz w:val="20"/>
              </w:rPr>
              <w:t>10,924</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b/>
                <w:noProof/>
                <w:sz w:val="16"/>
                <w:szCs w:val="16"/>
              </w:rPr>
            </w:pPr>
            <w:r>
              <w:rPr>
                <w:b/>
                <w:noProof/>
                <w:sz w:val="20"/>
              </w:rPr>
              <w:t>11,143</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before="60" w:after="60" w:line="200" w:lineRule="exact"/>
              <w:jc w:val="right"/>
              <w:rPr>
                <w:rFonts w:eastAsia="Calibri"/>
                <w:b/>
                <w:noProof/>
                <w:sz w:val="16"/>
                <w:szCs w:val="16"/>
              </w:rPr>
            </w:pPr>
            <w:r>
              <w:rPr>
                <w:b/>
                <w:noProof/>
                <w:sz w:val="20"/>
              </w:rPr>
              <w:t>11,370</w:t>
            </w:r>
          </w:p>
        </w:tc>
        <w:tc>
          <w:tcPr>
            <w:tcW w:w="1080" w:type="dxa"/>
            <w:tcBorders>
              <w:top w:val="single" w:sz="4" w:space="0" w:color="auto"/>
              <w:left w:val="nil"/>
              <w:bottom w:val="single" w:sz="4" w:space="0" w:color="auto"/>
              <w:right w:val="single" w:sz="8" w:space="0" w:color="auto"/>
            </w:tcBorders>
            <w:shd w:val="clear" w:color="auto" w:fill="auto"/>
            <w:vAlign w:val="center"/>
          </w:tcPr>
          <w:p>
            <w:pPr>
              <w:spacing w:before="60" w:after="60" w:line="200" w:lineRule="exact"/>
              <w:jc w:val="right"/>
              <w:rPr>
                <w:rFonts w:eastAsia="Calibri"/>
                <w:b/>
                <w:noProof/>
                <w:sz w:val="16"/>
                <w:szCs w:val="16"/>
              </w:rPr>
            </w:pPr>
            <w:r>
              <w:rPr>
                <w:b/>
                <w:noProof/>
                <w:sz w:val="20"/>
              </w:rPr>
              <w:t>75,000</w:t>
            </w:r>
          </w:p>
        </w:tc>
      </w:tr>
    </w:tbl>
    <w:p>
      <w:pPr>
        <w:rPr>
          <w:rFonts w:eastAsia="Calibri"/>
          <w:noProof/>
          <w:sz w:val="18"/>
        </w:rPr>
      </w:pPr>
      <w:r>
        <w:rPr>
          <w:noProof/>
          <w:sz w:val="18"/>
        </w:rPr>
        <w:t>Potřebné prostředky na oblast lidských zdrojů a na ostatní výdaje správní povahy budou pokryty z prostředků GŘ, které jsou již vyčleněny na řízení akce a/nebo byly vnitřně přerozděleny v rámci GŘ a případně doplněny z dodatečného přídělu, který lze řídícímu GŘ poskytnout v rámci ročního přidělování a s ohledem na rozpočtová omezení.</w:t>
      </w:r>
    </w:p>
    <w:p>
      <w:pPr>
        <w:spacing w:before="0" w:after="200" w:line="276" w:lineRule="auto"/>
        <w:jc w:val="left"/>
        <w:rPr>
          <w:rFonts w:eastAsia="Calibri"/>
          <w:noProof/>
          <w:sz w:val="18"/>
        </w:rPr>
      </w:pPr>
      <w:r>
        <w:rPr>
          <w:noProof/>
        </w:rPr>
        <w:br w:type="page"/>
      </w:r>
    </w:p>
    <w:p>
      <w:pPr>
        <w:keepNext/>
        <w:outlineLvl w:val="3"/>
        <w:rPr>
          <w:rFonts w:eastAsia="Calibri"/>
          <w:iCs/>
          <w:noProof/>
          <w:szCs w:val="24"/>
        </w:rPr>
      </w:pPr>
      <w:r>
        <w:rPr>
          <w:noProof/>
        </w:rPr>
        <w:t>3.2.2.1</w:t>
      </w:r>
      <w:r>
        <w:rPr>
          <w:noProof/>
        </w:rPr>
        <w:tab/>
        <w:t>Odhadované potřeby v oblasti lidských zdrojů</w:t>
      </w:r>
      <w:r>
        <w:rPr>
          <w:rStyle w:val="FootnoteReference"/>
          <w:noProof/>
        </w:rPr>
        <w:footnoteReference w:id="39"/>
      </w:r>
    </w:p>
    <w:p>
      <w:pPr>
        <w:tabs>
          <w:tab w:val="num" w:pos="1134"/>
        </w:tabs>
        <w:ind w:left="1134" w:hanging="283"/>
        <w:rPr>
          <w:rFonts w:eastAsia="Calibri"/>
          <w:noProof/>
        </w:rPr>
      </w:pPr>
      <w:r>
        <w:rPr>
          <w:noProof/>
        </w:rPr>
        <w:sym w:font="Wingdings" w:char="F0A8"/>
      </w:r>
      <w:r>
        <w:rPr>
          <w:noProof/>
        </w:rPr>
        <w:tab/>
        <w:t xml:space="preserve">Návrh/podnět nevyžaduje využití lidských zdrojů. </w:t>
      </w:r>
    </w:p>
    <w:p>
      <w:pPr>
        <w:tabs>
          <w:tab w:val="num" w:pos="1134"/>
        </w:tabs>
        <w:ind w:left="1134" w:hanging="283"/>
        <w:rPr>
          <w:rFonts w:eastAsia="Calibri"/>
          <w:noProof/>
        </w:rPr>
      </w:pPr>
      <w:r>
        <w:rPr>
          <w:noProof/>
        </w:rPr>
        <w:t>X</w:t>
      </w:r>
      <w:r>
        <w:rPr>
          <w:noProof/>
        </w:rPr>
        <w:tab/>
        <w:t>Návrh/podnět vyžaduje využití lidských zdrojů, jak je vysvětleno dále:</w:t>
      </w:r>
    </w:p>
    <w:p>
      <w:pPr>
        <w:spacing w:after="60"/>
        <w:jc w:val="right"/>
        <w:rPr>
          <w:rFonts w:eastAsia="Calibri"/>
          <w:i/>
          <w:noProof/>
          <w:sz w:val="20"/>
        </w:rPr>
      </w:pPr>
      <w:r>
        <w:rPr>
          <w:i/>
          <w:noProof/>
          <w:sz w:val="20"/>
        </w:rPr>
        <w:t>Odhad vyjádřete v přepočtu na plné pracovní úvazky</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spacing w:before="40" w:after="40"/>
              <w:jc w:val="center"/>
              <w:rPr>
                <w:rFonts w:eastAsia="Calibri"/>
                <w:i/>
                <w:noProof/>
                <w:sz w:val="16"/>
                <w:szCs w:val="16"/>
              </w:rPr>
            </w:pPr>
            <w:r>
              <w:rPr>
                <w:b/>
                <w:noProof/>
                <w:sz w:val="16"/>
                <w:szCs w:val="16"/>
              </w:rPr>
              <w:t>Roky</w:t>
            </w:r>
          </w:p>
        </w:tc>
        <w:tc>
          <w:tcPr>
            <w:tcW w:w="466" w:type="pct"/>
            <w:shd w:val="clear" w:color="auto" w:fill="auto"/>
            <w:vAlign w:val="center"/>
          </w:tcPr>
          <w:p>
            <w:pPr>
              <w:spacing w:before="20" w:after="20"/>
              <w:jc w:val="center"/>
              <w:rPr>
                <w:rFonts w:eastAsia="Calibri"/>
                <w:b/>
                <w:noProof/>
                <w:sz w:val="16"/>
                <w:szCs w:val="16"/>
              </w:rPr>
            </w:pPr>
            <w:r>
              <w:rPr>
                <w:b/>
                <w:noProof/>
                <w:sz w:val="20"/>
              </w:rPr>
              <w:t>2021</w:t>
            </w:r>
          </w:p>
        </w:tc>
        <w:tc>
          <w:tcPr>
            <w:tcW w:w="534" w:type="pct"/>
            <w:shd w:val="clear" w:color="auto" w:fill="auto"/>
            <w:vAlign w:val="center"/>
          </w:tcPr>
          <w:p>
            <w:pPr>
              <w:spacing w:before="20" w:after="20"/>
              <w:jc w:val="center"/>
              <w:rPr>
                <w:rFonts w:eastAsia="Calibri"/>
                <w:b/>
                <w:noProof/>
                <w:sz w:val="20"/>
              </w:rPr>
            </w:pPr>
            <w:r>
              <w:rPr>
                <w:b/>
                <w:noProof/>
                <w:sz w:val="20"/>
              </w:rPr>
              <w:t>2022</w:t>
            </w:r>
          </w:p>
        </w:tc>
        <w:tc>
          <w:tcPr>
            <w:tcW w:w="466" w:type="pct"/>
            <w:shd w:val="clear" w:color="auto" w:fill="auto"/>
            <w:vAlign w:val="center"/>
          </w:tcPr>
          <w:p>
            <w:pPr>
              <w:spacing w:before="20" w:after="20"/>
              <w:jc w:val="center"/>
              <w:rPr>
                <w:rFonts w:eastAsia="Calibri"/>
                <w:b/>
                <w:noProof/>
                <w:sz w:val="20"/>
              </w:rPr>
            </w:pPr>
            <w:r>
              <w:rPr>
                <w:b/>
                <w:noProof/>
                <w:sz w:val="20"/>
              </w:rPr>
              <w:t>2023</w:t>
            </w:r>
          </w:p>
        </w:tc>
        <w:tc>
          <w:tcPr>
            <w:tcW w:w="534" w:type="pct"/>
            <w:shd w:val="clear" w:color="auto" w:fill="auto"/>
            <w:vAlign w:val="center"/>
          </w:tcPr>
          <w:p>
            <w:pPr>
              <w:spacing w:before="20" w:after="20"/>
              <w:jc w:val="center"/>
              <w:rPr>
                <w:rFonts w:eastAsia="Calibri"/>
                <w:b/>
                <w:noProof/>
                <w:sz w:val="20"/>
              </w:rPr>
            </w:pPr>
            <w:r>
              <w:rPr>
                <w:b/>
                <w:noProof/>
                <w:sz w:val="20"/>
              </w:rPr>
              <w:t>2024</w:t>
            </w:r>
          </w:p>
        </w:tc>
        <w:tc>
          <w:tcPr>
            <w:tcW w:w="533" w:type="pct"/>
            <w:shd w:val="clear" w:color="auto" w:fill="auto"/>
            <w:vAlign w:val="center"/>
          </w:tcPr>
          <w:p>
            <w:pPr>
              <w:jc w:val="center"/>
              <w:rPr>
                <w:rFonts w:eastAsia="Calibri"/>
                <w:b/>
                <w:noProof/>
                <w:sz w:val="20"/>
              </w:rPr>
            </w:pPr>
            <w:r>
              <w:rPr>
                <w:b/>
                <w:noProof/>
                <w:sz w:val="20"/>
              </w:rPr>
              <w:t>2025</w:t>
            </w:r>
          </w:p>
        </w:tc>
        <w:tc>
          <w:tcPr>
            <w:tcW w:w="468" w:type="pct"/>
            <w:shd w:val="clear" w:color="auto" w:fill="auto"/>
            <w:vAlign w:val="center"/>
          </w:tcPr>
          <w:p>
            <w:pPr>
              <w:jc w:val="center"/>
              <w:rPr>
                <w:rFonts w:eastAsia="Calibri"/>
                <w:b/>
                <w:noProof/>
                <w:sz w:val="20"/>
              </w:rPr>
            </w:pPr>
            <w:r>
              <w:rPr>
                <w:b/>
                <w:noProof/>
                <w:sz w:val="20"/>
              </w:rPr>
              <w:t>2026</w:t>
            </w:r>
          </w:p>
        </w:tc>
        <w:tc>
          <w:tcPr>
            <w:tcW w:w="527" w:type="pct"/>
            <w:shd w:val="clear" w:color="auto" w:fill="auto"/>
            <w:vAlign w:val="center"/>
          </w:tcPr>
          <w:p>
            <w:pPr>
              <w:jc w:val="center"/>
              <w:rPr>
                <w:rFonts w:eastAsia="Calibri"/>
                <w:b/>
                <w:noProof/>
                <w:sz w:val="20"/>
              </w:rPr>
            </w:pPr>
            <w:r>
              <w:rPr>
                <w:b/>
                <w:noProof/>
                <w:sz w:val="20"/>
              </w:rPr>
              <w:t>2027</w:t>
            </w:r>
          </w:p>
        </w:tc>
      </w:tr>
      <w:tr>
        <w:trPr>
          <w:trHeight w:val="289"/>
        </w:trPr>
        <w:tc>
          <w:tcPr>
            <w:tcW w:w="5000" w:type="pct"/>
            <w:gridSpan w:val="9"/>
          </w:tcPr>
          <w:p>
            <w:pPr>
              <w:jc w:val="left"/>
              <w:rPr>
                <w:rFonts w:eastAsia="Calibri"/>
                <w:noProof/>
                <w:sz w:val="16"/>
                <w:szCs w:val="16"/>
              </w:rPr>
            </w:pPr>
            <w:r>
              <w:rPr>
                <w:b/>
                <w:noProof/>
                <w:sz w:val="16"/>
              </w:rPr>
              <w:sym w:font="Wingdings" w:char="F09F"/>
            </w:r>
            <w:r>
              <w:rPr>
                <w:b/>
                <w:noProof/>
                <w:sz w:val="16"/>
              </w:rPr>
              <w:t xml:space="preserve"> Pracovní místa podle plánu pracovních míst (místa úředníků a dočasných zaměstnanců)</w:t>
            </w:r>
          </w:p>
        </w:tc>
      </w:tr>
      <w:tr>
        <w:trPr>
          <w:trHeight w:val="289"/>
        </w:trPr>
        <w:tc>
          <w:tcPr>
            <w:tcW w:w="1472" w:type="pct"/>
            <w:gridSpan w:val="2"/>
          </w:tcPr>
          <w:p>
            <w:pPr>
              <w:spacing w:beforeLines="20" w:before="48" w:afterLines="20" w:after="48"/>
              <w:ind w:left="134"/>
              <w:jc w:val="left"/>
              <w:rPr>
                <w:rFonts w:eastAsia="Calibri"/>
                <w:b/>
                <w:noProof/>
                <w:sz w:val="16"/>
                <w:szCs w:val="16"/>
              </w:rPr>
            </w:pPr>
            <w:r>
              <w:rPr>
                <w:noProof/>
                <w:sz w:val="16"/>
              </w:rPr>
              <w:t>Ústředí a zastoupení Komise</w:t>
            </w:r>
          </w:p>
        </w:tc>
        <w:tc>
          <w:tcPr>
            <w:tcW w:w="466" w:type="pct"/>
            <w:shd w:val="clear" w:color="auto" w:fill="auto"/>
            <w:vAlign w:val="center"/>
          </w:tcPr>
          <w:p>
            <w:pPr>
              <w:spacing w:beforeLines="20" w:before="48" w:afterLines="20" w:after="48"/>
              <w:jc w:val="center"/>
              <w:rPr>
                <w:rFonts w:eastAsia="Calibri"/>
                <w:noProof/>
                <w:sz w:val="16"/>
                <w:szCs w:val="16"/>
              </w:rPr>
            </w:pPr>
            <w:r>
              <w:rPr>
                <w:noProof/>
                <w:sz w:val="16"/>
                <w:szCs w:val="16"/>
              </w:rPr>
              <w:t>4</w:t>
            </w:r>
          </w:p>
        </w:tc>
        <w:tc>
          <w:tcPr>
            <w:tcW w:w="534" w:type="pct"/>
            <w:shd w:val="clear" w:color="auto" w:fill="auto"/>
            <w:vAlign w:val="center"/>
          </w:tcPr>
          <w:p>
            <w:pPr>
              <w:spacing w:beforeLines="20" w:before="48" w:afterLines="20" w:after="48"/>
              <w:jc w:val="center"/>
              <w:rPr>
                <w:rFonts w:eastAsia="Calibri"/>
                <w:noProof/>
                <w:sz w:val="16"/>
                <w:szCs w:val="16"/>
              </w:rPr>
            </w:pPr>
            <w:r>
              <w:rPr>
                <w:noProof/>
                <w:sz w:val="16"/>
                <w:szCs w:val="16"/>
              </w:rPr>
              <w:t>4</w:t>
            </w:r>
          </w:p>
        </w:tc>
        <w:tc>
          <w:tcPr>
            <w:tcW w:w="466" w:type="pct"/>
            <w:shd w:val="clear" w:color="auto" w:fill="auto"/>
            <w:vAlign w:val="center"/>
          </w:tcPr>
          <w:p>
            <w:pPr>
              <w:spacing w:beforeLines="20" w:before="48" w:afterLines="20" w:after="48"/>
              <w:jc w:val="center"/>
              <w:rPr>
                <w:rFonts w:eastAsia="Calibri"/>
                <w:noProof/>
                <w:sz w:val="16"/>
                <w:szCs w:val="16"/>
              </w:rPr>
            </w:pPr>
            <w:r>
              <w:rPr>
                <w:noProof/>
                <w:sz w:val="16"/>
                <w:szCs w:val="16"/>
              </w:rPr>
              <w:t>4</w:t>
            </w:r>
          </w:p>
        </w:tc>
        <w:tc>
          <w:tcPr>
            <w:tcW w:w="534" w:type="pct"/>
            <w:shd w:val="clear" w:color="auto" w:fill="auto"/>
            <w:vAlign w:val="center"/>
          </w:tcPr>
          <w:p>
            <w:pPr>
              <w:spacing w:beforeLines="20" w:before="48" w:afterLines="20" w:after="48"/>
              <w:jc w:val="center"/>
              <w:rPr>
                <w:rFonts w:eastAsia="Calibri"/>
                <w:noProof/>
                <w:sz w:val="16"/>
                <w:szCs w:val="16"/>
              </w:rPr>
            </w:pPr>
            <w:r>
              <w:rPr>
                <w:noProof/>
                <w:sz w:val="16"/>
                <w:szCs w:val="16"/>
              </w:rPr>
              <w:t>4</w:t>
            </w:r>
          </w:p>
        </w:tc>
        <w:tc>
          <w:tcPr>
            <w:tcW w:w="533" w:type="pct"/>
            <w:shd w:val="clear" w:color="auto" w:fill="auto"/>
            <w:vAlign w:val="center"/>
          </w:tcPr>
          <w:p>
            <w:pPr>
              <w:spacing w:beforeLines="20" w:before="48" w:afterLines="20" w:after="48"/>
              <w:jc w:val="center"/>
              <w:rPr>
                <w:rFonts w:eastAsia="Calibri"/>
                <w:noProof/>
                <w:sz w:val="16"/>
                <w:szCs w:val="16"/>
              </w:rPr>
            </w:pPr>
            <w:r>
              <w:rPr>
                <w:noProof/>
                <w:sz w:val="16"/>
                <w:szCs w:val="16"/>
              </w:rPr>
              <w:t>4</w:t>
            </w:r>
          </w:p>
        </w:tc>
        <w:tc>
          <w:tcPr>
            <w:tcW w:w="468" w:type="pct"/>
            <w:shd w:val="clear" w:color="auto" w:fill="auto"/>
            <w:vAlign w:val="center"/>
          </w:tcPr>
          <w:p>
            <w:pPr>
              <w:spacing w:beforeLines="20" w:before="48" w:afterLines="20" w:after="48"/>
              <w:jc w:val="center"/>
              <w:rPr>
                <w:rFonts w:eastAsia="Calibri"/>
                <w:noProof/>
                <w:sz w:val="16"/>
                <w:szCs w:val="16"/>
              </w:rPr>
            </w:pPr>
            <w:r>
              <w:rPr>
                <w:noProof/>
                <w:sz w:val="16"/>
                <w:szCs w:val="16"/>
              </w:rPr>
              <w:t>4</w:t>
            </w:r>
          </w:p>
        </w:tc>
        <w:tc>
          <w:tcPr>
            <w:tcW w:w="527" w:type="pct"/>
            <w:shd w:val="clear" w:color="auto" w:fill="auto"/>
            <w:vAlign w:val="center"/>
          </w:tcPr>
          <w:p>
            <w:pPr>
              <w:spacing w:beforeLines="20" w:before="48" w:afterLines="20" w:after="48"/>
              <w:jc w:val="center"/>
              <w:rPr>
                <w:rFonts w:eastAsia="Calibri"/>
                <w:noProof/>
                <w:sz w:val="16"/>
                <w:szCs w:val="16"/>
              </w:rPr>
            </w:pPr>
            <w:r>
              <w:rPr>
                <w:noProof/>
                <w:sz w:val="16"/>
                <w:szCs w:val="16"/>
              </w:rPr>
              <w:t>4</w:t>
            </w:r>
          </w:p>
        </w:tc>
      </w:tr>
      <w:tr>
        <w:trPr>
          <w:trHeight w:val="289"/>
        </w:trPr>
        <w:tc>
          <w:tcPr>
            <w:tcW w:w="1472" w:type="pct"/>
            <w:gridSpan w:val="2"/>
          </w:tcPr>
          <w:p>
            <w:pPr>
              <w:spacing w:beforeLines="20" w:before="48" w:afterLines="20" w:after="48"/>
              <w:ind w:left="134"/>
              <w:jc w:val="left"/>
              <w:rPr>
                <w:rFonts w:eastAsia="Calibri"/>
                <w:noProof/>
                <w:sz w:val="16"/>
                <w:szCs w:val="16"/>
              </w:rPr>
            </w:pPr>
            <w:r>
              <w:rPr>
                <w:noProof/>
                <w:sz w:val="16"/>
              </w:rPr>
              <w:t>Delegace</w:t>
            </w:r>
          </w:p>
        </w:tc>
        <w:tc>
          <w:tcPr>
            <w:tcW w:w="466" w:type="pct"/>
            <w:shd w:val="clear" w:color="auto" w:fill="auto"/>
            <w:vAlign w:val="center"/>
          </w:tcPr>
          <w:p>
            <w:pPr>
              <w:spacing w:beforeLines="20" w:before="48" w:afterLines="20" w:after="48"/>
              <w:jc w:val="center"/>
              <w:rPr>
                <w:rFonts w:eastAsia="Calibri"/>
                <w:noProof/>
                <w:sz w:val="16"/>
                <w:szCs w:val="16"/>
              </w:rPr>
            </w:pPr>
          </w:p>
        </w:tc>
        <w:tc>
          <w:tcPr>
            <w:tcW w:w="534" w:type="pct"/>
            <w:shd w:val="clear" w:color="auto" w:fill="auto"/>
            <w:vAlign w:val="center"/>
          </w:tcPr>
          <w:p>
            <w:pPr>
              <w:spacing w:beforeLines="20" w:before="48" w:afterLines="20" w:after="48"/>
              <w:jc w:val="center"/>
              <w:rPr>
                <w:rFonts w:eastAsia="Calibri"/>
                <w:noProof/>
                <w:sz w:val="16"/>
                <w:szCs w:val="16"/>
              </w:rPr>
            </w:pPr>
          </w:p>
        </w:tc>
        <w:tc>
          <w:tcPr>
            <w:tcW w:w="466" w:type="pct"/>
            <w:shd w:val="clear" w:color="auto" w:fill="auto"/>
            <w:vAlign w:val="center"/>
          </w:tcPr>
          <w:p>
            <w:pPr>
              <w:spacing w:beforeLines="20" w:before="48" w:afterLines="20" w:after="48"/>
              <w:jc w:val="center"/>
              <w:rPr>
                <w:rFonts w:eastAsia="Calibri"/>
                <w:noProof/>
                <w:sz w:val="16"/>
                <w:szCs w:val="16"/>
              </w:rPr>
            </w:pPr>
          </w:p>
        </w:tc>
        <w:tc>
          <w:tcPr>
            <w:tcW w:w="534" w:type="pct"/>
            <w:shd w:val="clear" w:color="auto" w:fill="auto"/>
            <w:vAlign w:val="center"/>
          </w:tcPr>
          <w:p>
            <w:pPr>
              <w:spacing w:beforeLines="20" w:before="48" w:afterLines="20" w:after="48"/>
              <w:jc w:val="center"/>
              <w:rPr>
                <w:rFonts w:eastAsia="Calibri"/>
                <w:noProof/>
                <w:sz w:val="16"/>
                <w:szCs w:val="16"/>
              </w:rPr>
            </w:pPr>
          </w:p>
        </w:tc>
        <w:tc>
          <w:tcPr>
            <w:tcW w:w="533" w:type="pct"/>
            <w:shd w:val="clear" w:color="auto" w:fill="auto"/>
            <w:vAlign w:val="center"/>
          </w:tcPr>
          <w:p>
            <w:pPr>
              <w:spacing w:beforeLines="20" w:before="48" w:afterLines="20" w:after="48"/>
              <w:jc w:val="center"/>
              <w:rPr>
                <w:rFonts w:eastAsia="Calibri"/>
                <w:noProof/>
                <w:sz w:val="16"/>
                <w:szCs w:val="16"/>
              </w:rPr>
            </w:pPr>
          </w:p>
        </w:tc>
        <w:tc>
          <w:tcPr>
            <w:tcW w:w="468" w:type="pct"/>
            <w:shd w:val="clear" w:color="auto" w:fill="auto"/>
            <w:vAlign w:val="center"/>
          </w:tcPr>
          <w:p>
            <w:pPr>
              <w:spacing w:beforeLines="20" w:before="48" w:afterLines="20" w:after="48"/>
              <w:jc w:val="center"/>
              <w:rPr>
                <w:rFonts w:eastAsia="Calibri"/>
                <w:noProof/>
                <w:sz w:val="16"/>
                <w:szCs w:val="16"/>
              </w:rPr>
            </w:pPr>
          </w:p>
        </w:tc>
        <w:tc>
          <w:tcPr>
            <w:tcW w:w="527" w:type="pct"/>
            <w:shd w:val="clear" w:color="auto" w:fill="auto"/>
            <w:vAlign w:val="center"/>
          </w:tcPr>
          <w:p>
            <w:pPr>
              <w:spacing w:beforeLines="20" w:before="48" w:afterLines="20" w:after="48"/>
              <w:jc w:val="center"/>
              <w:rPr>
                <w:rFonts w:eastAsia="Calibri"/>
                <w:noProof/>
                <w:sz w:val="16"/>
                <w:szCs w:val="16"/>
              </w:rPr>
            </w:pPr>
          </w:p>
        </w:tc>
      </w:tr>
      <w:tr>
        <w:trPr>
          <w:trHeight w:val="289"/>
        </w:trPr>
        <w:tc>
          <w:tcPr>
            <w:tcW w:w="1472" w:type="pct"/>
            <w:gridSpan w:val="2"/>
          </w:tcPr>
          <w:p>
            <w:pPr>
              <w:spacing w:beforeLines="20" w:before="48" w:afterLines="20" w:after="48"/>
              <w:ind w:left="134"/>
              <w:jc w:val="left"/>
              <w:rPr>
                <w:rFonts w:eastAsia="Calibri"/>
                <w:noProof/>
                <w:sz w:val="16"/>
                <w:szCs w:val="16"/>
              </w:rPr>
            </w:pPr>
            <w:r>
              <w:rPr>
                <w:noProof/>
                <w:sz w:val="16"/>
              </w:rPr>
              <w:t>Výzkum</w:t>
            </w:r>
          </w:p>
        </w:tc>
        <w:tc>
          <w:tcPr>
            <w:tcW w:w="466" w:type="pct"/>
            <w:shd w:val="clear" w:color="auto" w:fill="auto"/>
            <w:vAlign w:val="center"/>
          </w:tcPr>
          <w:p>
            <w:pPr>
              <w:spacing w:beforeLines="20" w:before="48" w:afterLines="20" w:after="48"/>
              <w:jc w:val="center"/>
              <w:rPr>
                <w:rFonts w:eastAsia="Calibri"/>
                <w:noProof/>
                <w:sz w:val="16"/>
                <w:szCs w:val="16"/>
              </w:rPr>
            </w:pPr>
          </w:p>
        </w:tc>
        <w:tc>
          <w:tcPr>
            <w:tcW w:w="534" w:type="pct"/>
            <w:shd w:val="clear" w:color="auto" w:fill="auto"/>
            <w:vAlign w:val="center"/>
          </w:tcPr>
          <w:p>
            <w:pPr>
              <w:spacing w:beforeLines="20" w:before="48" w:afterLines="20" w:after="48"/>
              <w:jc w:val="center"/>
              <w:rPr>
                <w:rFonts w:eastAsia="Calibri"/>
                <w:noProof/>
                <w:sz w:val="16"/>
                <w:szCs w:val="16"/>
              </w:rPr>
            </w:pPr>
          </w:p>
        </w:tc>
        <w:tc>
          <w:tcPr>
            <w:tcW w:w="466" w:type="pct"/>
            <w:shd w:val="clear" w:color="auto" w:fill="auto"/>
            <w:vAlign w:val="center"/>
          </w:tcPr>
          <w:p>
            <w:pPr>
              <w:spacing w:beforeLines="20" w:before="48" w:afterLines="20" w:after="48"/>
              <w:jc w:val="center"/>
              <w:rPr>
                <w:rFonts w:eastAsia="Calibri"/>
                <w:noProof/>
                <w:sz w:val="16"/>
                <w:szCs w:val="16"/>
              </w:rPr>
            </w:pPr>
          </w:p>
        </w:tc>
        <w:tc>
          <w:tcPr>
            <w:tcW w:w="534" w:type="pct"/>
            <w:shd w:val="clear" w:color="auto" w:fill="auto"/>
            <w:vAlign w:val="center"/>
          </w:tcPr>
          <w:p>
            <w:pPr>
              <w:spacing w:beforeLines="20" w:before="48" w:afterLines="20" w:after="48"/>
              <w:jc w:val="center"/>
              <w:rPr>
                <w:rFonts w:eastAsia="Calibri"/>
                <w:noProof/>
                <w:sz w:val="16"/>
                <w:szCs w:val="16"/>
              </w:rPr>
            </w:pPr>
          </w:p>
        </w:tc>
        <w:tc>
          <w:tcPr>
            <w:tcW w:w="533" w:type="pct"/>
            <w:shd w:val="clear" w:color="auto" w:fill="auto"/>
            <w:vAlign w:val="center"/>
          </w:tcPr>
          <w:p>
            <w:pPr>
              <w:spacing w:beforeLines="20" w:before="48" w:afterLines="20" w:after="48"/>
              <w:jc w:val="center"/>
              <w:rPr>
                <w:rFonts w:eastAsia="Calibri"/>
                <w:noProof/>
                <w:sz w:val="16"/>
                <w:szCs w:val="16"/>
              </w:rPr>
            </w:pPr>
          </w:p>
        </w:tc>
        <w:tc>
          <w:tcPr>
            <w:tcW w:w="468" w:type="pct"/>
            <w:shd w:val="clear" w:color="auto" w:fill="auto"/>
            <w:vAlign w:val="center"/>
          </w:tcPr>
          <w:p>
            <w:pPr>
              <w:spacing w:beforeLines="20" w:before="48" w:afterLines="20" w:after="48"/>
              <w:jc w:val="center"/>
              <w:rPr>
                <w:rFonts w:eastAsia="Calibri"/>
                <w:noProof/>
                <w:sz w:val="16"/>
                <w:szCs w:val="16"/>
              </w:rPr>
            </w:pPr>
          </w:p>
        </w:tc>
        <w:tc>
          <w:tcPr>
            <w:tcW w:w="527" w:type="pct"/>
            <w:shd w:val="clear" w:color="auto" w:fill="auto"/>
            <w:vAlign w:val="center"/>
          </w:tcPr>
          <w:p>
            <w:pPr>
              <w:spacing w:beforeLines="20" w:before="48" w:afterLines="20" w:after="48"/>
              <w:jc w:val="center"/>
              <w:rPr>
                <w:rFonts w:eastAsia="Calibri"/>
                <w:noProof/>
                <w:sz w:val="16"/>
                <w:szCs w:val="16"/>
              </w:rPr>
            </w:pPr>
          </w:p>
        </w:tc>
      </w:tr>
      <w:tr>
        <w:trPr>
          <w:trHeight w:val="293"/>
        </w:trPr>
        <w:tc>
          <w:tcPr>
            <w:tcW w:w="5000" w:type="pct"/>
            <w:gridSpan w:val="9"/>
          </w:tcPr>
          <w:p>
            <w:pPr>
              <w:spacing w:before="60" w:after="60"/>
              <w:jc w:val="left"/>
              <w:rPr>
                <w:rFonts w:eastAsia="Calibri"/>
                <w:b/>
                <w:noProof/>
                <w:sz w:val="16"/>
                <w:szCs w:val="16"/>
              </w:rPr>
            </w:pPr>
            <w:r>
              <w:rPr>
                <w:b/>
                <w:noProof/>
                <w:sz w:val="16"/>
              </w:rPr>
              <w:sym w:font="Wingdings" w:char="F09F"/>
            </w:r>
            <w:r>
              <w:rPr>
                <w:b/>
                <w:noProof/>
                <w:sz w:val="16"/>
              </w:rPr>
              <w:t xml:space="preserve"> Externí zaměstnanci (v přepočtu na plné pracovní úvazky: FTE) – SZ, MZ, VNO, ZAP a MOD</w:t>
            </w:r>
            <w:r>
              <w:rPr>
                <w:noProof/>
                <w:sz w:val="16"/>
              </w:rPr>
              <w:t xml:space="preserve"> </w:t>
            </w:r>
            <w:r>
              <w:rPr>
                <w:rStyle w:val="FootnoteReference"/>
                <w:noProof/>
              </w:rPr>
              <w:footnoteReference w:id="40"/>
            </w:r>
          </w:p>
          <w:p>
            <w:pPr>
              <w:spacing w:before="0" w:after="0"/>
              <w:jc w:val="left"/>
              <w:rPr>
                <w:rFonts w:eastAsia="Calibri"/>
                <w:noProof/>
                <w:sz w:val="16"/>
                <w:szCs w:val="16"/>
              </w:rPr>
            </w:pPr>
            <w:r>
              <w:rPr>
                <w:noProof/>
                <w:sz w:val="16"/>
                <w:szCs w:val="16"/>
              </w:rPr>
              <w:t>Okruh 7</w:t>
            </w:r>
          </w:p>
        </w:tc>
      </w:tr>
      <w:tr>
        <w:trPr>
          <w:trHeight w:val="485"/>
        </w:trPr>
        <w:tc>
          <w:tcPr>
            <w:tcW w:w="735" w:type="pct"/>
            <w:vMerge w:val="restart"/>
            <w:vAlign w:val="center"/>
          </w:tcPr>
          <w:p>
            <w:pPr>
              <w:spacing w:beforeLines="20" w:before="48" w:afterLines="20" w:after="48"/>
              <w:ind w:left="136"/>
              <w:jc w:val="left"/>
              <w:rPr>
                <w:rFonts w:eastAsia="Calibri"/>
                <w:b/>
                <w:noProof/>
                <w:sz w:val="16"/>
                <w:szCs w:val="16"/>
              </w:rPr>
            </w:pPr>
            <w:r>
              <w:rPr>
                <w:noProof/>
                <w:sz w:val="16"/>
                <w:szCs w:val="16"/>
              </w:rPr>
              <w:t>Financováno z OKRUHU 7 víceletého finančního rámce</w:t>
            </w:r>
            <w:r>
              <w:rPr>
                <w:b/>
                <w:noProof/>
                <w:sz w:val="16"/>
              </w:rPr>
              <w:t xml:space="preserve"> </w:t>
            </w:r>
          </w:p>
        </w:tc>
        <w:tc>
          <w:tcPr>
            <w:tcW w:w="737" w:type="pct"/>
            <w:vAlign w:val="center"/>
          </w:tcPr>
          <w:p>
            <w:pPr>
              <w:spacing w:beforeLines="20" w:before="48" w:afterLines="20" w:after="48"/>
              <w:ind w:left="136"/>
              <w:jc w:val="left"/>
              <w:rPr>
                <w:rFonts w:eastAsia="Calibri"/>
                <w:b/>
                <w:noProof/>
                <w:sz w:val="16"/>
                <w:szCs w:val="16"/>
              </w:rPr>
            </w:pPr>
            <w:r>
              <w:rPr>
                <w:noProof/>
                <w:sz w:val="16"/>
              </w:rPr>
              <w:t>– v ústředí</w:t>
            </w:r>
          </w:p>
        </w:tc>
        <w:tc>
          <w:tcPr>
            <w:tcW w:w="466" w:type="pct"/>
            <w:shd w:val="clear" w:color="auto" w:fill="auto"/>
            <w:vAlign w:val="center"/>
          </w:tcPr>
          <w:p>
            <w:pPr>
              <w:spacing w:beforeLines="20" w:before="48" w:afterLines="20" w:after="48"/>
              <w:jc w:val="center"/>
              <w:rPr>
                <w:rFonts w:eastAsia="Calibri"/>
                <w:noProof/>
                <w:sz w:val="16"/>
                <w:szCs w:val="16"/>
              </w:rPr>
            </w:pPr>
          </w:p>
        </w:tc>
        <w:tc>
          <w:tcPr>
            <w:tcW w:w="534" w:type="pct"/>
            <w:shd w:val="clear" w:color="auto" w:fill="auto"/>
            <w:vAlign w:val="center"/>
          </w:tcPr>
          <w:p>
            <w:pPr>
              <w:spacing w:beforeLines="20" w:before="48" w:afterLines="20" w:after="48"/>
              <w:jc w:val="center"/>
              <w:rPr>
                <w:rFonts w:eastAsia="Calibri"/>
                <w:noProof/>
                <w:sz w:val="16"/>
                <w:szCs w:val="16"/>
              </w:rPr>
            </w:pPr>
          </w:p>
        </w:tc>
        <w:tc>
          <w:tcPr>
            <w:tcW w:w="466" w:type="pct"/>
            <w:shd w:val="clear" w:color="auto" w:fill="auto"/>
            <w:vAlign w:val="center"/>
          </w:tcPr>
          <w:p>
            <w:pPr>
              <w:spacing w:beforeLines="20" w:before="48" w:afterLines="20" w:after="48"/>
              <w:jc w:val="center"/>
              <w:rPr>
                <w:rFonts w:eastAsia="Calibri"/>
                <w:noProof/>
                <w:sz w:val="16"/>
                <w:szCs w:val="16"/>
              </w:rPr>
            </w:pPr>
          </w:p>
        </w:tc>
        <w:tc>
          <w:tcPr>
            <w:tcW w:w="534" w:type="pct"/>
            <w:shd w:val="clear" w:color="auto" w:fill="auto"/>
            <w:vAlign w:val="center"/>
          </w:tcPr>
          <w:p>
            <w:pPr>
              <w:spacing w:beforeLines="20" w:before="48" w:afterLines="20" w:after="48"/>
              <w:jc w:val="center"/>
              <w:rPr>
                <w:rFonts w:eastAsia="Calibri"/>
                <w:noProof/>
                <w:sz w:val="16"/>
                <w:szCs w:val="16"/>
              </w:rPr>
            </w:pPr>
          </w:p>
        </w:tc>
        <w:tc>
          <w:tcPr>
            <w:tcW w:w="533" w:type="pct"/>
            <w:shd w:val="clear" w:color="auto" w:fill="auto"/>
            <w:vAlign w:val="center"/>
          </w:tcPr>
          <w:p>
            <w:pPr>
              <w:spacing w:beforeLines="20" w:before="48" w:afterLines="20" w:after="48"/>
              <w:jc w:val="center"/>
              <w:rPr>
                <w:rFonts w:eastAsia="Calibri"/>
                <w:noProof/>
                <w:sz w:val="16"/>
                <w:szCs w:val="16"/>
              </w:rPr>
            </w:pPr>
          </w:p>
        </w:tc>
        <w:tc>
          <w:tcPr>
            <w:tcW w:w="468" w:type="pct"/>
            <w:shd w:val="clear" w:color="auto" w:fill="auto"/>
            <w:vAlign w:val="center"/>
          </w:tcPr>
          <w:p>
            <w:pPr>
              <w:spacing w:beforeLines="20" w:before="48" w:afterLines="20" w:after="48"/>
              <w:jc w:val="center"/>
              <w:rPr>
                <w:rFonts w:eastAsia="Calibri"/>
                <w:noProof/>
                <w:sz w:val="16"/>
                <w:szCs w:val="16"/>
              </w:rPr>
            </w:pPr>
          </w:p>
        </w:tc>
        <w:tc>
          <w:tcPr>
            <w:tcW w:w="527" w:type="pct"/>
            <w:shd w:val="clear" w:color="auto" w:fill="auto"/>
            <w:vAlign w:val="center"/>
          </w:tcPr>
          <w:p>
            <w:pPr>
              <w:spacing w:beforeLines="20" w:before="48" w:afterLines="20" w:after="48"/>
              <w:jc w:val="center"/>
              <w:rPr>
                <w:rFonts w:eastAsia="Calibri"/>
                <w:noProof/>
                <w:sz w:val="16"/>
                <w:szCs w:val="16"/>
              </w:rPr>
            </w:pPr>
          </w:p>
        </w:tc>
      </w:tr>
      <w:tr>
        <w:trPr>
          <w:trHeight w:val="289"/>
        </w:trPr>
        <w:tc>
          <w:tcPr>
            <w:tcW w:w="735" w:type="pct"/>
            <w:vMerge/>
            <w:vAlign w:val="center"/>
          </w:tcPr>
          <w:p>
            <w:pPr>
              <w:spacing w:beforeLines="20" w:before="48" w:afterLines="20" w:after="48"/>
              <w:ind w:left="136"/>
              <w:jc w:val="left"/>
              <w:rPr>
                <w:rFonts w:eastAsia="Calibri"/>
                <w:noProof/>
                <w:sz w:val="16"/>
                <w:szCs w:val="16"/>
              </w:rPr>
            </w:pPr>
          </w:p>
        </w:tc>
        <w:tc>
          <w:tcPr>
            <w:tcW w:w="737" w:type="pct"/>
            <w:vAlign w:val="center"/>
          </w:tcPr>
          <w:p>
            <w:pPr>
              <w:spacing w:beforeLines="20" w:before="48" w:afterLines="20" w:after="48"/>
              <w:ind w:left="136"/>
              <w:jc w:val="left"/>
              <w:rPr>
                <w:rFonts w:eastAsia="Calibri"/>
                <w:noProof/>
                <w:sz w:val="16"/>
                <w:szCs w:val="16"/>
              </w:rPr>
            </w:pPr>
            <w:r>
              <w:rPr>
                <w:noProof/>
                <w:sz w:val="16"/>
              </w:rPr>
              <w:t xml:space="preserve">– při delegacích </w:t>
            </w:r>
          </w:p>
        </w:tc>
        <w:tc>
          <w:tcPr>
            <w:tcW w:w="466" w:type="pct"/>
            <w:shd w:val="clear" w:color="auto" w:fill="auto"/>
            <w:vAlign w:val="center"/>
          </w:tcPr>
          <w:p>
            <w:pPr>
              <w:spacing w:beforeLines="20" w:before="48" w:afterLines="20" w:after="48"/>
              <w:jc w:val="center"/>
              <w:rPr>
                <w:rFonts w:eastAsia="Calibri"/>
                <w:noProof/>
                <w:sz w:val="16"/>
                <w:szCs w:val="16"/>
              </w:rPr>
            </w:pPr>
          </w:p>
        </w:tc>
        <w:tc>
          <w:tcPr>
            <w:tcW w:w="534" w:type="pct"/>
            <w:shd w:val="clear" w:color="auto" w:fill="auto"/>
            <w:vAlign w:val="center"/>
          </w:tcPr>
          <w:p>
            <w:pPr>
              <w:spacing w:beforeLines="20" w:before="48" w:afterLines="20" w:after="48"/>
              <w:jc w:val="center"/>
              <w:rPr>
                <w:rFonts w:eastAsia="Calibri"/>
                <w:noProof/>
                <w:sz w:val="16"/>
                <w:szCs w:val="16"/>
              </w:rPr>
            </w:pPr>
          </w:p>
        </w:tc>
        <w:tc>
          <w:tcPr>
            <w:tcW w:w="466" w:type="pct"/>
            <w:shd w:val="clear" w:color="auto" w:fill="auto"/>
            <w:vAlign w:val="center"/>
          </w:tcPr>
          <w:p>
            <w:pPr>
              <w:spacing w:beforeLines="20" w:before="48" w:afterLines="20" w:after="48"/>
              <w:jc w:val="center"/>
              <w:rPr>
                <w:rFonts w:eastAsia="Calibri"/>
                <w:noProof/>
                <w:sz w:val="16"/>
                <w:szCs w:val="16"/>
              </w:rPr>
            </w:pPr>
          </w:p>
        </w:tc>
        <w:tc>
          <w:tcPr>
            <w:tcW w:w="534" w:type="pct"/>
            <w:shd w:val="clear" w:color="auto" w:fill="auto"/>
            <w:vAlign w:val="center"/>
          </w:tcPr>
          <w:p>
            <w:pPr>
              <w:spacing w:beforeLines="20" w:before="48" w:afterLines="20" w:after="48"/>
              <w:jc w:val="center"/>
              <w:rPr>
                <w:rFonts w:eastAsia="Calibri"/>
                <w:noProof/>
                <w:sz w:val="16"/>
                <w:szCs w:val="16"/>
              </w:rPr>
            </w:pPr>
          </w:p>
        </w:tc>
        <w:tc>
          <w:tcPr>
            <w:tcW w:w="533" w:type="pct"/>
            <w:shd w:val="clear" w:color="auto" w:fill="auto"/>
            <w:vAlign w:val="center"/>
          </w:tcPr>
          <w:p>
            <w:pPr>
              <w:spacing w:beforeLines="20" w:before="48" w:afterLines="20" w:after="48"/>
              <w:jc w:val="center"/>
              <w:rPr>
                <w:rFonts w:eastAsia="Calibri"/>
                <w:noProof/>
                <w:sz w:val="16"/>
                <w:szCs w:val="16"/>
              </w:rPr>
            </w:pPr>
          </w:p>
        </w:tc>
        <w:tc>
          <w:tcPr>
            <w:tcW w:w="468" w:type="pct"/>
            <w:shd w:val="clear" w:color="auto" w:fill="auto"/>
            <w:vAlign w:val="center"/>
          </w:tcPr>
          <w:p>
            <w:pPr>
              <w:spacing w:beforeLines="20" w:before="48" w:afterLines="20" w:after="48"/>
              <w:jc w:val="center"/>
              <w:rPr>
                <w:rFonts w:eastAsia="Calibri"/>
                <w:noProof/>
                <w:sz w:val="16"/>
                <w:szCs w:val="16"/>
              </w:rPr>
            </w:pPr>
          </w:p>
        </w:tc>
        <w:tc>
          <w:tcPr>
            <w:tcW w:w="527" w:type="pct"/>
            <w:shd w:val="clear" w:color="auto" w:fill="auto"/>
            <w:vAlign w:val="center"/>
          </w:tcPr>
          <w:p>
            <w:pPr>
              <w:spacing w:beforeLines="20" w:before="48" w:afterLines="20" w:after="48"/>
              <w:jc w:val="center"/>
              <w:rPr>
                <w:rFonts w:eastAsia="Calibri"/>
                <w:noProof/>
                <w:sz w:val="16"/>
                <w:szCs w:val="16"/>
              </w:rPr>
            </w:pPr>
          </w:p>
        </w:tc>
      </w:tr>
      <w:tr>
        <w:trPr>
          <w:trHeight w:val="370"/>
        </w:trPr>
        <w:tc>
          <w:tcPr>
            <w:tcW w:w="735" w:type="pct"/>
            <w:vMerge w:val="restart"/>
            <w:vAlign w:val="center"/>
          </w:tcPr>
          <w:p>
            <w:pPr>
              <w:spacing w:beforeLines="20" w:before="48" w:afterLines="20" w:after="48"/>
              <w:ind w:left="136"/>
              <w:jc w:val="left"/>
              <w:rPr>
                <w:rFonts w:eastAsia="Calibri"/>
                <w:b/>
                <w:noProof/>
                <w:sz w:val="16"/>
                <w:szCs w:val="16"/>
              </w:rPr>
            </w:pPr>
            <w:r>
              <w:rPr>
                <w:noProof/>
                <w:sz w:val="16"/>
                <w:szCs w:val="16"/>
              </w:rPr>
              <w:t>Financováno z krytí programu</w:t>
            </w:r>
            <w:r>
              <w:rPr>
                <w:b/>
                <w:noProof/>
                <w:sz w:val="16"/>
                <w:szCs w:val="16"/>
              </w:rPr>
              <w:t xml:space="preserve"> </w:t>
            </w:r>
            <w:r>
              <w:rPr>
                <w:rStyle w:val="FootnoteReference"/>
                <w:noProof/>
              </w:rPr>
              <w:footnoteReference w:id="41"/>
            </w:r>
          </w:p>
        </w:tc>
        <w:tc>
          <w:tcPr>
            <w:tcW w:w="737" w:type="pct"/>
            <w:shd w:val="clear" w:color="auto" w:fill="auto"/>
            <w:vAlign w:val="center"/>
          </w:tcPr>
          <w:p>
            <w:pPr>
              <w:spacing w:beforeLines="20" w:before="48" w:afterLines="20" w:after="48"/>
              <w:ind w:left="136"/>
              <w:jc w:val="left"/>
              <w:rPr>
                <w:rFonts w:eastAsia="Calibri"/>
                <w:b/>
                <w:noProof/>
                <w:sz w:val="16"/>
                <w:szCs w:val="16"/>
              </w:rPr>
            </w:pPr>
            <w:r>
              <w:rPr>
                <w:noProof/>
                <w:sz w:val="16"/>
              </w:rPr>
              <w:t>– v ústředí</w:t>
            </w:r>
          </w:p>
        </w:tc>
        <w:tc>
          <w:tcPr>
            <w:tcW w:w="466" w:type="pct"/>
            <w:shd w:val="clear" w:color="auto" w:fill="auto"/>
            <w:vAlign w:val="center"/>
          </w:tcPr>
          <w:p>
            <w:pPr>
              <w:spacing w:beforeLines="20" w:before="48" w:afterLines="20" w:after="48"/>
              <w:jc w:val="center"/>
              <w:rPr>
                <w:rFonts w:eastAsia="Calibri"/>
                <w:noProof/>
                <w:sz w:val="16"/>
                <w:szCs w:val="16"/>
              </w:rPr>
            </w:pPr>
            <w:r>
              <w:rPr>
                <w:noProof/>
                <w:sz w:val="16"/>
                <w:szCs w:val="16"/>
              </w:rPr>
              <w:t>2</w:t>
            </w:r>
          </w:p>
        </w:tc>
        <w:tc>
          <w:tcPr>
            <w:tcW w:w="534" w:type="pct"/>
            <w:shd w:val="clear" w:color="auto" w:fill="auto"/>
            <w:vAlign w:val="center"/>
          </w:tcPr>
          <w:p>
            <w:pPr>
              <w:spacing w:beforeLines="20" w:before="48" w:afterLines="20" w:after="48"/>
              <w:jc w:val="center"/>
              <w:rPr>
                <w:rFonts w:eastAsia="Calibri"/>
                <w:noProof/>
                <w:sz w:val="16"/>
                <w:szCs w:val="16"/>
              </w:rPr>
            </w:pPr>
            <w:r>
              <w:rPr>
                <w:noProof/>
                <w:sz w:val="16"/>
                <w:szCs w:val="16"/>
              </w:rPr>
              <w:t>2</w:t>
            </w:r>
          </w:p>
        </w:tc>
        <w:tc>
          <w:tcPr>
            <w:tcW w:w="466" w:type="pct"/>
            <w:shd w:val="clear" w:color="auto" w:fill="auto"/>
            <w:vAlign w:val="center"/>
          </w:tcPr>
          <w:p>
            <w:pPr>
              <w:spacing w:beforeLines="20" w:before="48" w:afterLines="20" w:after="48"/>
              <w:jc w:val="center"/>
              <w:rPr>
                <w:rFonts w:eastAsia="Calibri"/>
                <w:noProof/>
                <w:sz w:val="16"/>
                <w:szCs w:val="16"/>
              </w:rPr>
            </w:pPr>
            <w:r>
              <w:rPr>
                <w:noProof/>
                <w:sz w:val="16"/>
                <w:szCs w:val="16"/>
              </w:rPr>
              <w:t>2</w:t>
            </w:r>
          </w:p>
        </w:tc>
        <w:tc>
          <w:tcPr>
            <w:tcW w:w="534" w:type="pct"/>
            <w:shd w:val="clear" w:color="auto" w:fill="auto"/>
            <w:vAlign w:val="center"/>
          </w:tcPr>
          <w:p>
            <w:pPr>
              <w:spacing w:beforeLines="20" w:before="48" w:afterLines="20" w:after="48"/>
              <w:jc w:val="center"/>
              <w:rPr>
                <w:rFonts w:eastAsia="Calibri"/>
                <w:noProof/>
                <w:sz w:val="16"/>
                <w:szCs w:val="16"/>
              </w:rPr>
            </w:pPr>
            <w:r>
              <w:rPr>
                <w:noProof/>
                <w:sz w:val="16"/>
                <w:szCs w:val="16"/>
              </w:rPr>
              <w:t>2</w:t>
            </w:r>
          </w:p>
        </w:tc>
        <w:tc>
          <w:tcPr>
            <w:tcW w:w="533" w:type="pct"/>
            <w:shd w:val="clear" w:color="auto" w:fill="auto"/>
            <w:vAlign w:val="center"/>
          </w:tcPr>
          <w:p>
            <w:pPr>
              <w:spacing w:beforeLines="20" w:before="48" w:afterLines="20" w:after="48"/>
              <w:jc w:val="center"/>
              <w:rPr>
                <w:rFonts w:eastAsia="Calibri"/>
                <w:noProof/>
                <w:sz w:val="16"/>
                <w:szCs w:val="16"/>
              </w:rPr>
            </w:pPr>
            <w:r>
              <w:rPr>
                <w:noProof/>
                <w:sz w:val="16"/>
                <w:szCs w:val="16"/>
              </w:rPr>
              <w:t>2</w:t>
            </w:r>
          </w:p>
        </w:tc>
        <w:tc>
          <w:tcPr>
            <w:tcW w:w="468" w:type="pct"/>
            <w:shd w:val="clear" w:color="auto" w:fill="auto"/>
            <w:vAlign w:val="center"/>
          </w:tcPr>
          <w:p>
            <w:pPr>
              <w:spacing w:beforeLines="20" w:before="48" w:afterLines="20" w:after="48"/>
              <w:jc w:val="center"/>
              <w:rPr>
                <w:rFonts w:eastAsia="Calibri"/>
                <w:noProof/>
                <w:sz w:val="16"/>
                <w:szCs w:val="16"/>
              </w:rPr>
            </w:pPr>
            <w:r>
              <w:rPr>
                <w:noProof/>
                <w:sz w:val="16"/>
                <w:szCs w:val="16"/>
              </w:rPr>
              <w:t>2</w:t>
            </w:r>
          </w:p>
        </w:tc>
        <w:tc>
          <w:tcPr>
            <w:tcW w:w="527" w:type="pct"/>
            <w:shd w:val="clear" w:color="auto" w:fill="auto"/>
            <w:vAlign w:val="center"/>
          </w:tcPr>
          <w:p>
            <w:pPr>
              <w:spacing w:beforeLines="20" w:before="48" w:afterLines="20" w:after="48"/>
              <w:jc w:val="center"/>
              <w:rPr>
                <w:rFonts w:eastAsia="Calibri"/>
                <w:noProof/>
                <w:sz w:val="16"/>
                <w:szCs w:val="16"/>
              </w:rPr>
            </w:pPr>
            <w:r>
              <w:rPr>
                <w:noProof/>
                <w:sz w:val="16"/>
                <w:szCs w:val="16"/>
              </w:rPr>
              <w:t>2</w:t>
            </w:r>
          </w:p>
        </w:tc>
      </w:tr>
      <w:tr>
        <w:trPr>
          <w:trHeight w:val="289"/>
        </w:trPr>
        <w:tc>
          <w:tcPr>
            <w:tcW w:w="735" w:type="pct"/>
            <w:vMerge/>
          </w:tcPr>
          <w:p>
            <w:pPr>
              <w:spacing w:beforeLines="20" w:before="48" w:afterLines="20" w:after="48"/>
              <w:ind w:left="136"/>
              <w:jc w:val="left"/>
              <w:rPr>
                <w:rFonts w:eastAsia="Calibri"/>
                <w:b/>
                <w:noProof/>
                <w:sz w:val="16"/>
                <w:szCs w:val="16"/>
              </w:rPr>
            </w:pPr>
          </w:p>
        </w:tc>
        <w:tc>
          <w:tcPr>
            <w:tcW w:w="737" w:type="pct"/>
            <w:shd w:val="clear" w:color="auto" w:fill="auto"/>
            <w:vAlign w:val="center"/>
          </w:tcPr>
          <w:p>
            <w:pPr>
              <w:spacing w:beforeLines="20" w:before="48" w:afterLines="20" w:after="48"/>
              <w:ind w:left="136"/>
              <w:jc w:val="left"/>
              <w:rPr>
                <w:rFonts w:eastAsia="Calibri"/>
                <w:b/>
                <w:noProof/>
                <w:sz w:val="16"/>
                <w:szCs w:val="16"/>
              </w:rPr>
            </w:pPr>
            <w:r>
              <w:rPr>
                <w:noProof/>
                <w:sz w:val="16"/>
              </w:rPr>
              <w:t xml:space="preserve">– při delegacích </w:t>
            </w:r>
          </w:p>
        </w:tc>
        <w:tc>
          <w:tcPr>
            <w:tcW w:w="466" w:type="pct"/>
            <w:shd w:val="clear" w:color="auto" w:fill="auto"/>
            <w:vAlign w:val="center"/>
          </w:tcPr>
          <w:p>
            <w:pPr>
              <w:spacing w:beforeLines="20" w:before="48" w:afterLines="20" w:after="48"/>
              <w:jc w:val="center"/>
              <w:rPr>
                <w:rFonts w:eastAsia="Calibri"/>
                <w:noProof/>
                <w:sz w:val="16"/>
                <w:szCs w:val="16"/>
              </w:rPr>
            </w:pPr>
          </w:p>
        </w:tc>
        <w:tc>
          <w:tcPr>
            <w:tcW w:w="534" w:type="pct"/>
            <w:shd w:val="clear" w:color="auto" w:fill="auto"/>
            <w:vAlign w:val="center"/>
          </w:tcPr>
          <w:p>
            <w:pPr>
              <w:spacing w:beforeLines="20" w:before="48" w:afterLines="20" w:after="48"/>
              <w:jc w:val="center"/>
              <w:rPr>
                <w:rFonts w:eastAsia="Calibri"/>
                <w:noProof/>
                <w:sz w:val="16"/>
                <w:szCs w:val="16"/>
              </w:rPr>
            </w:pPr>
          </w:p>
        </w:tc>
        <w:tc>
          <w:tcPr>
            <w:tcW w:w="466" w:type="pct"/>
            <w:shd w:val="clear" w:color="auto" w:fill="auto"/>
            <w:vAlign w:val="center"/>
          </w:tcPr>
          <w:p>
            <w:pPr>
              <w:spacing w:beforeLines="20" w:before="48" w:afterLines="20" w:after="48"/>
              <w:jc w:val="center"/>
              <w:rPr>
                <w:rFonts w:eastAsia="Calibri"/>
                <w:noProof/>
                <w:sz w:val="16"/>
                <w:szCs w:val="16"/>
              </w:rPr>
            </w:pPr>
          </w:p>
        </w:tc>
        <w:tc>
          <w:tcPr>
            <w:tcW w:w="534" w:type="pct"/>
            <w:shd w:val="clear" w:color="auto" w:fill="auto"/>
            <w:vAlign w:val="center"/>
          </w:tcPr>
          <w:p>
            <w:pPr>
              <w:spacing w:beforeLines="20" w:before="48" w:afterLines="20" w:after="48"/>
              <w:jc w:val="center"/>
              <w:rPr>
                <w:rFonts w:eastAsia="Calibri"/>
                <w:noProof/>
                <w:sz w:val="16"/>
                <w:szCs w:val="16"/>
              </w:rPr>
            </w:pPr>
          </w:p>
        </w:tc>
        <w:tc>
          <w:tcPr>
            <w:tcW w:w="533" w:type="pct"/>
            <w:shd w:val="clear" w:color="auto" w:fill="auto"/>
            <w:vAlign w:val="center"/>
          </w:tcPr>
          <w:p>
            <w:pPr>
              <w:spacing w:beforeLines="20" w:before="48" w:afterLines="20" w:after="48"/>
              <w:jc w:val="center"/>
              <w:rPr>
                <w:rFonts w:eastAsia="Calibri"/>
                <w:noProof/>
                <w:sz w:val="16"/>
                <w:szCs w:val="16"/>
              </w:rPr>
            </w:pPr>
          </w:p>
        </w:tc>
        <w:tc>
          <w:tcPr>
            <w:tcW w:w="468" w:type="pct"/>
            <w:shd w:val="clear" w:color="auto" w:fill="auto"/>
            <w:vAlign w:val="center"/>
          </w:tcPr>
          <w:p>
            <w:pPr>
              <w:spacing w:beforeLines="20" w:before="48" w:afterLines="20" w:after="48"/>
              <w:jc w:val="center"/>
              <w:rPr>
                <w:rFonts w:eastAsia="Calibri"/>
                <w:noProof/>
                <w:sz w:val="16"/>
                <w:szCs w:val="16"/>
              </w:rPr>
            </w:pPr>
          </w:p>
        </w:tc>
        <w:tc>
          <w:tcPr>
            <w:tcW w:w="527" w:type="pct"/>
            <w:shd w:val="clear" w:color="auto" w:fill="auto"/>
            <w:vAlign w:val="center"/>
          </w:tcPr>
          <w:p>
            <w:pPr>
              <w:spacing w:beforeLines="20" w:before="48" w:afterLines="20" w:after="48"/>
              <w:jc w:val="center"/>
              <w:rPr>
                <w:rFonts w:eastAsia="Calibri"/>
                <w:noProof/>
                <w:sz w:val="16"/>
                <w:szCs w:val="16"/>
              </w:rPr>
            </w:pPr>
          </w:p>
        </w:tc>
      </w:tr>
      <w:tr>
        <w:trPr>
          <w:trHeight w:val="289"/>
        </w:trPr>
        <w:tc>
          <w:tcPr>
            <w:tcW w:w="1472" w:type="pct"/>
            <w:gridSpan w:val="2"/>
          </w:tcPr>
          <w:p>
            <w:pPr>
              <w:spacing w:beforeLines="20" w:before="48" w:afterLines="20" w:after="48"/>
              <w:ind w:left="136"/>
              <w:jc w:val="left"/>
              <w:rPr>
                <w:rFonts w:eastAsia="Calibri"/>
                <w:noProof/>
                <w:sz w:val="16"/>
                <w:szCs w:val="16"/>
              </w:rPr>
            </w:pPr>
            <w:r>
              <w:rPr>
                <w:noProof/>
                <w:sz w:val="16"/>
                <w:szCs w:val="16"/>
              </w:rPr>
              <w:t>Výzkum</w:t>
            </w:r>
          </w:p>
        </w:tc>
        <w:tc>
          <w:tcPr>
            <w:tcW w:w="466" w:type="pct"/>
            <w:shd w:val="clear" w:color="auto" w:fill="auto"/>
            <w:vAlign w:val="center"/>
          </w:tcPr>
          <w:p>
            <w:pPr>
              <w:spacing w:beforeLines="20" w:before="48" w:afterLines="20" w:after="48"/>
              <w:jc w:val="center"/>
              <w:rPr>
                <w:rFonts w:eastAsia="Calibri"/>
                <w:noProof/>
                <w:sz w:val="16"/>
                <w:szCs w:val="16"/>
              </w:rPr>
            </w:pPr>
          </w:p>
        </w:tc>
        <w:tc>
          <w:tcPr>
            <w:tcW w:w="534" w:type="pct"/>
            <w:shd w:val="clear" w:color="auto" w:fill="auto"/>
            <w:vAlign w:val="center"/>
          </w:tcPr>
          <w:p>
            <w:pPr>
              <w:spacing w:beforeLines="20" w:before="48" w:afterLines="20" w:after="48"/>
              <w:jc w:val="center"/>
              <w:rPr>
                <w:rFonts w:eastAsia="Calibri"/>
                <w:noProof/>
                <w:sz w:val="16"/>
                <w:szCs w:val="16"/>
              </w:rPr>
            </w:pPr>
          </w:p>
        </w:tc>
        <w:tc>
          <w:tcPr>
            <w:tcW w:w="466" w:type="pct"/>
            <w:shd w:val="clear" w:color="auto" w:fill="auto"/>
            <w:vAlign w:val="center"/>
          </w:tcPr>
          <w:p>
            <w:pPr>
              <w:spacing w:beforeLines="20" w:before="48" w:afterLines="20" w:after="48"/>
              <w:jc w:val="center"/>
              <w:rPr>
                <w:rFonts w:eastAsia="Calibri"/>
                <w:noProof/>
                <w:sz w:val="16"/>
                <w:szCs w:val="16"/>
              </w:rPr>
            </w:pPr>
          </w:p>
        </w:tc>
        <w:tc>
          <w:tcPr>
            <w:tcW w:w="534" w:type="pct"/>
            <w:shd w:val="clear" w:color="auto" w:fill="auto"/>
            <w:vAlign w:val="center"/>
          </w:tcPr>
          <w:p>
            <w:pPr>
              <w:spacing w:beforeLines="20" w:before="48" w:afterLines="20" w:after="48"/>
              <w:jc w:val="center"/>
              <w:rPr>
                <w:rFonts w:eastAsia="Calibri"/>
                <w:noProof/>
                <w:sz w:val="16"/>
                <w:szCs w:val="16"/>
              </w:rPr>
            </w:pPr>
          </w:p>
        </w:tc>
        <w:tc>
          <w:tcPr>
            <w:tcW w:w="533" w:type="pct"/>
            <w:shd w:val="clear" w:color="auto" w:fill="auto"/>
            <w:vAlign w:val="center"/>
          </w:tcPr>
          <w:p>
            <w:pPr>
              <w:spacing w:beforeLines="20" w:before="48" w:afterLines="20" w:after="48"/>
              <w:jc w:val="center"/>
              <w:rPr>
                <w:rFonts w:eastAsia="Calibri"/>
                <w:noProof/>
                <w:sz w:val="16"/>
                <w:szCs w:val="16"/>
              </w:rPr>
            </w:pPr>
          </w:p>
        </w:tc>
        <w:tc>
          <w:tcPr>
            <w:tcW w:w="468" w:type="pct"/>
            <w:shd w:val="clear" w:color="auto" w:fill="auto"/>
            <w:vAlign w:val="center"/>
          </w:tcPr>
          <w:p>
            <w:pPr>
              <w:spacing w:beforeLines="20" w:before="48" w:afterLines="20" w:after="48"/>
              <w:jc w:val="center"/>
              <w:rPr>
                <w:rFonts w:eastAsia="Calibri"/>
                <w:noProof/>
                <w:sz w:val="16"/>
                <w:szCs w:val="16"/>
              </w:rPr>
            </w:pPr>
          </w:p>
        </w:tc>
        <w:tc>
          <w:tcPr>
            <w:tcW w:w="527" w:type="pct"/>
            <w:shd w:val="clear" w:color="auto" w:fill="auto"/>
            <w:vAlign w:val="center"/>
          </w:tcPr>
          <w:p>
            <w:pPr>
              <w:spacing w:beforeLines="20" w:before="48" w:afterLines="20" w:after="48"/>
              <w:jc w:val="center"/>
              <w:rPr>
                <w:rFonts w:eastAsia="Calibri"/>
                <w:noProof/>
                <w:sz w:val="16"/>
                <w:szCs w:val="16"/>
              </w:rPr>
            </w:pPr>
          </w:p>
        </w:tc>
      </w:tr>
      <w:tr>
        <w:trPr>
          <w:trHeight w:val="289"/>
        </w:trPr>
        <w:tc>
          <w:tcPr>
            <w:tcW w:w="1472" w:type="pct"/>
            <w:gridSpan w:val="2"/>
            <w:tcBorders>
              <w:bottom w:val="double" w:sz="4" w:space="0" w:color="auto"/>
            </w:tcBorders>
          </w:tcPr>
          <w:p>
            <w:pPr>
              <w:spacing w:beforeLines="20" w:before="48" w:afterLines="20" w:after="48"/>
              <w:ind w:left="134"/>
              <w:jc w:val="left"/>
              <w:rPr>
                <w:rFonts w:eastAsia="Calibri"/>
                <w:noProof/>
                <w:sz w:val="16"/>
                <w:szCs w:val="16"/>
              </w:rPr>
            </w:pPr>
            <w:r>
              <w:rPr>
                <w:noProof/>
                <w:sz w:val="16"/>
              </w:rPr>
              <w:t>Jiná (uveďte)</w:t>
            </w:r>
          </w:p>
        </w:tc>
        <w:tc>
          <w:tcPr>
            <w:tcW w:w="466" w:type="pct"/>
            <w:tcBorders>
              <w:bottom w:val="double" w:sz="4" w:space="0" w:color="auto"/>
            </w:tcBorders>
            <w:shd w:val="clear" w:color="auto" w:fill="auto"/>
            <w:vAlign w:val="center"/>
          </w:tcPr>
          <w:p>
            <w:pPr>
              <w:spacing w:beforeLines="20" w:before="48" w:afterLines="20" w:after="48"/>
              <w:jc w:val="center"/>
              <w:rPr>
                <w:rFonts w:eastAsia="Calibri"/>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rFonts w:eastAsia="Calibri"/>
                <w:noProof/>
                <w:sz w:val="16"/>
                <w:szCs w:val="16"/>
              </w:rPr>
            </w:pPr>
          </w:p>
        </w:tc>
        <w:tc>
          <w:tcPr>
            <w:tcW w:w="466" w:type="pct"/>
            <w:tcBorders>
              <w:bottom w:val="double" w:sz="4" w:space="0" w:color="auto"/>
            </w:tcBorders>
            <w:shd w:val="clear" w:color="auto" w:fill="auto"/>
            <w:vAlign w:val="center"/>
          </w:tcPr>
          <w:p>
            <w:pPr>
              <w:spacing w:beforeLines="20" w:before="48" w:afterLines="20" w:after="48"/>
              <w:jc w:val="center"/>
              <w:rPr>
                <w:rFonts w:eastAsia="Calibri"/>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rFonts w:eastAsia="Calibri"/>
                <w:noProof/>
                <w:sz w:val="16"/>
                <w:szCs w:val="16"/>
              </w:rPr>
            </w:pPr>
          </w:p>
        </w:tc>
        <w:tc>
          <w:tcPr>
            <w:tcW w:w="533" w:type="pct"/>
            <w:tcBorders>
              <w:bottom w:val="double" w:sz="4" w:space="0" w:color="auto"/>
            </w:tcBorders>
            <w:shd w:val="clear" w:color="auto" w:fill="auto"/>
            <w:vAlign w:val="center"/>
          </w:tcPr>
          <w:p>
            <w:pPr>
              <w:spacing w:beforeLines="20" w:before="48" w:afterLines="20" w:after="48"/>
              <w:jc w:val="center"/>
              <w:rPr>
                <w:rFonts w:eastAsia="Calibri"/>
                <w:noProof/>
                <w:sz w:val="16"/>
                <w:szCs w:val="16"/>
              </w:rPr>
            </w:pPr>
          </w:p>
        </w:tc>
        <w:tc>
          <w:tcPr>
            <w:tcW w:w="468" w:type="pct"/>
            <w:tcBorders>
              <w:bottom w:val="double" w:sz="4" w:space="0" w:color="auto"/>
            </w:tcBorders>
            <w:shd w:val="clear" w:color="auto" w:fill="auto"/>
            <w:vAlign w:val="center"/>
          </w:tcPr>
          <w:p>
            <w:pPr>
              <w:spacing w:beforeLines="20" w:before="48" w:afterLines="20" w:after="48"/>
              <w:jc w:val="center"/>
              <w:rPr>
                <w:rFonts w:eastAsia="Calibri"/>
                <w:noProof/>
                <w:sz w:val="16"/>
                <w:szCs w:val="16"/>
              </w:rPr>
            </w:pPr>
          </w:p>
        </w:tc>
        <w:tc>
          <w:tcPr>
            <w:tcW w:w="527" w:type="pct"/>
            <w:tcBorders>
              <w:bottom w:val="double" w:sz="4" w:space="0" w:color="auto"/>
            </w:tcBorders>
            <w:shd w:val="clear" w:color="auto" w:fill="auto"/>
            <w:vAlign w:val="center"/>
          </w:tcPr>
          <w:p>
            <w:pPr>
              <w:spacing w:beforeLines="20" w:before="48" w:afterLines="20" w:after="48"/>
              <w:jc w:val="center"/>
              <w:rPr>
                <w:rFonts w:eastAsia="Calibri"/>
                <w:noProof/>
                <w:sz w:val="16"/>
                <w:szCs w:val="16"/>
              </w:rPr>
            </w:pPr>
          </w:p>
        </w:tc>
      </w:tr>
      <w:tr>
        <w:trPr>
          <w:trHeight w:val="289"/>
        </w:trPr>
        <w:tc>
          <w:tcPr>
            <w:tcW w:w="1472" w:type="pct"/>
            <w:gridSpan w:val="2"/>
            <w:tcBorders>
              <w:top w:val="double" w:sz="4" w:space="0" w:color="auto"/>
            </w:tcBorders>
          </w:tcPr>
          <w:p>
            <w:pPr>
              <w:spacing w:beforeLines="20" w:before="48" w:afterLines="20" w:after="48"/>
              <w:ind w:left="136"/>
              <w:jc w:val="left"/>
              <w:rPr>
                <w:rFonts w:eastAsia="Calibri"/>
                <w:noProof/>
                <w:sz w:val="16"/>
                <w:szCs w:val="16"/>
              </w:rPr>
            </w:pPr>
            <w:r>
              <w:rPr>
                <w:b/>
                <w:noProof/>
                <w:sz w:val="16"/>
              </w:rPr>
              <w:t>CELKEM</w:t>
            </w:r>
          </w:p>
        </w:tc>
        <w:tc>
          <w:tcPr>
            <w:tcW w:w="466" w:type="pct"/>
            <w:tcBorders>
              <w:top w:val="double" w:sz="4" w:space="0" w:color="auto"/>
            </w:tcBorders>
            <w:shd w:val="clear" w:color="auto" w:fill="auto"/>
            <w:vAlign w:val="center"/>
          </w:tcPr>
          <w:p>
            <w:pPr>
              <w:spacing w:beforeLines="20" w:before="48" w:afterLines="20" w:after="48"/>
              <w:jc w:val="center"/>
              <w:rPr>
                <w:rFonts w:eastAsia="Calibri"/>
                <w:b/>
                <w:noProof/>
                <w:sz w:val="16"/>
                <w:szCs w:val="16"/>
              </w:rPr>
            </w:pPr>
            <w:r>
              <w:rPr>
                <w:b/>
                <w:noProof/>
                <w:sz w:val="16"/>
                <w:szCs w:val="16"/>
              </w:rPr>
              <w:t>6</w:t>
            </w:r>
          </w:p>
        </w:tc>
        <w:tc>
          <w:tcPr>
            <w:tcW w:w="534" w:type="pct"/>
            <w:tcBorders>
              <w:top w:val="double" w:sz="4" w:space="0" w:color="auto"/>
            </w:tcBorders>
            <w:shd w:val="clear" w:color="auto" w:fill="auto"/>
            <w:vAlign w:val="center"/>
          </w:tcPr>
          <w:p>
            <w:pPr>
              <w:spacing w:beforeLines="20" w:before="48" w:afterLines="20" w:after="48"/>
              <w:jc w:val="center"/>
              <w:rPr>
                <w:rFonts w:eastAsia="Calibri"/>
                <w:b/>
                <w:noProof/>
                <w:sz w:val="16"/>
                <w:szCs w:val="16"/>
              </w:rPr>
            </w:pPr>
            <w:r>
              <w:rPr>
                <w:b/>
                <w:noProof/>
                <w:sz w:val="16"/>
                <w:szCs w:val="16"/>
              </w:rPr>
              <w:t>6</w:t>
            </w:r>
          </w:p>
        </w:tc>
        <w:tc>
          <w:tcPr>
            <w:tcW w:w="466" w:type="pct"/>
            <w:tcBorders>
              <w:top w:val="double" w:sz="4" w:space="0" w:color="auto"/>
            </w:tcBorders>
            <w:shd w:val="clear" w:color="auto" w:fill="auto"/>
            <w:vAlign w:val="center"/>
          </w:tcPr>
          <w:p>
            <w:pPr>
              <w:spacing w:beforeLines="20" w:before="48" w:afterLines="20" w:after="48"/>
              <w:jc w:val="center"/>
              <w:rPr>
                <w:rFonts w:eastAsia="Calibri"/>
                <w:b/>
                <w:noProof/>
                <w:sz w:val="16"/>
                <w:szCs w:val="16"/>
              </w:rPr>
            </w:pPr>
            <w:r>
              <w:rPr>
                <w:b/>
                <w:noProof/>
                <w:sz w:val="16"/>
                <w:szCs w:val="16"/>
              </w:rPr>
              <w:t>6</w:t>
            </w:r>
          </w:p>
        </w:tc>
        <w:tc>
          <w:tcPr>
            <w:tcW w:w="534" w:type="pct"/>
            <w:tcBorders>
              <w:top w:val="double" w:sz="4" w:space="0" w:color="auto"/>
            </w:tcBorders>
            <w:shd w:val="clear" w:color="auto" w:fill="auto"/>
            <w:vAlign w:val="center"/>
          </w:tcPr>
          <w:p>
            <w:pPr>
              <w:spacing w:beforeLines="20" w:before="48" w:afterLines="20" w:after="48"/>
              <w:jc w:val="center"/>
              <w:rPr>
                <w:rFonts w:eastAsia="Calibri"/>
                <w:b/>
                <w:noProof/>
                <w:sz w:val="16"/>
                <w:szCs w:val="16"/>
              </w:rPr>
            </w:pPr>
            <w:r>
              <w:rPr>
                <w:b/>
                <w:noProof/>
                <w:sz w:val="16"/>
                <w:szCs w:val="16"/>
              </w:rPr>
              <w:t>6</w:t>
            </w:r>
          </w:p>
        </w:tc>
        <w:tc>
          <w:tcPr>
            <w:tcW w:w="533" w:type="pct"/>
            <w:tcBorders>
              <w:top w:val="double" w:sz="4" w:space="0" w:color="auto"/>
            </w:tcBorders>
            <w:shd w:val="clear" w:color="auto" w:fill="auto"/>
            <w:vAlign w:val="center"/>
          </w:tcPr>
          <w:p>
            <w:pPr>
              <w:spacing w:beforeLines="20" w:before="48" w:afterLines="20" w:after="48"/>
              <w:jc w:val="center"/>
              <w:rPr>
                <w:rFonts w:eastAsia="Calibri"/>
                <w:b/>
                <w:noProof/>
                <w:sz w:val="16"/>
                <w:szCs w:val="16"/>
              </w:rPr>
            </w:pPr>
            <w:r>
              <w:rPr>
                <w:b/>
                <w:noProof/>
                <w:sz w:val="16"/>
                <w:szCs w:val="16"/>
              </w:rPr>
              <w:t>6</w:t>
            </w:r>
          </w:p>
        </w:tc>
        <w:tc>
          <w:tcPr>
            <w:tcW w:w="468" w:type="pct"/>
            <w:tcBorders>
              <w:top w:val="double" w:sz="4" w:space="0" w:color="auto"/>
            </w:tcBorders>
            <w:shd w:val="clear" w:color="auto" w:fill="auto"/>
            <w:vAlign w:val="center"/>
          </w:tcPr>
          <w:p>
            <w:pPr>
              <w:spacing w:beforeLines="20" w:before="48" w:afterLines="20" w:after="48"/>
              <w:jc w:val="center"/>
              <w:rPr>
                <w:rFonts w:eastAsia="Calibri"/>
                <w:b/>
                <w:noProof/>
                <w:sz w:val="16"/>
                <w:szCs w:val="16"/>
              </w:rPr>
            </w:pPr>
            <w:r>
              <w:rPr>
                <w:b/>
                <w:noProof/>
                <w:sz w:val="16"/>
                <w:szCs w:val="16"/>
              </w:rPr>
              <w:t>6</w:t>
            </w:r>
          </w:p>
        </w:tc>
        <w:tc>
          <w:tcPr>
            <w:tcW w:w="527" w:type="pct"/>
            <w:tcBorders>
              <w:top w:val="double" w:sz="4" w:space="0" w:color="auto"/>
            </w:tcBorders>
            <w:shd w:val="clear" w:color="auto" w:fill="auto"/>
            <w:vAlign w:val="center"/>
          </w:tcPr>
          <w:p>
            <w:pPr>
              <w:spacing w:beforeLines="20" w:before="48" w:afterLines="20" w:after="48"/>
              <w:jc w:val="center"/>
              <w:rPr>
                <w:rFonts w:eastAsia="Calibri"/>
                <w:b/>
                <w:noProof/>
                <w:sz w:val="16"/>
                <w:szCs w:val="16"/>
              </w:rPr>
            </w:pPr>
            <w:r>
              <w:rPr>
                <w:b/>
                <w:noProof/>
                <w:sz w:val="16"/>
                <w:szCs w:val="16"/>
              </w:rPr>
              <w:t>6</w:t>
            </w:r>
          </w:p>
        </w:tc>
      </w:tr>
    </w:tbl>
    <w:p>
      <w:pPr>
        <w:ind w:left="850"/>
        <w:rPr>
          <w:rFonts w:eastAsia="Calibri"/>
          <w:noProof/>
          <w:sz w:val="18"/>
          <w:szCs w:val="18"/>
        </w:rPr>
      </w:pPr>
      <w:r>
        <w:rPr>
          <w:noProof/>
          <w:sz w:val="18"/>
        </w:rPr>
        <w:t>Potřeby v oblasti lidských zdrojů budou pokryty ze zdrojů GŘ, které jsou již vyčleněny na řízení akce a/nebo byly vnitřně přeobsazeny v rámci GŘ, a případně doplněny z dodatečného přídělu, který lze řídícímu GŘ poskytnout v rámci ročního přidělování a s ohledem na rozpočtová omezení.</w:t>
      </w:r>
    </w:p>
    <w:p>
      <w:pPr>
        <w:rPr>
          <w:rFonts w:eastAsia="Calibri"/>
          <w:noProof/>
          <w:sz w:val="20"/>
        </w:rPr>
      </w:pPr>
      <w:r>
        <w:rPr>
          <w:noProof/>
          <w:sz w:val="20"/>
        </w:rPr>
        <w:t>Popis úkolů:</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rFonts w:eastAsia="Calibri"/>
                <w:noProof/>
                <w:sz w:val="20"/>
              </w:rPr>
            </w:pPr>
            <w:r>
              <w:rPr>
                <w:noProof/>
                <w:sz w:val="20"/>
              </w:rPr>
              <w:t>Úředníci a dočasní zaměstnanci</w:t>
            </w:r>
          </w:p>
        </w:tc>
        <w:tc>
          <w:tcPr>
            <w:tcW w:w="7392" w:type="dxa"/>
          </w:tcPr>
          <w:p>
            <w:pPr>
              <w:autoSpaceDE w:val="0"/>
              <w:autoSpaceDN w:val="0"/>
              <w:adjustRightInd w:val="0"/>
              <w:spacing w:before="0" w:after="0"/>
              <w:jc w:val="left"/>
              <w:rPr>
                <w:rFonts w:eastAsia="Calibri"/>
                <w:noProof/>
                <w:sz w:val="20"/>
              </w:rPr>
            </w:pPr>
            <w:r>
              <w:rPr>
                <w:noProof/>
                <w:sz w:val="20"/>
              </w:rPr>
              <w:t>– příprava stanoviska Komise k jednotnému programovému dokumentu,</w:t>
            </w:r>
          </w:p>
          <w:p>
            <w:pPr>
              <w:autoSpaceDE w:val="0"/>
              <w:autoSpaceDN w:val="0"/>
              <w:adjustRightInd w:val="0"/>
              <w:spacing w:before="0" w:after="0"/>
              <w:jc w:val="left"/>
              <w:rPr>
                <w:rFonts w:eastAsia="Calibri"/>
                <w:noProof/>
                <w:sz w:val="20"/>
              </w:rPr>
            </w:pPr>
            <w:r>
              <w:rPr>
                <w:noProof/>
                <w:sz w:val="20"/>
              </w:rPr>
              <w:t>– příprava postoje pozorovatele Komise na zasedáních správní rady EIT,</w:t>
            </w:r>
          </w:p>
          <w:p>
            <w:pPr>
              <w:autoSpaceDE w:val="0"/>
              <w:autoSpaceDN w:val="0"/>
              <w:adjustRightInd w:val="0"/>
              <w:spacing w:before="0" w:after="0"/>
              <w:jc w:val="left"/>
              <w:rPr>
                <w:rFonts w:eastAsia="Calibri"/>
                <w:noProof/>
                <w:sz w:val="20"/>
              </w:rPr>
            </w:pPr>
            <w:r>
              <w:rPr>
                <w:noProof/>
                <w:sz w:val="20"/>
              </w:rPr>
              <w:t>– příprava rozhodnutí Komise o jmenování členů správní rady EIT,</w:t>
            </w:r>
          </w:p>
          <w:p>
            <w:pPr>
              <w:autoSpaceDE w:val="0"/>
              <w:autoSpaceDN w:val="0"/>
              <w:adjustRightInd w:val="0"/>
              <w:spacing w:before="0" w:after="0"/>
              <w:jc w:val="left"/>
              <w:rPr>
                <w:rFonts w:eastAsia="Calibri"/>
                <w:noProof/>
                <w:sz w:val="20"/>
              </w:rPr>
            </w:pPr>
            <w:r>
              <w:rPr>
                <w:noProof/>
                <w:sz w:val="20"/>
              </w:rPr>
              <w:t>– obecná koordinace s ostatními útvary Komise a koordinace a soulad s dalšími iniciativami EU, zejména s programem Horizont Evropa,</w:t>
            </w:r>
          </w:p>
          <w:p>
            <w:pPr>
              <w:autoSpaceDE w:val="0"/>
              <w:autoSpaceDN w:val="0"/>
              <w:adjustRightInd w:val="0"/>
              <w:spacing w:before="0" w:after="0"/>
              <w:jc w:val="left"/>
              <w:rPr>
                <w:rFonts w:eastAsia="Calibri"/>
                <w:noProof/>
                <w:sz w:val="20"/>
              </w:rPr>
            </w:pPr>
            <w:r>
              <w:rPr>
                <w:noProof/>
                <w:sz w:val="20"/>
              </w:rPr>
              <w:t>– příprava postoje Komise na platformě zúčastněných stran EIT,</w:t>
            </w:r>
          </w:p>
          <w:p>
            <w:pPr>
              <w:autoSpaceDE w:val="0"/>
              <w:autoSpaceDN w:val="0"/>
              <w:adjustRightInd w:val="0"/>
              <w:spacing w:before="0" w:after="0"/>
              <w:jc w:val="left"/>
              <w:rPr>
                <w:rFonts w:eastAsia="Calibri"/>
                <w:noProof/>
                <w:sz w:val="20"/>
              </w:rPr>
            </w:pPr>
            <w:r>
              <w:rPr>
                <w:noProof/>
                <w:sz w:val="20"/>
              </w:rPr>
              <w:t>– příprava postoje Komise ve skupině zástupců členských států,</w:t>
            </w:r>
          </w:p>
          <w:p>
            <w:pPr>
              <w:autoSpaceDE w:val="0"/>
              <w:autoSpaceDN w:val="0"/>
              <w:adjustRightInd w:val="0"/>
              <w:spacing w:before="0" w:after="0"/>
              <w:jc w:val="left"/>
              <w:rPr>
                <w:rFonts w:eastAsia="Calibri"/>
                <w:noProof/>
                <w:sz w:val="20"/>
              </w:rPr>
            </w:pPr>
            <w:r>
              <w:rPr>
                <w:noProof/>
                <w:sz w:val="20"/>
              </w:rPr>
              <w:t>– organizace výročních zasedání EIT a znalostních a inovačních společenství s útvary Komise,</w:t>
            </w:r>
          </w:p>
          <w:p>
            <w:pPr>
              <w:autoSpaceDE w:val="0"/>
              <w:autoSpaceDN w:val="0"/>
              <w:adjustRightInd w:val="0"/>
              <w:spacing w:before="0" w:after="0"/>
              <w:jc w:val="left"/>
              <w:rPr>
                <w:rFonts w:eastAsia="Calibri"/>
                <w:noProof/>
                <w:sz w:val="20"/>
              </w:rPr>
            </w:pPr>
            <w:r>
              <w:rPr>
                <w:noProof/>
                <w:sz w:val="20"/>
              </w:rPr>
              <w:t>– návazná opatření u výzev k předkládání návrhů na nová znalostní a inovační společenství,</w:t>
            </w:r>
          </w:p>
          <w:p>
            <w:pPr>
              <w:autoSpaceDE w:val="0"/>
              <w:autoSpaceDN w:val="0"/>
              <w:adjustRightInd w:val="0"/>
              <w:spacing w:before="0" w:after="0"/>
              <w:jc w:val="left"/>
              <w:rPr>
                <w:rFonts w:eastAsia="Calibri"/>
                <w:noProof/>
                <w:sz w:val="20"/>
              </w:rPr>
            </w:pPr>
            <w:r>
              <w:rPr>
                <w:noProof/>
                <w:sz w:val="20"/>
              </w:rPr>
              <w:t>– sledování a hodnocení EIT,</w:t>
            </w:r>
          </w:p>
          <w:p>
            <w:pPr>
              <w:autoSpaceDE w:val="0"/>
              <w:autoSpaceDN w:val="0"/>
              <w:adjustRightInd w:val="0"/>
              <w:spacing w:before="0" w:after="0"/>
              <w:jc w:val="left"/>
              <w:rPr>
                <w:rFonts w:eastAsia="Calibri"/>
                <w:noProof/>
                <w:sz w:val="20"/>
              </w:rPr>
            </w:pPr>
            <w:r>
              <w:rPr>
                <w:noProof/>
                <w:sz w:val="20"/>
              </w:rPr>
              <w:t>– zajišťování souladu titulů se značkou EIT s činnostmi prováděnými v souvislosti s prostorem vysokoškolského vzdělávání,</w:t>
            </w:r>
          </w:p>
          <w:p>
            <w:pPr>
              <w:autoSpaceDE w:val="0"/>
              <w:autoSpaceDN w:val="0"/>
              <w:adjustRightInd w:val="0"/>
              <w:spacing w:before="0" w:after="0"/>
              <w:jc w:val="left"/>
              <w:rPr>
                <w:rFonts w:eastAsia="Calibri"/>
                <w:noProof/>
                <w:sz w:val="20"/>
              </w:rPr>
            </w:pPr>
            <w:r>
              <w:rPr>
                <w:noProof/>
                <w:sz w:val="20"/>
              </w:rPr>
              <w:t>– úkoly související s přípravou procesů Komise týkajících se cyklu strategického plánování a programování (výroční zpráva o činnosti, ...) a správy rozpočtu,</w:t>
            </w:r>
          </w:p>
          <w:p>
            <w:pPr>
              <w:autoSpaceDE w:val="0"/>
              <w:autoSpaceDN w:val="0"/>
              <w:adjustRightInd w:val="0"/>
              <w:spacing w:before="0" w:after="0"/>
              <w:jc w:val="left"/>
              <w:rPr>
                <w:rFonts w:eastAsia="Calibri"/>
                <w:noProof/>
                <w:sz w:val="20"/>
              </w:rPr>
            </w:pPr>
            <w:r>
              <w:rPr>
                <w:noProof/>
                <w:sz w:val="20"/>
              </w:rPr>
              <w:t>– návazná opatření u auditů prováděných útvary interního auditu a Evropským účetním dvorem.</w:t>
            </w:r>
          </w:p>
          <w:p>
            <w:pPr>
              <w:autoSpaceDE w:val="0"/>
              <w:autoSpaceDN w:val="0"/>
              <w:adjustRightInd w:val="0"/>
              <w:spacing w:before="0" w:after="0"/>
              <w:jc w:val="left"/>
              <w:rPr>
                <w:rFonts w:eastAsia="Calibri"/>
                <w:noProof/>
                <w:sz w:val="20"/>
              </w:rPr>
            </w:pPr>
          </w:p>
        </w:tc>
      </w:tr>
      <w:tr>
        <w:tc>
          <w:tcPr>
            <w:tcW w:w="3240" w:type="dxa"/>
          </w:tcPr>
          <w:p>
            <w:pPr>
              <w:spacing w:before="60" w:after="60"/>
              <w:rPr>
                <w:rFonts w:eastAsia="Calibri"/>
                <w:noProof/>
                <w:sz w:val="20"/>
              </w:rPr>
            </w:pPr>
            <w:r>
              <w:rPr>
                <w:noProof/>
                <w:sz w:val="20"/>
              </w:rPr>
              <w:t>Externí zaměstnanci</w:t>
            </w:r>
          </w:p>
        </w:tc>
        <w:tc>
          <w:tcPr>
            <w:tcW w:w="7392" w:type="dxa"/>
          </w:tcPr>
          <w:p>
            <w:pPr>
              <w:autoSpaceDE w:val="0"/>
              <w:autoSpaceDN w:val="0"/>
              <w:adjustRightInd w:val="0"/>
              <w:spacing w:before="0" w:after="0"/>
              <w:jc w:val="left"/>
              <w:rPr>
                <w:rFonts w:eastAsia="Calibri"/>
                <w:noProof/>
                <w:sz w:val="20"/>
              </w:rPr>
            </w:pPr>
            <w:r>
              <w:rPr>
                <w:noProof/>
                <w:sz w:val="20"/>
              </w:rPr>
              <w:t>– pomoc s přípravou stanoviska Komise k jednotnému programovému dokumentu,</w:t>
            </w:r>
          </w:p>
          <w:p>
            <w:pPr>
              <w:autoSpaceDE w:val="0"/>
              <w:autoSpaceDN w:val="0"/>
              <w:adjustRightInd w:val="0"/>
              <w:spacing w:before="0" w:after="0"/>
              <w:jc w:val="left"/>
              <w:rPr>
                <w:rFonts w:eastAsia="Calibri"/>
                <w:noProof/>
                <w:sz w:val="20"/>
              </w:rPr>
            </w:pPr>
            <w:r>
              <w:rPr>
                <w:noProof/>
                <w:sz w:val="20"/>
              </w:rPr>
              <w:t>– pomoc s obecnou koordinací s ostatními útvary Komise a koordinace a soulad s dalšími iniciativami EU, zejména s programem Horizont Evropa,</w:t>
            </w:r>
          </w:p>
          <w:p>
            <w:pPr>
              <w:autoSpaceDE w:val="0"/>
              <w:autoSpaceDN w:val="0"/>
              <w:adjustRightInd w:val="0"/>
              <w:spacing w:before="0" w:after="0"/>
              <w:jc w:val="left"/>
              <w:rPr>
                <w:rFonts w:eastAsia="Calibri"/>
                <w:noProof/>
                <w:sz w:val="20"/>
              </w:rPr>
            </w:pPr>
            <w:r>
              <w:rPr>
                <w:noProof/>
                <w:sz w:val="20"/>
              </w:rPr>
              <w:t>– pomoc s přípravou postoje Komise na platformě zúčastněných stran EIT,</w:t>
            </w:r>
          </w:p>
          <w:p>
            <w:pPr>
              <w:autoSpaceDE w:val="0"/>
              <w:autoSpaceDN w:val="0"/>
              <w:adjustRightInd w:val="0"/>
              <w:spacing w:before="0" w:after="0"/>
              <w:jc w:val="left"/>
              <w:rPr>
                <w:rFonts w:eastAsia="Calibri"/>
                <w:noProof/>
                <w:sz w:val="20"/>
              </w:rPr>
            </w:pPr>
            <w:r>
              <w:rPr>
                <w:noProof/>
                <w:sz w:val="20"/>
              </w:rPr>
              <w:t>– pomoc s přípravou postoje Komise ve skupině zástupců členských států,</w:t>
            </w:r>
          </w:p>
          <w:p>
            <w:pPr>
              <w:autoSpaceDE w:val="0"/>
              <w:autoSpaceDN w:val="0"/>
              <w:adjustRightInd w:val="0"/>
              <w:spacing w:before="0" w:after="0"/>
              <w:jc w:val="left"/>
              <w:rPr>
                <w:rFonts w:eastAsia="Calibri"/>
                <w:noProof/>
                <w:sz w:val="20"/>
              </w:rPr>
            </w:pPr>
            <w:r>
              <w:rPr>
                <w:noProof/>
                <w:sz w:val="20"/>
              </w:rPr>
              <w:t>– pomoc s organizací výročních zasedání EIT a znalostních a inovačních společenství s útvary Komise,</w:t>
            </w:r>
          </w:p>
          <w:p>
            <w:pPr>
              <w:autoSpaceDE w:val="0"/>
              <w:autoSpaceDN w:val="0"/>
              <w:adjustRightInd w:val="0"/>
              <w:spacing w:before="0" w:after="0"/>
              <w:jc w:val="left"/>
              <w:rPr>
                <w:rFonts w:eastAsia="Calibri"/>
                <w:noProof/>
                <w:sz w:val="20"/>
              </w:rPr>
            </w:pPr>
            <w:r>
              <w:rPr>
                <w:noProof/>
                <w:sz w:val="20"/>
              </w:rPr>
              <w:t>– návazná opatření u výzev k předkládání návrhů na nová znalostní a inovační společenství,</w:t>
            </w:r>
          </w:p>
          <w:p>
            <w:pPr>
              <w:autoSpaceDE w:val="0"/>
              <w:autoSpaceDN w:val="0"/>
              <w:adjustRightInd w:val="0"/>
              <w:spacing w:before="0" w:after="0"/>
              <w:jc w:val="left"/>
              <w:rPr>
                <w:rFonts w:eastAsia="Calibri"/>
                <w:noProof/>
                <w:sz w:val="20"/>
              </w:rPr>
            </w:pPr>
            <w:r>
              <w:rPr>
                <w:noProof/>
                <w:sz w:val="20"/>
              </w:rPr>
              <w:t>– pomoc se zajišťováním souladu titulů se značkou EIT s činnostmi prováděnými v souvislosti s prostorem vysokoškolského vzdělávání,</w:t>
            </w:r>
          </w:p>
          <w:p>
            <w:pPr>
              <w:autoSpaceDE w:val="0"/>
              <w:autoSpaceDN w:val="0"/>
              <w:adjustRightInd w:val="0"/>
              <w:spacing w:before="0" w:after="0"/>
              <w:jc w:val="left"/>
              <w:rPr>
                <w:rFonts w:eastAsia="Calibri"/>
                <w:noProof/>
                <w:sz w:val="20"/>
              </w:rPr>
            </w:pPr>
            <w:r>
              <w:rPr>
                <w:noProof/>
                <w:sz w:val="20"/>
              </w:rPr>
              <w:t>– pomoc s přípravou procesů Komise týkajících se cyklu strategického plánování a programování (výroční zpráva o činnosti, ...) a rozpočtu,</w:t>
            </w:r>
          </w:p>
          <w:p>
            <w:pPr>
              <w:autoSpaceDE w:val="0"/>
              <w:autoSpaceDN w:val="0"/>
              <w:adjustRightInd w:val="0"/>
              <w:spacing w:before="0" w:after="0"/>
              <w:jc w:val="left"/>
              <w:rPr>
                <w:rFonts w:eastAsia="Calibri"/>
                <w:noProof/>
                <w:sz w:val="20"/>
              </w:rPr>
            </w:pPr>
            <w:r>
              <w:rPr>
                <w:noProof/>
                <w:sz w:val="20"/>
              </w:rPr>
              <w:t>– pomoc s návaznými opatřeními u auditů (útvarů interního auditu a Evropského účetního dvora).</w:t>
            </w:r>
          </w:p>
          <w:p>
            <w:pPr>
              <w:rPr>
                <w:rFonts w:eastAsia="Calibri"/>
                <w:noProof/>
                <w:sz w:val="20"/>
              </w:rPr>
            </w:pPr>
          </w:p>
        </w:tc>
      </w:tr>
    </w:tbl>
    <w:p>
      <w:pPr>
        <w:keepNext/>
        <w:tabs>
          <w:tab w:val="num" w:pos="3118"/>
        </w:tabs>
        <w:ind w:left="851" w:hanging="851"/>
        <w:outlineLvl w:val="3"/>
        <w:rPr>
          <w:rFonts w:eastAsia="Calibri"/>
          <w:bCs/>
          <w:iCs/>
          <w:noProof/>
        </w:rPr>
      </w:pPr>
      <w:r>
        <w:rPr>
          <w:noProof/>
        </w:rPr>
        <w:t>3.2.2.2</w:t>
      </w:r>
      <w:r>
        <w:rPr>
          <w:noProof/>
        </w:rPr>
        <w:tab/>
        <w:t>Odhadované požadavky na lidské zdroje v Evropském inovačním a technologickém institutu (EIT)</w:t>
      </w:r>
    </w:p>
    <w:p>
      <w:pPr>
        <w:spacing w:after="60"/>
        <w:jc w:val="right"/>
        <w:rPr>
          <w:rFonts w:eastAsia="Calibri"/>
          <w:i/>
          <w:noProof/>
          <w:sz w:val="20"/>
        </w:rPr>
      </w:pPr>
      <w:r>
        <w:rPr>
          <w:i/>
          <w:noProof/>
          <w:sz w:val="20"/>
        </w:rPr>
        <w:t>Odhad vyjádřete v přepočtu na plné pracovní úvazky</w:t>
      </w:r>
    </w:p>
    <w:tbl>
      <w:tblPr>
        <w:tblW w:w="8599" w:type="dxa"/>
        <w:jc w:val="center"/>
        <w:tblCellMar>
          <w:left w:w="0" w:type="dxa"/>
          <w:right w:w="0" w:type="dxa"/>
        </w:tblCellMar>
        <w:tblLook w:val="04A0" w:firstRow="1" w:lastRow="0" w:firstColumn="1" w:lastColumn="0" w:noHBand="0" w:noVBand="1"/>
      </w:tblPr>
      <w:tblGrid>
        <w:gridCol w:w="2474"/>
        <w:gridCol w:w="875"/>
        <w:gridCol w:w="875"/>
        <w:gridCol w:w="875"/>
        <w:gridCol w:w="875"/>
        <w:gridCol w:w="875"/>
        <w:gridCol w:w="875"/>
        <w:gridCol w:w="875"/>
      </w:tblGrid>
      <w:tr>
        <w:trPr>
          <w:trHeight w:val="277"/>
          <w:jc w:val="center"/>
        </w:trPr>
        <w:tc>
          <w:tcPr>
            <w:tcW w:w="24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76" w:lineRule="auto"/>
              <w:rPr>
                <w:rFonts w:eastAsia="Calibri"/>
                <w:noProof/>
                <w:color w:val="000000"/>
              </w:rPr>
            </w:pPr>
            <w:r>
              <w:rPr>
                <w:noProof/>
                <w:color w:val="000000"/>
              </w:rPr>
              <w:t>EIT (v Budapešti)</w:t>
            </w:r>
          </w:p>
        </w:tc>
        <w:tc>
          <w:tcPr>
            <w:tcW w:w="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spacing w:line="276" w:lineRule="auto"/>
              <w:jc w:val="center"/>
              <w:rPr>
                <w:rFonts w:eastAsia="Calibri"/>
                <w:noProof/>
                <w:color w:val="000000"/>
                <w:sz w:val="20"/>
                <w:szCs w:val="20"/>
              </w:rPr>
            </w:pPr>
            <w:r>
              <w:rPr>
                <w:noProof/>
                <w:color w:val="000000"/>
                <w:sz w:val="20"/>
                <w:szCs w:val="20"/>
              </w:rPr>
              <w:t>2021</w:t>
            </w:r>
          </w:p>
        </w:tc>
        <w:tc>
          <w:tcPr>
            <w:tcW w:w="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spacing w:line="276" w:lineRule="auto"/>
              <w:jc w:val="center"/>
              <w:rPr>
                <w:rFonts w:eastAsia="Calibri"/>
                <w:noProof/>
                <w:color w:val="000000"/>
                <w:sz w:val="20"/>
                <w:szCs w:val="20"/>
              </w:rPr>
            </w:pPr>
            <w:r>
              <w:rPr>
                <w:noProof/>
                <w:color w:val="000000"/>
                <w:sz w:val="20"/>
                <w:szCs w:val="20"/>
              </w:rPr>
              <w:t>2022</w:t>
            </w:r>
          </w:p>
        </w:tc>
        <w:tc>
          <w:tcPr>
            <w:tcW w:w="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spacing w:line="276" w:lineRule="auto"/>
              <w:jc w:val="center"/>
              <w:rPr>
                <w:rFonts w:eastAsia="Calibri"/>
                <w:noProof/>
                <w:color w:val="000000"/>
                <w:sz w:val="20"/>
                <w:szCs w:val="20"/>
              </w:rPr>
            </w:pPr>
            <w:r>
              <w:rPr>
                <w:noProof/>
                <w:color w:val="000000"/>
                <w:sz w:val="20"/>
                <w:szCs w:val="20"/>
              </w:rPr>
              <w:t>2023</w:t>
            </w:r>
          </w:p>
        </w:tc>
        <w:tc>
          <w:tcPr>
            <w:tcW w:w="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spacing w:line="276" w:lineRule="auto"/>
              <w:jc w:val="center"/>
              <w:rPr>
                <w:rFonts w:eastAsia="Calibri"/>
                <w:noProof/>
                <w:color w:val="000000"/>
                <w:sz w:val="20"/>
                <w:szCs w:val="20"/>
              </w:rPr>
            </w:pPr>
            <w:r>
              <w:rPr>
                <w:noProof/>
                <w:color w:val="000000"/>
                <w:sz w:val="20"/>
                <w:szCs w:val="20"/>
              </w:rPr>
              <w:t>2024</w:t>
            </w:r>
          </w:p>
        </w:tc>
        <w:tc>
          <w:tcPr>
            <w:tcW w:w="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spacing w:line="276" w:lineRule="auto"/>
              <w:jc w:val="center"/>
              <w:rPr>
                <w:rFonts w:eastAsia="Calibri"/>
                <w:noProof/>
                <w:color w:val="000000"/>
                <w:sz w:val="20"/>
                <w:szCs w:val="20"/>
              </w:rPr>
            </w:pPr>
            <w:r>
              <w:rPr>
                <w:noProof/>
                <w:color w:val="000000"/>
                <w:sz w:val="20"/>
                <w:szCs w:val="20"/>
              </w:rPr>
              <w:t>2025</w:t>
            </w:r>
          </w:p>
        </w:tc>
        <w:tc>
          <w:tcPr>
            <w:tcW w:w="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spacing w:line="276" w:lineRule="auto"/>
              <w:jc w:val="center"/>
              <w:rPr>
                <w:rFonts w:eastAsia="Calibri"/>
                <w:noProof/>
                <w:color w:val="000000"/>
                <w:sz w:val="20"/>
                <w:szCs w:val="20"/>
              </w:rPr>
            </w:pPr>
            <w:r>
              <w:rPr>
                <w:noProof/>
                <w:color w:val="000000"/>
                <w:sz w:val="20"/>
                <w:szCs w:val="20"/>
              </w:rPr>
              <w:t>2026</w:t>
            </w:r>
          </w:p>
        </w:tc>
        <w:tc>
          <w:tcPr>
            <w:tcW w:w="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spacing w:line="276" w:lineRule="auto"/>
              <w:jc w:val="center"/>
              <w:rPr>
                <w:rFonts w:eastAsia="Calibri"/>
                <w:noProof/>
                <w:color w:val="000000"/>
                <w:sz w:val="20"/>
                <w:szCs w:val="20"/>
              </w:rPr>
            </w:pPr>
            <w:r>
              <w:rPr>
                <w:noProof/>
                <w:color w:val="000000"/>
                <w:sz w:val="20"/>
                <w:szCs w:val="20"/>
              </w:rPr>
              <w:t>2027</w:t>
            </w:r>
          </w:p>
        </w:tc>
      </w:tr>
      <w:tr>
        <w:trPr>
          <w:trHeight w:val="542"/>
          <w:jc w:val="center"/>
        </w:trPr>
        <w:tc>
          <w:tcPr>
            <w:tcW w:w="24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76" w:lineRule="auto"/>
              <w:rPr>
                <w:rFonts w:eastAsia="Calibri"/>
                <w:noProof/>
                <w:color w:val="000000"/>
                <w:sz w:val="20"/>
                <w:szCs w:val="20"/>
              </w:rPr>
            </w:pPr>
            <w:r>
              <w:rPr>
                <w:noProof/>
                <w:color w:val="000000"/>
                <w:sz w:val="20"/>
                <w:szCs w:val="20"/>
              </w:rPr>
              <w:t>Úředníci Komise</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Cs w:val="24"/>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lang w:eastAsia="en-GB"/>
              </w:rPr>
            </w:pPr>
          </w:p>
        </w:tc>
      </w:tr>
      <w:tr>
        <w:trPr>
          <w:trHeight w:val="277"/>
          <w:jc w:val="center"/>
        </w:trPr>
        <w:tc>
          <w:tcPr>
            <w:tcW w:w="24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76" w:lineRule="auto"/>
              <w:jc w:val="right"/>
              <w:rPr>
                <w:rFonts w:eastAsia="Calibri"/>
                <w:noProof/>
                <w:color w:val="000000"/>
                <w:sz w:val="20"/>
                <w:szCs w:val="20"/>
              </w:rPr>
            </w:pPr>
            <w:r>
              <w:rPr>
                <w:noProof/>
                <w:color w:val="000000"/>
                <w:sz w:val="20"/>
                <w:szCs w:val="20"/>
              </w:rPr>
              <w:t>z toho AD</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r>
      <w:tr>
        <w:trPr>
          <w:trHeight w:val="277"/>
          <w:jc w:val="center"/>
        </w:trPr>
        <w:tc>
          <w:tcPr>
            <w:tcW w:w="24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76" w:lineRule="auto"/>
              <w:jc w:val="right"/>
              <w:rPr>
                <w:rFonts w:eastAsia="Calibri"/>
                <w:noProof/>
                <w:color w:val="000000"/>
                <w:sz w:val="20"/>
                <w:szCs w:val="20"/>
              </w:rPr>
            </w:pPr>
            <w:r>
              <w:rPr>
                <w:noProof/>
                <w:color w:val="000000"/>
                <w:sz w:val="20"/>
                <w:szCs w:val="20"/>
              </w:rPr>
              <w:t>z toho AST</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r>
      <w:tr>
        <w:trPr>
          <w:trHeight w:val="277"/>
          <w:jc w:val="center"/>
        </w:trPr>
        <w:tc>
          <w:tcPr>
            <w:tcW w:w="24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76" w:lineRule="auto"/>
              <w:jc w:val="right"/>
              <w:rPr>
                <w:rFonts w:eastAsia="Calibri"/>
                <w:noProof/>
                <w:color w:val="000000"/>
                <w:sz w:val="20"/>
                <w:szCs w:val="20"/>
              </w:rPr>
            </w:pPr>
            <w:r>
              <w:rPr>
                <w:noProof/>
                <w:color w:val="000000"/>
                <w:sz w:val="20"/>
                <w:szCs w:val="20"/>
              </w:rPr>
              <w:t>z toho AST-SC</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r>
      <w:tr>
        <w:trPr>
          <w:trHeight w:val="277"/>
          <w:jc w:val="center"/>
        </w:trPr>
        <w:tc>
          <w:tcPr>
            <w:tcW w:w="24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76" w:lineRule="auto"/>
              <w:rPr>
                <w:rFonts w:eastAsia="Calibri"/>
                <w:noProof/>
                <w:color w:val="000000"/>
                <w:sz w:val="20"/>
                <w:szCs w:val="20"/>
              </w:rPr>
            </w:pPr>
            <w:r>
              <w:rPr>
                <w:noProof/>
                <w:color w:val="000000"/>
                <w:sz w:val="20"/>
                <w:szCs w:val="20"/>
              </w:rPr>
              <w:t>Dočasní zaměstnanci</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Cs w:val="24"/>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lang w:eastAsia="en-GB"/>
              </w:rPr>
            </w:pPr>
          </w:p>
        </w:tc>
      </w:tr>
      <w:tr>
        <w:trPr>
          <w:trHeight w:val="277"/>
          <w:jc w:val="center"/>
        </w:trPr>
        <w:tc>
          <w:tcPr>
            <w:tcW w:w="24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76" w:lineRule="auto"/>
              <w:jc w:val="right"/>
              <w:rPr>
                <w:rFonts w:eastAsia="Calibri"/>
                <w:noProof/>
                <w:color w:val="000000"/>
                <w:sz w:val="20"/>
                <w:szCs w:val="20"/>
              </w:rPr>
            </w:pPr>
            <w:r>
              <w:rPr>
                <w:noProof/>
                <w:color w:val="000000"/>
                <w:sz w:val="20"/>
                <w:szCs w:val="20"/>
              </w:rPr>
              <w:t>z toho AD</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noProof/>
                <w:sz w:val="20"/>
                <w:szCs w:val="20"/>
              </w:rPr>
              <w:t>40</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noProof/>
                <w:sz w:val="20"/>
                <w:szCs w:val="20"/>
              </w:rPr>
              <w:t>40</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noProof/>
                <w:sz w:val="20"/>
                <w:szCs w:val="20"/>
              </w:rPr>
              <w:t>40</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noProof/>
                <w:sz w:val="20"/>
                <w:szCs w:val="20"/>
              </w:rPr>
              <w:t>40</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noProof/>
                <w:sz w:val="20"/>
                <w:szCs w:val="20"/>
              </w:rPr>
              <w:t>40</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noProof/>
                <w:sz w:val="20"/>
                <w:szCs w:val="20"/>
              </w:rPr>
              <w:t>40</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noProof/>
                <w:sz w:val="20"/>
                <w:szCs w:val="20"/>
              </w:rPr>
              <w:t>40</w:t>
            </w:r>
          </w:p>
        </w:tc>
      </w:tr>
      <w:tr>
        <w:trPr>
          <w:trHeight w:val="277"/>
          <w:jc w:val="center"/>
        </w:trPr>
        <w:tc>
          <w:tcPr>
            <w:tcW w:w="24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76" w:lineRule="auto"/>
              <w:jc w:val="right"/>
              <w:rPr>
                <w:rFonts w:eastAsia="Calibri"/>
                <w:noProof/>
                <w:color w:val="000000"/>
                <w:sz w:val="20"/>
                <w:szCs w:val="20"/>
              </w:rPr>
            </w:pPr>
            <w:r>
              <w:rPr>
                <w:noProof/>
                <w:color w:val="000000"/>
                <w:sz w:val="20"/>
                <w:szCs w:val="20"/>
              </w:rPr>
              <w:t>z toho AST</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r>
              <w:rPr>
                <w:noProof/>
                <w:color w:val="000000"/>
                <w:sz w:val="20"/>
                <w:szCs w:val="20"/>
              </w:rPr>
              <w:t>5</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r>
              <w:rPr>
                <w:noProof/>
                <w:color w:val="000000"/>
                <w:sz w:val="20"/>
                <w:szCs w:val="20"/>
              </w:rPr>
              <w:t>5</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r>
              <w:rPr>
                <w:noProof/>
                <w:color w:val="000000"/>
                <w:sz w:val="20"/>
                <w:szCs w:val="20"/>
              </w:rPr>
              <w:t>5</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r>
              <w:rPr>
                <w:noProof/>
                <w:color w:val="000000"/>
                <w:sz w:val="20"/>
                <w:szCs w:val="20"/>
              </w:rPr>
              <w:t>5</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r>
              <w:rPr>
                <w:noProof/>
                <w:color w:val="000000"/>
                <w:sz w:val="20"/>
                <w:szCs w:val="20"/>
              </w:rPr>
              <w:t>5</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r>
              <w:rPr>
                <w:noProof/>
                <w:color w:val="000000"/>
                <w:sz w:val="20"/>
                <w:szCs w:val="20"/>
              </w:rPr>
              <w:t>5</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r>
              <w:rPr>
                <w:noProof/>
                <w:color w:val="000000"/>
                <w:sz w:val="20"/>
                <w:szCs w:val="20"/>
              </w:rPr>
              <w:t>5</w:t>
            </w:r>
          </w:p>
        </w:tc>
      </w:tr>
      <w:tr>
        <w:trPr>
          <w:trHeight w:val="277"/>
          <w:jc w:val="center"/>
        </w:trPr>
        <w:tc>
          <w:tcPr>
            <w:tcW w:w="24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76" w:lineRule="auto"/>
              <w:jc w:val="right"/>
              <w:rPr>
                <w:rFonts w:eastAsia="Calibri"/>
                <w:noProof/>
                <w:color w:val="000000"/>
                <w:sz w:val="20"/>
                <w:szCs w:val="20"/>
              </w:rPr>
            </w:pPr>
            <w:r>
              <w:rPr>
                <w:noProof/>
                <w:color w:val="000000"/>
                <w:sz w:val="20"/>
                <w:szCs w:val="20"/>
              </w:rPr>
              <w:t>z toho AST-SC</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lang w:eastAsia="en-GB"/>
              </w:rPr>
            </w:pPr>
          </w:p>
        </w:tc>
      </w:tr>
      <w:tr>
        <w:trPr>
          <w:trHeight w:val="277"/>
          <w:jc w:val="center"/>
        </w:trPr>
        <w:tc>
          <w:tcPr>
            <w:tcW w:w="24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76" w:lineRule="auto"/>
              <w:rPr>
                <w:rFonts w:eastAsia="Calibri"/>
                <w:noProof/>
                <w:color w:val="000000"/>
                <w:sz w:val="20"/>
                <w:szCs w:val="20"/>
              </w:rPr>
            </w:pPr>
            <w:r>
              <w:rPr>
                <w:noProof/>
                <w:color w:val="000000"/>
                <w:sz w:val="20"/>
                <w:szCs w:val="20"/>
              </w:rPr>
              <w:t>Smluvní zaměstnanci</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noProof/>
                <w:sz w:val="20"/>
                <w:szCs w:val="20"/>
              </w:rPr>
              <w:t>23</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noProof/>
                <w:sz w:val="20"/>
                <w:szCs w:val="20"/>
              </w:rPr>
              <w:t>23</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noProof/>
                <w:sz w:val="20"/>
                <w:szCs w:val="20"/>
              </w:rPr>
              <w:t>23</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noProof/>
                <w:sz w:val="20"/>
                <w:szCs w:val="20"/>
              </w:rPr>
              <w:t>23</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noProof/>
                <w:sz w:val="20"/>
                <w:szCs w:val="20"/>
              </w:rPr>
              <w:t>23</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noProof/>
                <w:sz w:val="20"/>
                <w:szCs w:val="20"/>
              </w:rPr>
              <w:t>23</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noProof/>
                <w:sz w:val="20"/>
                <w:szCs w:val="20"/>
              </w:rPr>
              <w:t>23</w:t>
            </w:r>
          </w:p>
        </w:tc>
      </w:tr>
      <w:tr>
        <w:trPr>
          <w:trHeight w:val="277"/>
          <w:jc w:val="center"/>
        </w:trPr>
        <w:tc>
          <w:tcPr>
            <w:tcW w:w="24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76" w:lineRule="auto"/>
              <w:rPr>
                <w:rFonts w:eastAsia="Calibri"/>
                <w:noProof/>
                <w:color w:val="000000"/>
                <w:sz w:val="20"/>
                <w:szCs w:val="20"/>
              </w:rPr>
            </w:pPr>
            <w:r>
              <w:rPr>
                <w:noProof/>
                <w:color w:val="000000"/>
                <w:sz w:val="20"/>
                <w:szCs w:val="20"/>
              </w:rPr>
              <w:t>Vyslaní národní odborníci</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Lines="20" w:before="48" w:afterLines="20" w:after="48" w:line="276" w:lineRule="auto"/>
              <w:jc w:val="center"/>
              <w:rPr>
                <w:rFonts w:eastAsia="Calibri"/>
                <w:noProof/>
                <w:sz w:val="20"/>
                <w:szCs w:val="20"/>
              </w:rPr>
            </w:pPr>
            <w:r>
              <w:rPr>
                <w:noProof/>
                <w:sz w:val="20"/>
                <w:szCs w:val="20"/>
              </w:rPr>
              <w:t>2</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r>
              <w:rPr>
                <w:noProof/>
                <w:color w:val="000000"/>
                <w:sz w:val="20"/>
                <w:szCs w:val="20"/>
              </w:rPr>
              <w:t>2</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r>
              <w:rPr>
                <w:noProof/>
                <w:color w:val="000000"/>
                <w:sz w:val="20"/>
                <w:szCs w:val="20"/>
              </w:rPr>
              <w:t>2</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r>
              <w:rPr>
                <w:noProof/>
                <w:color w:val="000000"/>
                <w:sz w:val="20"/>
                <w:szCs w:val="20"/>
              </w:rPr>
              <w:t>2</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r>
              <w:rPr>
                <w:noProof/>
                <w:color w:val="000000"/>
                <w:sz w:val="20"/>
                <w:szCs w:val="20"/>
              </w:rPr>
              <w:t>2</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r>
              <w:rPr>
                <w:noProof/>
                <w:color w:val="000000"/>
                <w:sz w:val="20"/>
                <w:szCs w:val="20"/>
              </w:rPr>
              <w:t>2</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noProof/>
                <w:color w:val="000000"/>
                <w:sz w:val="20"/>
                <w:szCs w:val="20"/>
              </w:rPr>
            </w:pPr>
            <w:r>
              <w:rPr>
                <w:noProof/>
                <w:color w:val="000000"/>
                <w:sz w:val="20"/>
                <w:szCs w:val="20"/>
              </w:rPr>
              <w:t>2</w:t>
            </w:r>
          </w:p>
        </w:tc>
      </w:tr>
      <w:tr>
        <w:trPr>
          <w:trHeight w:val="277"/>
          <w:jc w:val="center"/>
        </w:trPr>
        <w:tc>
          <w:tcPr>
            <w:tcW w:w="24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76" w:lineRule="auto"/>
              <w:jc w:val="center"/>
              <w:rPr>
                <w:rFonts w:eastAsia="Calibri"/>
                <w:b/>
                <w:bCs/>
                <w:noProof/>
                <w:color w:val="000000"/>
                <w:sz w:val="20"/>
                <w:szCs w:val="20"/>
              </w:rPr>
            </w:pPr>
            <w:r>
              <w:rPr>
                <w:b/>
                <w:bCs/>
                <w:noProof/>
                <w:color w:val="000000"/>
                <w:sz w:val="20"/>
                <w:szCs w:val="20"/>
              </w:rPr>
              <w:t>Celkem</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b/>
                <w:bCs/>
                <w:noProof/>
                <w:color w:val="000000"/>
                <w:sz w:val="20"/>
                <w:szCs w:val="20"/>
              </w:rPr>
            </w:pPr>
            <w:r>
              <w:rPr>
                <w:b/>
                <w:bCs/>
                <w:noProof/>
                <w:color w:val="000000"/>
                <w:sz w:val="20"/>
                <w:szCs w:val="20"/>
              </w:rPr>
              <w:t>70</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b/>
                <w:bCs/>
                <w:noProof/>
                <w:color w:val="000000"/>
                <w:sz w:val="20"/>
                <w:szCs w:val="20"/>
              </w:rPr>
            </w:pPr>
            <w:r>
              <w:rPr>
                <w:b/>
                <w:bCs/>
                <w:noProof/>
                <w:color w:val="000000"/>
                <w:sz w:val="20"/>
                <w:szCs w:val="20"/>
              </w:rPr>
              <w:t>70</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b/>
                <w:bCs/>
                <w:noProof/>
                <w:color w:val="000000"/>
                <w:sz w:val="20"/>
                <w:szCs w:val="20"/>
              </w:rPr>
            </w:pPr>
            <w:r>
              <w:rPr>
                <w:b/>
                <w:bCs/>
                <w:noProof/>
                <w:color w:val="000000"/>
                <w:sz w:val="20"/>
                <w:szCs w:val="20"/>
              </w:rPr>
              <w:t>70</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b/>
                <w:bCs/>
                <w:noProof/>
                <w:color w:val="000000"/>
                <w:sz w:val="20"/>
                <w:szCs w:val="20"/>
              </w:rPr>
            </w:pPr>
            <w:r>
              <w:rPr>
                <w:b/>
                <w:bCs/>
                <w:noProof/>
                <w:color w:val="000000"/>
                <w:sz w:val="20"/>
                <w:szCs w:val="20"/>
              </w:rPr>
              <w:t>70</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b/>
                <w:bCs/>
                <w:noProof/>
                <w:color w:val="000000"/>
                <w:sz w:val="20"/>
                <w:szCs w:val="20"/>
              </w:rPr>
            </w:pPr>
            <w:r>
              <w:rPr>
                <w:b/>
                <w:bCs/>
                <w:noProof/>
                <w:color w:val="000000"/>
                <w:sz w:val="20"/>
                <w:szCs w:val="20"/>
              </w:rPr>
              <w:t>70</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b/>
                <w:bCs/>
                <w:noProof/>
                <w:color w:val="000000"/>
                <w:sz w:val="20"/>
                <w:szCs w:val="20"/>
              </w:rPr>
            </w:pPr>
            <w:r>
              <w:rPr>
                <w:b/>
                <w:bCs/>
                <w:noProof/>
                <w:color w:val="000000"/>
                <w:sz w:val="20"/>
                <w:szCs w:val="20"/>
              </w:rPr>
              <w:t>70</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76" w:lineRule="auto"/>
              <w:jc w:val="center"/>
              <w:rPr>
                <w:rFonts w:eastAsia="Calibri"/>
                <w:b/>
                <w:bCs/>
                <w:noProof/>
                <w:color w:val="000000"/>
                <w:sz w:val="20"/>
                <w:szCs w:val="20"/>
              </w:rPr>
            </w:pPr>
            <w:r>
              <w:rPr>
                <w:b/>
                <w:bCs/>
                <w:noProof/>
                <w:color w:val="000000"/>
                <w:sz w:val="20"/>
                <w:szCs w:val="20"/>
              </w:rPr>
              <w:t>70</w:t>
            </w:r>
          </w:p>
        </w:tc>
      </w:tr>
    </w:tbl>
    <w:p>
      <w:pPr>
        <w:rPr>
          <w:rFonts w:eastAsia="Calibri"/>
          <w:noProof/>
          <w:sz w:val="20"/>
        </w:rPr>
      </w:pPr>
      <w:r>
        <w:rPr>
          <w:noProof/>
          <w:sz w:val="20"/>
        </w:rPr>
        <w:t>Popis úkolů:</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rFonts w:eastAsia="Calibri"/>
                <w:noProof/>
                <w:sz w:val="20"/>
              </w:rPr>
            </w:pPr>
            <w:r>
              <w:rPr>
                <w:noProof/>
                <w:sz w:val="20"/>
              </w:rPr>
              <w:t>Úředníci a dočasní zaměstnanci</w:t>
            </w:r>
          </w:p>
        </w:tc>
        <w:tc>
          <w:tcPr>
            <w:tcW w:w="7392" w:type="dxa"/>
          </w:tcPr>
          <w:p>
            <w:pPr>
              <w:autoSpaceDE w:val="0"/>
              <w:autoSpaceDN w:val="0"/>
              <w:adjustRightInd w:val="0"/>
              <w:spacing w:before="0" w:after="0"/>
              <w:jc w:val="left"/>
              <w:rPr>
                <w:rFonts w:eastAsia="Calibri"/>
                <w:noProof/>
                <w:sz w:val="20"/>
              </w:rPr>
            </w:pPr>
            <w:r>
              <w:rPr>
                <w:noProof/>
                <w:sz w:val="20"/>
              </w:rPr>
              <w:t>– rozpočet EIT, plánování a podávání zpráv,</w:t>
            </w:r>
          </w:p>
          <w:p>
            <w:pPr>
              <w:autoSpaceDE w:val="0"/>
              <w:autoSpaceDN w:val="0"/>
              <w:adjustRightInd w:val="0"/>
              <w:spacing w:before="0" w:after="0"/>
              <w:jc w:val="left"/>
              <w:rPr>
                <w:rFonts w:eastAsia="Calibri"/>
                <w:noProof/>
                <w:sz w:val="20"/>
              </w:rPr>
            </w:pPr>
            <w:r>
              <w:rPr>
                <w:noProof/>
                <w:sz w:val="20"/>
              </w:rPr>
              <w:t>– program EIT pro zjednodušování,</w:t>
            </w:r>
          </w:p>
          <w:p>
            <w:pPr>
              <w:autoSpaceDE w:val="0"/>
              <w:autoSpaceDN w:val="0"/>
              <w:adjustRightInd w:val="0"/>
              <w:spacing w:before="0" w:after="0"/>
              <w:jc w:val="left"/>
              <w:rPr>
                <w:rFonts w:eastAsia="Calibri"/>
                <w:noProof/>
                <w:sz w:val="20"/>
              </w:rPr>
            </w:pPr>
            <w:r>
              <w:rPr>
                <w:noProof/>
                <w:sz w:val="20"/>
              </w:rPr>
              <w:t>– příprava nových fází určování a výběru znalostních a inovačních společenství,</w:t>
            </w:r>
          </w:p>
          <w:p>
            <w:pPr>
              <w:autoSpaceDE w:val="0"/>
              <w:autoSpaceDN w:val="0"/>
              <w:adjustRightInd w:val="0"/>
              <w:spacing w:before="0" w:after="0"/>
              <w:jc w:val="left"/>
              <w:rPr>
                <w:rFonts w:eastAsia="Calibri"/>
                <w:noProof/>
                <w:sz w:val="20"/>
              </w:rPr>
            </w:pPr>
            <w:r>
              <w:rPr>
                <w:noProof/>
                <w:sz w:val="20"/>
              </w:rPr>
              <w:t>– koordinace a soulad s dalšími iniciativami EU, zejména s programem Horizont Evropa,</w:t>
            </w:r>
          </w:p>
          <w:p>
            <w:pPr>
              <w:autoSpaceDE w:val="0"/>
              <w:autoSpaceDN w:val="0"/>
              <w:adjustRightInd w:val="0"/>
              <w:spacing w:before="0" w:after="0"/>
              <w:jc w:val="left"/>
              <w:rPr>
                <w:rFonts w:eastAsia="Calibri"/>
                <w:noProof/>
                <w:sz w:val="20"/>
              </w:rPr>
            </w:pPr>
            <w:r>
              <w:rPr>
                <w:noProof/>
                <w:sz w:val="20"/>
              </w:rPr>
              <w:t>– platforma zúčastněných stran EIT,</w:t>
            </w:r>
          </w:p>
          <w:p>
            <w:pPr>
              <w:autoSpaceDE w:val="0"/>
              <w:autoSpaceDN w:val="0"/>
              <w:adjustRightInd w:val="0"/>
              <w:spacing w:before="0" w:after="0"/>
              <w:jc w:val="left"/>
              <w:rPr>
                <w:rFonts w:eastAsia="Calibri"/>
                <w:noProof/>
                <w:sz w:val="20"/>
              </w:rPr>
            </w:pPr>
            <w:r>
              <w:rPr>
                <w:noProof/>
                <w:sz w:val="20"/>
              </w:rPr>
              <w:t>– skupina zástupců členských států,</w:t>
            </w:r>
          </w:p>
          <w:p>
            <w:pPr>
              <w:autoSpaceDE w:val="0"/>
              <w:autoSpaceDN w:val="0"/>
              <w:adjustRightInd w:val="0"/>
              <w:spacing w:before="0" w:after="0"/>
              <w:jc w:val="left"/>
              <w:rPr>
                <w:rFonts w:eastAsia="Calibri"/>
                <w:noProof/>
                <w:sz w:val="20"/>
              </w:rPr>
            </w:pPr>
            <w:r>
              <w:rPr>
                <w:noProof/>
                <w:sz w:val="20"/>
              </w:rPr>
              <w:t>– příprava zasedání správní rady a výkonného výboru,</w:t>
            </w:r>
          </w:p>
          <w:p>
            <w:pPr>
              <w:autoSpaceDE w:val="0"/>
              <w:autoSpaceDN w:val="0"/>
              <w:adjustRightInd w:val="0"/>
              <w:spacing w:before="0" w:after="0"/>
              <w:jc w:val="left"/>
              <w:rPr>
                <w:rFonts w:eastAsia="Calibri"/>
                <w:noProof/>
                <w:sz w:val="20"/>
              </w:rPr>
            </w:pPr>
            <w:r>
              <w:rPr>
                <w:noProof/>
                <w:sz w:val="20"/>
              </w:rPr>
              <w:t xml:space="preserve">– organizace setkání a slyšení mezi EIT a znalostními a inovačními společenstvími, </w:t>
            </w:r>
          </w:p>
          <w:p>
            <w:pPr>
              <w:autoSpaceDE w:val="0"/>
              <w:autoSpaceDN w:val="0"/>
              <w:adjustRightInd w:val="0"/>
              <w:spacing w:before="0" w:after="0"/>
              <w:jc w:val="left"/>
              <w:rPr>
                <w:rFonts w:eastAsia="Calibri"/>
                <w:noProof/>
                <w:sz w:val="20"/>
              </w:rPr>
            </w:pPr>
            <w:r>
              <w:rPr>
                <w:noProof/>
                <w:sz w:val="20"/>
              </w:rPr>
              <w:t xml:space="preserve">– konsolidace stávajících znalostních a inovačních společenství, </w:t>
            </w:r>
          </w:p>
          <w:p>
            <w:pPr>
              <w:autoSpaceDE w:val="0"/>
              <w:autoSpaceDN w:val="0"/>
              <w:adjustRightInd w:val="0"/>
              <w:spacing w:before="0" w:after="0"/>
              <w:jc w:val="left"/>
              <w:rPr>
                <w:rFonts w:eastAsia="Calibri"/>
                <w:noProof/>
                <w:sz w:val="20"/>
              </w:rPr>
            </w:pPr>
            <w:r>
              <w:rPr>
                <w:noProof/>
                <w:sz w:val="20"/>
              </w:rPr>
              <w:t xml:space="preserve">– sledování a hodnocení znalostních a inovačních společenství a činností koordinovaných EIT, </w:t>
            </w:r>
          </w:p>
          <w:p>
            <w:pPr>
              <w:autoSpaceDE w:val="0"/>
              <w:autoSpaceDN w:val="0"/>
              <w:adjustRightInd w:val="0"/>
              <w:spacing w:before="0" w:after="0"/>
              <w:jc w:val="left"/>
              <w:rPr>
                <w:rFonts w:eastAsia="Calibri"/>
                <w:noProof/>
                <w:sz w:val="20"/>
              </w:rPr>
            </w:pPr>
            <w:r>
              <w:rPr>
                <w:noProof/>
                <w:sz w:val="20"/>
              </w:rPr>
              <w:t>– dopad EIT prostřednictvím sdílení znalostí, šíření, dosahu a mezinárodních vazeb,</w:t>
            </w:r>
          </w:p>
          <w:p>
            <w:pPr>
              <w:autoSpaceDE w:val="0"/>
              <w:autoSpaceDN w:val="0"/>
              <w:adjustRightInd w:val="0"/>
              <w:spacing w:before="0" w:after="0"/>
              <w:jc w:val="left"/>
              <w:rPr>
                <w:rFonts w:eastAsia="Calibri"/>
                <w:noProof/>
                <w:sz w:val="20"/>
              </w:rPr>
            </w:pPr>
            <w:r>
              <w:rPr>
                <w:noProof/>
                <w:sz w:val="20"/>
              </w:rPr>
              <w:t>– vývoj a řízení činností koordinovaných EIT,</w:t>
            </w:r>
          </w:p>
          <w:p>
            <w:pPr>
              <w:autoSpaceDE w:val="0"/>
              <w:autoSpaceDN w:val="0"/>
              <w:adjustRightInd w:val="0"/>
              <w:spacing w:before="0" w:after="0"/>
              <w:jc w:val="left"/>
              <w:rPr>
                <w:rFonts w:eastAsia="Calibri"/>
                <w:noProof/>
                <w:sz w:val="20"/>
              </w:rPr>
            </w:pPr>
            <w:r>
              <w:rPr>
                <w:noProof/>
                <w:sz w:val="20"/>
              </w:rPr>
              <w:t>– podpora spolupráce a součinnosti mezi znalostními a inovačními společenstvími,</w:t>
            </w:r>
          </w:p>
          <w:p>
            <w:pPr>
              <w:autoSpaceDE w:val="0"/>
              <w:autoSpaceDN w:val="0"/>
              <w:adjustRightInd w:val="0"/>
              <w:spacing w:before="0" w:after="0"/>
              <w:jc w:val="left"/>
              <w:rPr>
                <w:rFonts w:eastAsia="Calibri"/>
                <w:noProof/>
                <w:sz w:val="20"/>
              </w:rPr>
            </w:pPr>
            <w:r>
              <w:rPr>
                <w:noProof/>
                <w:sz w:val="20"/>
              </w:rPr>
              <w:t>– vývoj a koordinace vzdělávacích činností prováděných znalostními a inovačními společenstvími,</w:t>
            </w:r>
          </w:p>
          <w:p>
            <w:pPr>
              <w:autoSpaceDE w:val="0"/>
              <w:autoSpaceDN w:val="0"/>
              <w:adjustRightInd w:val="0"/>
              <w:spacing w:before="0" w:after="0"/>
              <w:jc w:val="left"/>
              <w:rPr>
                <w:rFonts w:eastAsia="Calibri"/>
                <w:noProof/>
                <w:sz w:val="20"/>
              </w:rPr>
            </w:pPr>
            <w:r>
              <w:rPr>
                <w:noProof/>
                <w:sz w:val="20"/>
              </w:rPr>
              <w:t>– komunikační činnosti EIT,</w:t>
            </w:r>
          </w:p>
          <w:p>
            <w:pPr>
              <w:autoSpaceDE w:val="0"/>
              <w:autoSpaceDN w:val="0"/>
              <w:adjustRightInd w:val="0"/>
              <w:spacing w:before="0" w:after="0"/>
              <w:jc w:val="left"/>
              <w:rPr>
                <w:rFonts w:eastAsia="Calibri"/>
                <w:noProof/>
                <w:sz w:val="20"/>
              </w:rPr>
            </w:pPr>
            <w:r>
              <w:rPr>
                <w:noProof/>
                <w:sz w:val="20"/>
              </w:rPr>
              <w:t>– vyhlašování výzev k předkládání návrhů týkajících se znalostních a inovačních společenství a návazná opatření,</w:t>
            </w:r>
          </w:p>
          <w:p>
            <w:pPr>
              <w:autoSpaceDE w:val="0"/>
              <w:autoSpaceDN w:val="0"/>
              <w:adjustRightInd w:val="0"/>
              <w:spacing w:before="0" w:after="0"/>
              <w:jc w:val="left"/>
              <w:rPr>
                <w:rFonts w:eastAsia="Calibri"/>
                <w:noProof/>
                <w:sz w:val="20"/>
              </w:rPr>
            </w:pPr>
            <w:r>
              <w:rPr>
                <w:noProof/>
                <w:sz w:val="20"/>
              </w:rPr>
              <w:t>– řízení auditů (útvary interního auditu a Evropský účetní dvůr).</w:t>
            </w:r>
          </w:p>
          <w:p>
            <w:pPr>
              <w:autoSpaceDE w:val="0"/>
              <w:autoSpaceDN w:val="0"/>
              <w:adjustRightInd w:val="0"/>
              <w:spacing w:before="0" w:after="0"/>
              <w:jc w:val="left"/>
              <w:rPr>
                <w:rFonts w:eastAsia="Calibri"/>
                <w:noProof/>
                <w:sz w:val="20"/>
              </w:rPr>
            </w:pPr>
          </w:p>
        </w:tc>
      </w:tr>
      <w:tr>
        <w:tc>
          <w:tcPr>
            <w:tcW w:w="3240" w:type="dxa"/>
          </w:tcPr>
          <w:p>
            <w:pPr>
              <w:spacing w:before="60" w:after="60"/>
              <w:rPr>
                <w:rFonts w:eastAsia="Calibri"/>
                <w:noProof/>
                <w:sz w:val="20"/>
              </w:rPr>
            </w:pPr>
            <w:r>
              <w:rPr>
                <w:noProof/>
                <w:sz w:val="20"/>
              </w:rPr>
              <w:t>Externí zaměstnanci</w:t>
            </w:r>
          </w:p>
        </w:tc>
        <w:tc>
          <w:tcPr>
            <w:tcW w:w="7392" w:type="dxa"/>
          </w:tcPr>
          <w:p>
            <w:pPr>
              <w:autoSpaceDE w:val="0"/>
              <w:autoSpaceDN w:val="0"/>
              <w:adjustRightInd w:val="0"/>
              <w:spacing w:before="0" w:after="0"/>
              <w:jc w:val="left"/>
              <w:rPr>
                <w:rFonts w:eastAsia="Calibri"/>
                <w:noProof/>
                <w:sz w:val="20"/>
              </w:rPr>
            </w:pPr>
            <w:r>
              <w:rPr>
                <w:noProof/>
                <w:sz w:val="20"/>
              </w:rPr>
              <w:t>– pomoc s přípravou nových fází určování a výběru znalostních a inovačních společenství,</w:t>
            </w:r>
          </w:p>
          <w:p>
            <w:pPr>
              <w:autoSpaceDE w:val="0"/>
              <w:autoSpaceDN w:val="0"/>
              <w:adjustRightInd w:val="0"/>
              <w:spacing w:before="0" w:after="0"/>
              <w:jc w:val="left"/>
              <w:rPr>
                <w:rFonts w:eastAsia="Calibri"/>
                <w:noProof/>
                <w:sz w:val="20"/>
              </w:rPr>
            </w:pPr>
            <w:r>
              <w:rPr>
                <w:noProof/>
                <w:sz w:val="20"/>
              </w:rPr>
              <w:t xml:space="preserve">– pomoc s podnikatelským a vzdělávacím programem EIT, </w:t>
            </w:r>
          </w:p>
          <w:p>
            <w:pPr>
              <w:autoSpaceDE w:val="0"/>
              <w:autoSpaceDN w:val="0"/>
              <w:adjustRightInd w:val="0"/>
              <w:spacing w:before="0" w:after="0"/>
              <w:jc w:val="left"/>
              <w:rPr>
                <w:rFonts w:eastAsia="Calibri"/>
                <w:noProof/>
                <w:sz w:val="20"/>
              </w:rPr>
            </w:pPr>
            <w:r>
              <w:rPr>
                <w:noProof/>
                <w:sz w:val="20"/>
              </w:rPr>
              <w:t>– pomoc s platformou zúčastněných stran EIT,</w:t>
            </w:r>
          </w:p>
          <w:p>
            <w:pPr>
              <w:autoSpaceDE w:val="0"/>
              <w:autoSpaceDN w:val="0"/>
              <w:adjustRightInd w:val="0"/>
              <w:spacing w:before="0" w:after="0"/>
              <w:jc w:val="left"/>
              <w:rPr>
                <w:rFonts w:eastAsia="Calibri"/>
                <w:noProof/>
                <w:sz w:val="20"/>
              </w:rPr>
            </w:pPr>
            <w:r>
              <w:rPr>
                <w:noProof/>
                <w:sz w:val="20"/>
              </w:rPr>
              <w:t>– pomoc se skupinou zástupců členských států,</w:t>
            </w:r>
          </w:p>
          <w:p>
            <w:pPr>
              <w:autoSpaceDE w:val="0"/>
              <w:autoSpaceDN w:val="0"/>
              <w:adjustRightInd w:val="0"/>
              <w:spacing w:before="0" w:after="0"/>
              <w:jc w:val="left"/>
              <w:rPr>
                <w:rFonts w:eastAsia="Calibri"/>
                <w:noProof/>
                <w:sz w:val="20"/>
              </w:rPr>
            </w:pPr>
            <w:r>
              <w:rPr>
                <w:noProof/>
                <w:sz w:val="20"/>
              </w:rPr>
              <w:t>– pomoc s přípravou zasedání správní rady a výkonného výboru,</w:t>
            </w:r>
          </w:p>
          <w:p>
            <w:pPr>
              <w:autoSpaceDE w:val="0"/>
              <w:autoSpaceDN w:val="0"/>
              <w:adjustRightInd w:val="0"/>
              <w:spacing w:before="0" w:after="0"/>
              <w:jc w:val="left"/>
              <w:rPr>
                <w:rFonts w:eastAsia="Calibri"/>
                <w:noProof/>
                <w:sz w:val="20"/>
              </w:rPr>
            </w:pPr>
            <w:r>
              <w:rPr>
                <w:noProof/>
                <w:sz w:val="20"/>
              </w:rPr>
              <w:t>– pomoc se zajišťováním souladu titulů se značkou EIT s činnostmi prováděnými v souvislosti s prostorem vysokoškolského vzdělávání,</w:t>
            </w:r>
          </w:p>
          <w:p>
            <w:pPr>
              <w:autoSpaceDE w:val="0"/>
              <w:autoSpaceDN w:val="0"/>
              <w:adjustRightInd w:val="0"/>
              <w:spacing w:before="0" w:after="0"/>
              <w:jc w:val="left"/>
              <w:rPr>
                <w:noProof/>
                <w:sz w:val="20"/>
              </w:rPr>
            </w:pPr>
            <w:r>
              <w:rPr>
                <w:noProof/>
                <w:sz w:val="20"/>
              </w:rPr>
              <w:t xml:space="preserve">– pomoc s komunikačními činnostmi EIT, </w:t>
            </w:r>
          </w:p>
          <w:p>
            <w:pPr>
              <w:autoSpaceDE w:val="0"/>
              <w:autoSpaceDN w:val="0"/>
              <w:adjustRightInd w:val="0"/>
              <w:spacing w:before="0" w:after="0"/>
              <w:jc w:val="left"/>
              <w:rPr>
                <w:rFonts w:eastAsia="Calibri"/>
                <w:noProof/>
                <w:sz w:val="20"/>
              </w:rPr>
            </w:pPr>
            <w:r>
              <w:rPr>
                <w:noProof/>
                <w:sz w:val="20"/>
              </w:rPr>
              <w:t>– pomoc s řízením činností koordinovaných EIT,</w:t>
            </w:r>
          </w:p>
          <w:p>
            <w:pPr>
              <w:autoSpaceDE w:val="0"/>
              <w:autoSpaceDN w:val="0"/>
              <w:adjustRightInd w:val="0"/>
              <w:spacing w:before="0" w:after="0"/>
              <w:jc w:val="left"/>
              <w:rPr>
                <w:rFonts w:eastAsia="Calibri"/>
                <w:noProof/>
                <w:sz w:val="20"/>
              </w:rPr>
            </w:pPr>
            <w:r>
              <w:rPr>
                <w:noProof/>
                <w:sz w:val="20"/>
              </w:rPr>
              <w:t>– pomoc se sledováním a návaznými opatřeními v souvislosti se znalostními a inovačními společenstvími a činnostmi koordinovanými EIT.</w:t>
            </w:r>
          </w:p>
          <w:p>
            <w:pPr>
              <w:autoSpaceDE w:val="0"/>
              <w:autoSpaceDN w:val="0"/>
              <w:adjustRightInd w:val="0"/>
              <w:spacing w:before="0" w:after="0"/>
              <w:jc w:val="left"/>
              <w:rPr>
                <w:rFonts w:eastAsia="Calibri"/>
                <w:noProof/>
                <w:sz w:val="20"/>
              </w:rPr>
            </w:pPr>
          </w:p>
        </w:tc>
      </w:tr>
    </w:tbl>
    <w:p>
      <w:pPr>
        <w:rPr>
          <w:rFonts w:eastAsia="Calibri"/>
          <w:noProof/>
        </w:rPr>
        <w:sectPr>
          <w:headerReference w:type="default" r:id="rId23"/>
          <w:footerReference w:type="default" r:id="rId24"/>
          <w:headerReference w:type="first" r:id="rId25"/>
          <w:footerReference w:type="first" r:id="rId26"/>
          <w:pgSz w:w="11907" w:h="16840"/>
          <w:pgMar w:top="1134" w:right="1418" w:bottom="1134" w:left="1418" w:header="709" w:footer="709" w:gutter="0"/>
          <w:cols w:space="708"/>
          <w:docGrid w:linePitch="360"/>
        </w:sectPr>
      </w:pPr>
    </w:p>
    <w:p>
      <w:pPr>
        <w:keepNext/>
        <w:outlineLvl w:val="2"/>
        <w:rPr>
          <w:rFonts w:eastAsia="Calibri"/>
          <w:i/>
          <w:noProof/>
          <w:szCs w:val="24"/>
        </w:rPr>
      </w:pPr>
      <w:r>
        <w:rPr>
          <w:i/>
          <w:noProof/>
        </w:rPr>
        <w:t>3.2.3.</w:t>
      </w:r>
      <w:r>
        <w:rPr>
          <w:i/>
          <w:noProof/>
        </w:rPr>
        <w:tab/>
        <w:t>Příspěvky třetích stran</w:t>
      </w:r>
      <w:r>
        <w:rPr>
          <w:noProof/>
          <w:sz w:val="16"/>
          <w:szCs w:val="20"/>
        </w:rPr>
        <w:t xml:space="preserve"> </w:t>
      </w:r>
    </w:p>
    <w:p>
      <w:pPr>
        <w:ind w:left="850"/>
        <w:rPr>
          <w:rFonts w:eastAsia="Calibri"/>
          <w:noProof/>
        </w:rPr>
      </w:pPr>
      <w:r>
        <w:rPr>
          <w:noProof/>
        </w:rPr>
        <w:t>Návrh/podnět:</w:t>
      </w:r>
    </w:p>
    <w:p>
      <w:pPr>
        <w:tabs>
          <w:tab w:val="num" w:pos="1134"/>
        </w:tabs>
        <w:ind w:left="1134" w:hanging="283"/>
        <w:rPr>
          <w:rFonts w:eastAsia="Calibri"/>
          <w:noProof/>
        </w:rPr>
      </w:pPr>
      <w:r>
        <w:rPr>
          <w:noProof/>
        </w:rPr>
        <w:sym w:font="Wingdings" w:char="F0A8"/>
      </w:r>
      <w:r>
        <w:rPr>
          <w:noProof/>
        </w:rPr>
        <w:tab/>
        <w:t>nepočítá se spolufinancováním od třetích stran.</w:t>
      </w:r>
    </w:p>
    <w:p>
      <w:pPr>
        <w:tabs>
          <w:tab w:val="num" w:pos="1134"/>
        </w:tabs>
        <w:ind w:left="1134" w:hanging="283"/>
        <w:rPr>
          <w:rFonts w:eastAsia="Calibri"/>
          <w:noProof/>
        </w:rPr>
      </w:pPr>
      <w:r>
        <w:rPr>
          <w:noProof/>
        </w:rPr>
        <w:t xml:space="preserve"> X počítá se spolufinancováním od třetích stran podle následujícího odhadu:</w:t>
      </w:r>
    </w:p>
    <w:p>
      <w:pPr>
        <w:jc w:val="right"/>
        <w:rPr>
          <w:rFonts w:eastAsia="Calibri"/>
          <w:noProof/>
          <w:sz w:val="20"/>
        </w:rPr>
      </w:pPr>
      <w:r>
        <w:rPr>
          <w:noProof/>
          <w:sz w:val="20"/>
        </w:rPr>
        <w:t>prostředky v milionech EUR (zaokrouhleno na tři desetinná místa)</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vAlign w:val="center"/>
          </w:tcPr>
          <w:p>
            <w:pPr>
              <w:spacing w:before="60" w:after="60"/>
              <w:jc w:val="center"/>
              <w:rPr>
                <w:rFonts w:eastAsia="Calibri"/>
                <w:b/>
                <w:noProof/>
                <w:sz w:val="20"/>
              </w:rPr>
            </w:pPr>
            <w:r>
              <w:rPr>
                <w:b/>
                <w:noProof/>
                <w:sz w:val="20"/>
              </w:rPr>
              <w:t>Roky</w:t>
            </w:r>
          </w:p>
        </w:tc>
        <w:tc>
          <w:tcPr>
            <w:tcW w:w="964" w:type="dxa"/>
            <w:vAlign w:val="center"/>
          </w:tcPr>
          <w:p>
            <w:pPr>
              <w:jc w:val="center"/>
              <w:rPr>
                <w:rFonts w:eastAsia="Calibri"/>
                <w:noProof/>
                <w:sz w:val="20"/>
              </w:rPr>
            </w:pPr>
            <w:r>
              <w:rPr>
                <w:b/>
                <w:noProof/>
                <w:sz w:val="20"/>
              </w:rPr>
              <w:t>2021</w:t>
            </w:r>
          </w:p>
        </w:tc>
        <w:tc>
          <w:tcPr>
            <w:tcW w:w="964" w:type="dxa"/>
            <w:vAlign w:val="center"/>
          </w:tcPr>
          <w:p>
            <w:pPr>
              <w:jc w:val="center"/>
              <w:rPr>
                <w:rFonts w:eastAsia="Calibri"/>
                <w:b/>
                <w:noProof/>
                <w:sz w:val="20"/>
              </w:rPr>
            </w:pPr>
            <w:r>
              <w:rPr>
                <w:b/>
                <w:noProof/>
                <w:sz w:val="20"/>
              </w:rPr>
              <w:t>2022</w:t>
            </w:r>
          </w:p>
        </w:tc>
        <w:tc>
          <w:tcPr>
            <w:tcW w:w="964" w:type="dxa"/>
            <w:vAlign w:val="center"/>
          </w:tcPr>
          <w:p>
            <w:pPr>
              <w:jc w:val="center"/>
              <w:rPr>
                <w:rFonts w:eastAsia="Calibri"/>
                <w:b/>
                <w:noProof/>
                <w:sz w:val="20"/>
              </w:rPr>
            </w:pPr>
            <w:r>
              <w:rPr>
                <w:b/>
                <w:noProof/>
                <w:sz w:val="20"/>
              </w:rPr>
              <w:t>2023</w:t>
            </w:r>
          </w:p>
        </w:tc>
        <w:tc>
          <w:tcPr>
            <w:tcW w:w="964" w:type="dxa"/>
            <w:vAlign w:val="center"/>
          </w:tcPr>
          <w:p>
            <w:pPr>
              <w:jc w:val="center"/>
              <w:rPr>
                <w:rFonts w:eastAsia="Calibri"/>
                <w:b/>
                <w:noProof/>
                <w:sz w:val="20"/>
              </w:rPr>
            </w:pPr>
            <w:r>
              <w:rPr>
                <w:b/>
                <w:noProof/>
                <w:sz w:val="20"/>
              </w:rPr>
              <w:t>2024</w:t>
            </w:r>
          </w:p>
        </w:tc>
        <w:tc>
          <w:tcPr>
            <w:tcW w:w="964" w:type="dxa"/>
            <w:vAlign w:val="center"/>
          </w:tcPr>
          <w:p>
            <w:pPr>
              <w:jc w:val="center"/>
              <w:rPr>
                <w:rFonts w:eastAsia="Calibri"/>
                <w:b/>
                <w:noProof/>
                <w:sz w:val="20"/>
              </w:rPr>
            </w:pPr>
            <w:r>
              <w:rPr>
                <w:b/>
                <w:noProof/>
                <w:sz w:val="20"/>
              </w:rPr>
              <w:t>2025</w:t>
            </w:r>
          </w:p>
        </w:tc>
        <w:tc>
          <w:tcPr>
            <w:tcW w:w="964" w:type="dxa"/>
            <w:vAlign w:val="center"/>
          </w:tcPr>
          <w:p>
            <w:pPr>
              <w:jc w:val="center"/>
              <w:rPr>
                <w:rFonts w:eastAsia="Calibri"/>
                <w:b/>
                <w:noProof/>
                <w:sz w:val="20"/>
              </w:rPr>
            </w:pPr>
            <w:r>
              <w:rPr>
                <w:b/>
                <w:noProof/>
                <w:sz w:val="20"/>
              </w:rPr>
              <w:t>2026</w:t>
            </w:r>
          </w:p>
        </w:tc>
        <w:tc>
          <w:tcPr>
            <w:tcW w:w="964" w:type="dxa"/>
            <w:vAlign w:val="center"/>
          </w:tcPr>
          <w:p>
            <w:pPr>
              <w:jc w:val="center"/>
              <w:rPr>
                <w:rFonts w:eastAsia="Calibri"/>
                <w:b/>
                <w:noProof/>
                <w:sz w:val="20"/>
              </w:rPr>
            </w:pPr>
            <w:r>
              <w:rPr>
                <w:b/>
                <w:noProof/>
                <w:sz w:val="20"/>
              </w:rPr>
              <w:t>2027</w:t>
            </w:r>
          </w:p>
        </w:tc>
        <w:tc>
          <w:tcPr>
            <w:tcW w:w="1158" w:type="dxa"/>
            <w:vAlign w:val="center"/>
          </w:tcPr>
          <w:p>
            <w:pPr>
              <w:spacing w:before="60" w:after="60"/>
              <w:jc w:val="center"/>
              <w:rPr>
                <w:rFonts w:eastAsia="Calibri"/>
                <w:b/>
                <w:noProof/>
                <w:sz w:val="20"/>
              </w:rPr>
            </w:pPr>
            <w:r>
              <w:rPr>
                <w:b/>
                <w:noProof/>
                <w:sz w:val="20"/>
              </w:rPr>
              <w:t>CELKEM</w:t>
            </w:r>
          </w:p>
        </w:tc>
      </w:tr>
      <w:tr>
        <w:trPr>
          <w:cantSplit/>
          <w:jc w:val="center"/>
        </w:trPr>
        <w:tc>
          <w:tcPr>
            <w:tcW w:w="2340" w:type="dxa"/>
          </w:tcPr>
          <w:p>
            <w:pPr>
              <w:rPr>
                <w:rFonts w:eastAsia="Calibri"/>
                <w:noProof/>
              </w:rPr>
            </w:pPr>
            <w:r>
              <w:rPr>
                <w:noProof/>
                <w:sz w:val="20"/>
              </w:rPr>
              <w:t>Upřesněte spolufinancující subjekt</w:t>
            </w:r>
            <w:r>
              <w:rPr>
                <w:i/>
                <w:noProof/>
                <w:sz w:val="20"/>
              </w:rPr>
              <w:t xml:space="preserve"> </w:t>
            </w:r>
          </w:p>
        </w:tc>
        <w:tc>
          <w:tcPr>
            <w:tcW w:w="964" w:type="dxa"/>
            <w:vAlign w:val="center"/>
          </w:tcPr>
          <w:p>
            <w:pPr>
              <w:spacing w:before="60" w:after="60"/>
              <w:jc w:val="center"/>
              <w:rPr>
                <w:rFonts w:eastAsia="Calibri"/>
                <w:noProof/>
                <w:sz w:val="20"/>
              </w:rPr>
            </w:pPr>
          </w:p>
        </w:tc>
        <w:tc>
          <w:tcPr>
            <w:tcW w:w="964" w:type="dxa"/>
            <w:vAlign w:val="center"/>
          </w:tcPr>
          <w:p>
            <w:pPr>
              <w:spacing w:before="60" w:after="60"/>
              <w:jc w:val="center"/>
              <w:rPr>
                <w:rFonts w:eastAsia="Calibri"/>
                <w:noProof/>
                <w:sz w:val="20"/>
              </w:rPr>
            </w:pPr>
          </w:p>
        </w:tc>
        <w:tc>
          <w:tcPr>
            <w:tcW w:w="964" w:type="dxa"/>
            <w:vAlign w:val="center"/>
          </w:tcPr>
          <w:p>
            <w:pPr>
              <w:spacing w:before="60" w:after="60"/>
              <w:jc w:val="center"/>
              <w:rPr>
                <w:rFonts w:eastAsia="Calibri"/>
                <w:noProof/>
                <w:sz w:val="20"/>
              </w:rPr>
            </w:pPr>
          </w:p>
        </w:tc>
        <w:tc>
          <w:tcPr>
            <w:tcW w:w="964" w:type="dxa"/>
            <w:vAlign w:val="center"/>
          </w:tcPr>
          <w:p>
            <w:pPr>
              <w:spacing w:before="60" w:after="60"/>
              <w:jc w:val="center"/>
              <w:rPr>
                <w:rFonts w:eastAsia="Calibri"/>
                <w:noProof/>
                <w:sz w:val="20"/>
              </w:rPr>
            </w:pPr>
          </w:p>
        </w:tc>
        <w:tc>
          <w:tcPr>
            <w:tcW w:w="964" w:type="dxa"/>
            <w:vAlign w:val="center"/>
          </w:tcPr>
          <w:p>
            <w:pPr>
              <w:spacing w:before="60" w:after="60"/>
              <w:jc w:val="center"/>
              <w:rPr>
                <w:rFonts w:eastAsia="Calibri"/>
                <w:noProof/>
                <w:sz w:val="20"/>
              </w:rPr>
            </w:pPr>
          </w:p>
        </w:tc>
        <w:tc>
          <w:tcPr>
            <w:tcW w:w="964" w:type="dxa"/>
            <w:vAlign w:val="center"/>
          </w:tcPr>
          <w:p>
            <w:pPr>
              <w:spacing w:before="60" w:after="60"/>
              <w:jc w:val="center"/>
              <w:rPr>
                <w:rFonts w:eastAsia="Calibri"/>
                <w:noProof/>
                <w:sz w:val="20"/>
              </w:rPr>
            </w:pPr>
          </w:p>
        </w:tc>
        <w:tc>
          <w:tcPr>
            <w:tcW w:w="964" w:type="dxa"/>
            <w:vAlign w:val="center"/>
          </w:tcPr>
          <w:p>
            <w:pPr>
              <w:spacing w:before="60" w:after="60"/>
              <w:jc w:val="center"/>
              <w:rPr>
                <w:rFonts w:eastAsia="Calibri"/>
                <w:noProof/>
                <w:sz w:val="20"/>
              </w:rPr>
            </w:pPr>
          </w:p>
        </w:tc>
        <w:tc>
          <w:tcPr>
            <w:tcW w:w="1158" w:type="dxa"/>
            <w:vAlign w:val="center"/>
          </w:tcPr>
          <w:p>
            <w:pPr>
              <w:spacing w:before="60" w:after="60"/>
              <w:jc w:val="center"/>
              <w:rPr>
                <w:rFonts w:eastAsia="Calibri"/>
                <w:noProof/>
                <w:sz w:val="20"/>
              </w:rPr>
            </w:pPr>
          </w:p>
        </w:tc>
      </w:tr>
      <w:tr>
        <w:trPr>
          <w:cantSplit/>
          <w:jc w:val="center"/>
        </w:trPr>
        <w:tc>
          <w:tcPr>
            <w:tcW w:w="2340" w:type="dxa"/>
          </w:tcPr>
          <w:p>
            <w:pPr>
              <w:spacing w:before="60" w:after="60"/>
              <w:jc w:val="left"/>
              <w:rPr>
                <w:rFonts w:eastAsia="Calibri"/>
                <w:noProof/>
                <w:sz w:val="20"/>
              </w:rPr>
            </w:pPr>
            <w:r>
              <w:rPr>
                <w:noProof/>
                <w:sz w:val="20"/>
              </w:rPr>
              <w:t>Spolufinancované prostředky CELKEM</w:t>
            </w:r>
            <w:r>
              <w:rPr>
                <w:rStyle w:val="FootnoteReference"/>
                <w:noProof/>
              </w:rPr>
              <w:footnoteReference w:id="42"/>
            </w:r>
            <w:r>
              <w:rPr>
                <w:noProof/>
                <w:sz w:val="20"/>
              </w:rPr>
              <w:t xml:space="preserve"> </w:t>
            </w:r>
          </w:p>
        </w:tc>
        <w:tc>
          <w:tcPr>
            <w:tcW w:w="964" w:type="dxa"/>
            <w:vAlign w:val="center"/>
          </w:tcPr>
          <w:p>
            <w:pPr>
              <w:spacing w:before="60" w:after="60"/>
              <w:jc w:val="center"/>
              <w:rPr>
                <w:rFonts w:eastAsia="Calibri"/>
                <w:noProof/>
                <w:sz w:val="20"/>
              </w:rPr>
            </w:pPr>
            <w:r>
              <w:rPr>
                <w:noProof/>
                <w:sz w:val="20"/>
              </w:rPr>
              <w:t>p.m.</w:t>
            </w:r>
          </w:p>
        </w:tc>
        <w:tc>
          <w:tcPr>
            <w:tcW w:w="964" w:type="dxa"/>
            <w:vAlign w:val="center"/>
          </w:tcPr>
          <w:p>
            <w:pPr>
              <w:spacing w:before="60" w:after="60"/>
              <w:jc w:val="center"/>
              <w:rPr>
                <w:rFonts w:eastAsia="Calibri"/>
                <w:noProof/>
                <w:sz w:val="20"/>
              </w:rPr>
            </w:pPr>
            <w:r>
              <w:rPr>
                <w:noProof/>
                <w:sz w:val="20"/>
              </w:rPr>
              <w:t>p.m.</w:t>
            </w:r>
          </w:p>
        </w:tc>
        <w:tc>
          <w:tcPr>
            <w:tcW w:w="964" w:type="dxa"/>
            <w:vAlign w:val="center"/>
          </w:tcPr>
          <w:p>
            <w:pPr>
              <w:spacing w:before="60" w:after="60"/>
              <w:jc w:val="center"/>
              <w:rPr>
                <w:rFonts w:eastAsia="Calibri"/>
                <w:noProof/>
                <w:sz w:val="20"/>
              </w:rPr>
            </w:pPr>
            <w:r>
              <w:rPr>
                <w:noProof/>
                <w:sz w:val="20"/>
              </w:rPr>
              <w:t>p.m.</w:t>
            </w:r>
          </w:p>
        </w:tc>
        <w:tc>
          <w:tcPr>
            <w:tcW w:w="964" w:type="dxa"/>
            <w:vAlign w:val="center"/>
          </w:tcPr>
          <w:p>
            <w:pPr>
              <w:spacing w:before="60" w:after="60"/>
              <w:jc w:val="center"/>
              <w:rPr>
                <w:rFonts w:eastAsia="Calibri"/>
                <w:noProof/>
                <w:sz w:val="20"/>
              </w:rPr>
            </w:pPr>
            <w:r>
              <w:rPr>
                <w:noProof/>
                <w:sz w:val="20"/>
              </w:rPr>
              <w:t>p.m.</w:t>
            </w:r>
          </w:p>
        </w:tc>
        <w:tc>
          <w:tcPr>
            <w:tcW w:w="964" w:type="dxa"/>
            <w:vAlign w:val="center"/>
          </w:tcPr>
          <w:p>
            <w:pPr>
              <w:spacing w:before="60" w:after="60"/>
              <w:jc w:val="center"/>
              <w:rPr>
                <w:rFonts w:eastAsia="Calibri"/>
                <w:noProof/>
                <w:sz w:val="20"/>
              </w:rPr>
            </w:pPr>
            <w:r>
              <w:rPr>
                <w:noProof/>
                <w:sz w:val="20"/>
              </w:rPr>
              <w:t>p.m.</w:t>
            </w:r>
          </w:p>
        </w:tc>
        <w:tc>
          <w:tcPr>
            <w:tcW w:w="964" w:type="dxa"/>
            <w:vAlign w:val="center"/>
          </w:tcPr>
          <w:p>
            <w:pPr>
              <w:spacing w:before="60" w:after="60"/>
              <w:jc w:val="center"/>
              <w:rPr>
                <w:rFonts w:eastAsia="Calibri"/>
                <w:noProof/>
                <w:sz w:val="20"/>
              </w:rPr>
            </w:pPr>
            <w:r>
              <w:rPr>
                <w:noProof/>
                <w:sz w:val="20"/>
              </w:rPr>
              <w:t>p.m.</w:t>
            </w:r>
          </w:p>
        </w:tc>
        <w:tc>
          <w:tcPr>
            <w:tcW w:w="964" w:type="dxa"/>
            <w:vAlign w:val="center"/>
          </w:tcPr>
          <w:p>
            <w:pPr>
              <w:spacing w:before="60" w:after="60"/>
              <w:jc w:val="center"/>
              <w:rPr>
                <w:rFonts w:eastAsia="Calibri"/>
                <w:noProof/>
                <w:sz w:val="20"/>
              </w:rPr>
            </w:pPr>
            <w:r>
              <w:rPr>
                <w:noProof/>
                <w:sz w:val="20"/>
              </w:rPr>
              <w:t>p.m.</w:t>
            </w:r>
          </w:p>
        </w:tc>
        <w:tc>
          <w:tcPr>
            <w:tcW w:w="1158" w:type="dxa"/>
            <w:vAlign w:val="center"/>
          </w:tcPr>
          <w:p>
            <w:pPr>
              <w:spacing w:before="60" w:after="60"/>
              <w:jc w:val="center"/>
              <w:rPr>
                <w:rFonts w:eastAsia="Calibri"/>
                <w:noProof/>
                <w:sz w:val="20"/>
              </w:rPr>
            </w:pPr>
            <w:r>
              <w:rPr>
                <w:noProof/>
                <w:sz w:val="20"/>
              </w:rPr>
              <w:t>p.m.</w:t>
            </w:r>
          </w:p>
        </w:tc>
      </w:tr>
    </w:tbl>
    <w:p>
      <w:pPr>
        <w:rPr>
          <w:rFonts w:eastAsia="Calibri"/>
          <w:noProof/>
        </w:rPr>
      </w:pPr>
    </w:p>
    <w:p>
      <w:pPr>
        <w:keepNext/>
        <w:outlineLvl w:val="1"/>
        <w:rPr>
          <w:rFonts w:eastAsia="Calibri"/>
          <w:b/>
          <w:noProof/>
          <w:szCs w:val="24"/>
        </w:rPr>
      </w:pPr>
      <w:r>
        <w:rPr>
          <w:b/>
          <w:noProof/>
        </w:rPr>
        <w:t>3.3.</w:t>
      </w:r>
      <w:r>
        <w:rPr>
          <w:b/>
          <w:noProof/>
        </w:rPr>
        <w:tab/>
        <w:t>Odhadovaný dopad na příjmy</w:t>
      </w:r>
      <w:r>
        <w:rPr>
          <w:noProof/>
          <w:sz w:val="16"/>
          <w:szCs w:val="20"/>
        </w:rPr>
        <w:t xml:space="preserve"> </w:t>
      </w:r>
    </w:p>
    <w:p>
      <w:pPr>
        <w:tabs>
          <w:tab w:val="num" w:pos="1134"/>
        </w:tabs>
        <w:ind w:left="1134" w:hanging="283"/>
        <w:rPr>
          <w:rFonts w:eastAsia="Calibri"/>
          <w:noProof/>
        </w:rPr>
      </w:pPr>
      <w:r>
        <w:rPr>
          <w:noProof/>
        </w:rPr>
        <w:sym w:font="Wingdings" w:char="F0A8"/>
      </w:r>
      <w:r>
        <w:rPr>
          <w:noProof/>
        </w:rPr>
        <w:tab/>
        <w:t>Návrh/podnět nemá žádný finanční dopad na příjmy.</w:t>
      </w:r>
    </w:p>
    <w:p>
      <w:pPr>
        <w:tabs>
          <w:tab w:val="num" w:pos="1134"/>
        </w:tabs>
        <w:ind w:left="1134" w:hanging="283"/>
        <w:rPr>
          <w:rFonts w:eastAsia="Calibri"/>
          <w:noProof/>
        </w:rPr>
      </w:pPr>
      <w:r>
        <w:rPr>
          <w:noProof/>
        </w:rPr>
        <w:t>X</w:t>
      </w:r>
      <w:r>
        <w:rPr>
          <w:noProof/>
        </w:rPr>
        <w:tab/>
        <w:t>Návrh/podnět má tento finanční dopad:</w:t>
      </w:r>
    </w:p>
    <w:p>
      <w:pPr>
        <w:numPr>
          <w:ilvl w:val="2"/>
          <w:numId w:val="0"/>
        </w:numPr>
        <w:tabs>
          <w:tab w:val="num" w:pos="2126"/>
        </w:tabs>
        <w:ind w:left="2126" w:hanging="709"/>
        <w:rPr>
          <w:rFonts w:eastAsia="Calibri"/>
          <w:noProof/>
        </w:rPr>
      </w:pPr>
      <w:r>
        <w:rPr>
          <w:noProof/>
        </w:rPr>
        <w:sym w:font="Wingdings" w:char="F0A8"/>
      </w:r>
      <w:r>
        <w:rPr>
          <w:noProof/>
        </w:rPr>
        <w:tab/>
        <w:t xml:space="preserve">na vlastní zdroje </w:t>
      </w:r>
    </w:p>
    <w:p>
      <w:pPr>
        <w:numPr>
          <w:ilvl w:val="2"/>
          <w:numId w:val="0"/>
        </w:numPr>
        <w:tabs>
          <w:tab w:val="num" w:pos="2126"/>
        </w:tabs>
        <w:ind w:left="2126" w:hanging="709"/>
        <w:rPr>
          <w:rFonts w:eastAsia="Calibri"/>
          <w:noProof/>
        </w:rPr>
      </w:pPr>
      <w:r>
        <w:rPr>
          <w:noProof/>
        </w:rPr>
        <w:t>X</w:t>
      </w:r>
      <w:r>
        <w:rPr>
          <w:noProof/>
        </w:rPr>
        <w:tab/>
        <w:t>na jiné příjmy</w:t>
      </w:r>
    </w:p>
    <w:p>
      <w:pPr>
        <w:rPr>
          <w:rFonts w:eastAsia="Calibri"/>
          <w:noProof/>
        </w:rPr>
      </w:pPr>
      <w:r>
        <w:rPr>
          <w:noProof/>
        </w:rPr>
        <w:t xml:space="preserve">uveďte, zda je příjem účelově vázán na výdajové položky </w:t>
      </w:r>
      <w:r>
        <w:rPr>
          <w:noProof/>
        </w:rPr>
        <w:sym w:font="Wingdings" w:char="F0A8"/>
      </w:r>
      <w:r>
        <w:rPr>
          <w:noProof/>
        </w:rPr>
        <w:tab/>
      </w:r>
    </w:p>
    <w:p>
      <w:pPr>
        <w:jc w:val="right"/>
        <w:rPr>
          <w:rFonts w:eastAsia="Calibri"/>
          <w:i/>
          <w:noProof/>
          <w:sz w:val="20"/>
        </w:rPr>
      </w:pPr>
      <w:r>
        <w:rPr>
          <w:noProof/>
        </w:rPr>
        <w:t>v milionech EUR (zaokrouhleno na tři desetinná místa)</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rFonts w:eastAsia="Calibri"/>
                <w:noProof/>
                <w:sz w:val="18"/>
              </w:rPr>
            </w:pPr>
            <w:r>
              <w:rPr>
                <w:noProof/>
                <w:sz w:val="18"/>
              </w:rPr>
              <w:t>Příjmová rozpočtová položka:</w:t>
            </w:r>
          </w:p>
        </w:tc>
        <w:tc>
          <w:tcPr>
            <w:tcW w:w="7200" w:type="dxa"/>
            <w:gridSpan w:val="7"/>
            <w:vAlign w:val="center"/>
          </w:tcPr>
          <w:p>
            <w:pPr>
              <w:jc w:val="center"/>
              <w:rPr>
                <w:rFonts w:eastAsia="Calibri"/>
                <w:noProof/>
                <w:sz w:val="18"/>
              </w:rPr>
            </w:pPr>
            <w:r>
              <w:rPr>
                <w:noProof/>
                <w:sz w:val="18"/>
              </w:rPr>
              <w:t>Dopad návrhu/podnětu</w:t>
            </w:r>
          </w:p>
        </w:tc>
      </w:tr>
      <w:tr>
        <w:trPr>
          <w:trHeight w:val="388"/>
          <w:jc w:val="center"/>
        </w:trPr>
        <w:tc>
          <w:tcPr>
            <w:tcW w:w="2144" w:type="dxa"/>
            <w:vMerge/>
          </w:tcPr>
          <w:p>
            <w:pPr>
              <w:spacing w:before="40" w:after="40"/>
              <w:rPr>
                <w:rFonts w:eastAsia="Calibri"/>
                <w:noProof/>
                <w:sz w:val="18"/>
              </w:rPr>
            </w:pPr>
          </w:p>
        </w:tc>
        <w:tc>
          <w:tcPr>
            <w:tcW w:w="1080" w:type="dxa"/>
            <w:vAlign w:val="center"/>
          </w:tcPr>
          <w:p>
            <w:pPr>
              <w:jc w:val="center"/>
              <w:rPr>
                <w:rFonts w:eastAsia="Calibri"/>
                <w:noProof/>
                <w:sz w:val="18"/>
              </w:rPr>
            </w:pPr>
            <w:r>
              <w:rPr>
                <w:b/>
                <w:noProof/>
                <w:sz w:val="20"/>
              </w:rPr>
              <w:t>2021</w:t>
            </w:r>
          </w:p>
        </w:tc>
        <w:tc>
          <w:tcPr>
            <w:tcW w:w="900" w:type="dxa"/>
            <w:vAlign w:val="center"/>
          </w:tcPr>
          <w:p>
            <w:pPr>
              <w:jc w:val="center"/>
              <w:rPr>
                <w:rFonts w:eastAsia="Calibri"/>
                <w:b/>
                <w:noProof/>
                <w:sz w:val="20"/>
              </w:rPr>
            </w:pPr>
            <w:r>
              <w:rPr>
                <w:b/>
                <w:noProof/>
                <w:sz w:val="20"/>
              </w:rPr>
              <w:t>2022</w:t>
            </w:r>
          </w:p>
        </w:tc>
        <w:tc>
          <w:tcPr>
            <w:tcW w:w="900" w:type="dxa"/>
            <w:vAlign w:val="center"/>
          </w:tcPr>
          <w:p>
            <w:pPr>
              <w:jc w:val="center"/>
              <w:rPr>
                <w:rFonts w:eastAsia="Calibri"/>
                <w:b/>
                <w:noProof/>
                <w:sz w:val="20"/>
              </w:rPr>
            </w:pPr>
            <w:r>
              <w:rPr>
                <w:b/>
                <w:noProof/>
                <w:sz w:val="20"/>
              </w:rPr>
              <w:t>2023</w:t>
            </w:r>
          </w:p>
        </w:tc>
        <w:tc>
          <w:tcPr>
            <w:tcW w:w="1080" w:type="dxa"/>
            <w:vAlign w:val="center"/>
          </w:tcPr>
          <w:p>
            <w:pPr>
              <w:jc w:val="center"/>
              <w:rPr>
                <w:rFonts w:eastAsia="Calibri"/>
                <w:b/>
                <w:noProof/>
                <w:sz w:val="20"/>
              </w:rPr>
            </w:pPr>
            <w:r>
              <w:rPr>
                <w:b/>
                <w:noProof/>
                <w:sz w:val="20"/>
              </w:rPr>
              <w:t>2024</w:t>
            </w:r>
          </w:p>
        </w:tc>
        <w:tc>
          <w:tcPr>
            <w:tcW w:w="1080" w:type="dxa"/>
            <w:vAlign w:val="center"/>
          </w:tcPr>
          <w:p>
            <w:pPr>
              <w:jc w:val="center"/>
              <w:rPr>
                <w:rFonts w:eastAsia="Calibri"/>
                <w:b/>
                <w:noProof/>
                <w:sz w:val="20"/>
              </w:rPr>
            </w:pPr>
            <w:r>
              <w:rPr>
                <w:b/>
                <w:noProof/>
                <w:sz w:val="20"/>
              </w:rPr>
              <w:t>2025</w:t>
            </w:r>
          </w:p>
        </w:tc>
        <w:tc>
          <w:tcPr>
            <w:tcW w:w="1080" w:type="dxa"/>
            <w:vAlign w:val="center"/>
          </w:tcPr>
          <w:p>
            <w:pPr>
              <w:jc w:val="center"/>
              <w:rPr>
                <w:rFonts w:eastAsia="Calibri"/>
                <w:b/>
                <w:noProof/>
                <w:sz w:val="20"/>
              </w:rPr>
            </w:pPr>
            <w:r>
              <w:rPr>
                <w:b/>
                <w:noProof/>
                <w:sz w:val="20"/>
              </w:rPr>
              <w:t>2026</w:t>
            </w:r>
          </w:p>
        </w:tc>
        <w:tc>
          <w:tcPr>
            <w:tcW w:w="1080" w:type="dxa"/>
            <w:vAlign w:val="center"/>
          </w:tcPr>
          <w:p>
            <w:pPr>
              <w:jc w:val="center"/>
              <w:rPr>
                <w:rFonts w:eastAsia="Calibri"/>
                <w:b/>
                <w:noProof/>
                <w:sz w:val="20"/>
              </w:rPr>
            </w:pPr>
            <w:r>
              <w:rPr>
                <w:b/>
                <w:noProof/>
                <w:sz w:val="20"/>
              </w:rPr>
              <w:t>2027</w:t>
            </w:r>
          </w:p>
        </w:tc>
      </w:tr>
      <w:tr>
        <w:trPr>
          <w:trHeight w:val="388"/>
          <w:jc w:val="center"/>
        </w:trPr>
        <w:tc>
          <w:tcPr>
            <w:tcW w:w="2144" w:type="dxa"/>
            <w:vAlign w:val="center"/>
          </w:tcPr>
          <w:p>
            <w:pPr>
              <w:spacing w:before="40" w:after="40"/>
              <w:rPr>
                <w:rFonts w:eastAsia="Calibri"/>
                <w:noProof/>
                <w:sz w:val="18"/>
              </w:rPr>
            </w:pPr>
            <w:r>
              <w:rPr>
                <w:noProof/>
                <w:sz w:val="18"/>
              </w:rPr>
              <w:t>Položka 6013</w:t>
            </w:r>
          </w:p>
        </w:tc>
        <w:tc>
          <w:tcPr>
            <w:tcW w:w="1080" w:type="dxa"/>
          </w:tcPr>
          <w:p>
            <w:pPr>
              <w:spacing w:beforeLines="40" w:before="96" w:afterLines="40" w:after="96"/>
              <w:jc w:val="center"/>
              <w:rPr>
                <w:rFonts w:eastAsia="Calibri"/>
                <w:noProof/>
                <w:sz w:val="18"/>
              </w:rPr>
            </w:pPr>
            <w:r>
              <w:rPr>
                <w:noProof/>
                <w:sz w:val="18"/>
              </w:rPr>
              <w:t>p.m.</w:t>
            </w:r>
          </w:p>
        </w:tc>
        <w:tc>
          <w:tcPr>
            <w:tcW w:w="900" w:type="dxa"/>
          </w:tcPr>
          <w:p>
            <w:pPr>
              <w:spacing w:beforeLines="40" w:before="96" w:afterLines="40" w:after="96"/>
              <w:jc w:val="center"/>
              <w:rPr>
                <w:rFonts w:eastAsia="Calibri"/>
                <w:noProof/>
                <w:sz w:val="18"/>
              </w:rPr>
            </w:pPr>
            <w:r>
              <w:rPr>
                <w:noProof/>
                <w:sz w:val="18"/>
              </w:rPr>
              <w:t>p.m.</w:t>
            </w:r>
          </w:p>
        </w:tc>
        <w:tc>
          <w:tcPr>
            <w:tcW w:w="900" w:type="dxa"/>
          </w:tcPr>
          <w:p>
            <w:pPr>
              <w:spacing w:beforeLines="40" w:before="96" w:afterLines="40" w:after="96"/>
              <w:jc w:val="center"/>
              <w:rPr>
                <w:rFonts w:eastAsia="Calibri"/>
                <w:noProof/>
                <w:sz w:val="18"/>
              </w:rPr>
            </w:pPr>
            <w:r>
              <w:rPr>
                <w:noProof/>
                <w:sz w:val="18"/>
              </w:rPr>
              <w:t>p.m.</w:t>
            </w:r>
          </w:p>
        </w:tc>
        <w:tc>
          <w:tcPr>
            <w:tcW w:w="1080" w:type="dxa"/>
          </w:tcPr>
          <w:p>
            <w:pPr>
              <w:spacing w:beforeLines="40" w:before="96" w:afterLines="40" w:after="96"/>
              <w:jc w:val="center"/>
              <w:rPr>
                <w:rFonts w:eastAsia="Calibri"/>
                <w:noProof/>
                <w:sz w:val="18"/>
              </w:rPr>
            </w:pPr>
            <w:r>
              <w:rPr>
                <w:noProof/>
                <w:sz w:val="18"/>
              </w:rPr>
              <w:t>p.m.</w:t>
            </w:r>
          </w:p>
        </w:tc>
        <w:tc>
          <w:tcPr>
            <w:tcW w:w="1080" w:type="dxa"/>
          </w:tcPr>
          <w:p>
            <w:pPr>
              <w:spacing w:beforeLines="40" w:before="96" w:afterLines="40" w:after="96"/>
              <w:jc w:val="center"/>
              <w:rPr>
                <w:rFonts w:eastAsia="Calibri"/>
                <w:noProof/>
                <w:sz w:val="18"/>
              </w:rPr>
            </w:pPr>
            <w:r>
              <w:rPr>
                <w:noProof/>
                <w:sz w:val="18"/>
              </w:rPr>
              <w:t>p.m.</w:t>
            </w:r>
          </w:p>
        </w:tc>
        <w:tc>
          <w:tcPr>
            <w:tcW w:w="1080" w:type="dxa"/>
          </w:tcPr>
          <w:p>
            <w:pPr>
              <w:spacing w:beforeLines="40" w:before="96" w:afterLines="40" w:after="96"/>
              <w:jc w:val="center"/>
              <w:rPr>
                <w:rFonts w:eastAsia="Calibri"/>
                <w:noProof/>
                <w:sz w:val="18"/>
              </w:rPr>
            </w:pPr>
            <w:r>
              <w:rPr>
                <w:noProof/>
                <w:sz w:val="18"/>
              </w:rPr>
              <w:t>p.m.</w:t>
            </w:r>
          </w:p>
        </w:tc>
        <w:tc>
          <w:tcPr>
            <w:tcW w:w="1080" w:type="dxa"/>
          </w:tcPr>
          <w:p>
            <w:pPr>
              <w:spacing w:beforeLines="40" w:before="96" w:afterLines="40" w:after="96"/>
              <w:jc w:val="center"/>
              <w:rPr>
                <w:rFonts w:eastAsia="Calibri"/>
                <w:noProof/>
                <w:sz w:val="18"/>
              </w:rPr>
            </w:pPr>
            <w:r>
              <w:rPr>
                <w:noProof/>
                <w:sz w:val="18"/>
              </w:rPr>
              <w:t>p.m.</w:t>
            </w:r>
          </w:p>
        </w:tc>
      </w:tr>
    </w:tbl>
    <w:p>
      <w:pPr>
        <w:ind w:left="850"/>
        <w:rPr>
          <w:rFonts w:eastAsia="Calibri"/>
          <w:noProof/>
          <w:sz w:val="20"/>
        </w:rPr>
      </w:pPr>
      <w:r>
        <w:rPr>
          <w:noProof/>
          <w:sz w:val="20"/>
        </w:rPr>
        <w:t>U účelově vázaných příjmů upřesněte dotčené výdajové rozpočtové položky.</w:t>
      </w:r>
    </w:p>
    <w:p>
      <w:pPr>
        <w:pBdr>
          <w:top w:val="single" w:sz="4" w:space="1" w:color="auto"/>
          <w:left w:val="single" w:sz="4" w:space="4" w:color="auto"/>
          <w:bottom w:val="single" w:sz="4" w:space="1" w:color="auto"/>
          <w:right w:val="single" w:sz="4" w:space="4" w:color="auto"/>
        </w:pBdr>
        <w:tabs>
          <w:tab w:val="left" w:pos="2016"/>
        </w:tabs>
        <w:ind w:left="850"/>
        <w:rPr>
          <w:rFonts w:eastAsia="Calibri"/>
          <w:noProof/>
          <w:sz w:val="22"/>
        </w:rPr>
      </w:pPr>
      <w:r>
        <w:rPr>
          <w:noProof/>
          <w:sz w:val="22"/>
        </w:rPr>
        <w:t>01.02XX Prostředky z příspěvků třetích stran</w:t>
      </w:r>
    </w:p>
    <w:p>
      <w:pPr>
        <w:ind w:left="850"/>
        <w:rPr>
          <w:rFonts w:eastAsia="Calibri"/>
          <w:noProof/>
          <w:sz w:val="20"/>
        </w:rPr>
      </w:pPr>
    </w:p>
    <w:p>
      <w:pPr>
        <w:ind w:left="850"/>
        <w:rPr>
          <w:rFonts w:eastAsia="Calibri"/>
          <w:noProof/>
          <w:sz w:val="20"/>
        </w:rPr>
      </w:pPr>
      <w:r>
        <w:rPr>
          <w:noProof/>
          <w:sz w:val="20"/>
        </w:rPr>
        <w:t>Jiné poznámky (např. způsob/vzorec výpočtu dopadu na příjmy nebo jiné údaje).</w:t>
      </w:r>
    </w:p>
    <w:p>
      <w:pPr>
        <w:pBdr>
          <w:top w:val="single" w:sz="4" w:space="1" w:color="auto"/>
          <w:left w:val="single" w:sz="4" w:space="4" w:color="auto"/>
          <w:bottom w:val="single" w:sz="4" w:space="1" w:color="auto"/>
          <w:right w:val="single" w:sz="4" w:space="4" w:color="auto"/>
        </w:pBdr>
        <w:ind w:left="850"/>
        <w:rPr>
          <w:rFonts w:eastAsia="Calibri"/>
          <w:noProof/>
          <w:sz w:val="22"/>
        </w:rPr>
      </w:pPr>
      <w:r>
        <w:rPr>
          <w:noProof/>
          <w:sz w:val="22"/>
        </w:rPr>
        <w:t>Třetí země mohou do programu přispívat prostřednictvím dohod o přidružení. Podmínky pro stanovení výše finančního příspěvku budou uvedeny v dohodách o přidružení s jednotlivými zeměmi a zajistí automatickou opravu jakékoli významné nerovnováhy ve srovnání s částkou, kterou získávají subjekty usazené v přidružené zemi na základě účasti v programu, s přihlédnutím k nákladům na řízení programu.</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37</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49</w:t>
    </w:r>
    <w:r>
      <w:fldChar w:fldCharType="end"/>
    </w:r>
    <w:r>
      <w:tab/>
    </w:r>
    <w:r>
      <w:tab/>
    </w:r>
    <w:r>
      <w:rPr>
        <w:rFonts w:ascii="Arial" w:hAnsi="Arial" w:cs="Arial"/>
        <w:b/>
        <w:sz w:val="48"/>
      </w:rPr>
      <w:t>CS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57</w:t>
    </w:r>
    <w:r>
      <w:fldChar w:fldCharType="end"/>
    </w:r>
    <w:r>
      <w:tab/>
    </w:r>
    <w:r>
      <w:tab/>
    </w:r>
    <w:r>
      <w:rPr>
        <w:rFonts w:ascii="Arial" w:hAnsi="Arial" w:cs="Arial"/>
        <w:b/>
        <w:sz w:val="48"/>
      </w:rPr>
      <w:t>CS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Nařízení Evropského parlamentu a Rady (ES) č. 294/2008 ze dne 11. března 2008, kterým se zřizuje Evropský inovační a technologický institut (Úř. věst. L 97, 9.4.2008, s. 1). </w:t>
      </w:r>
    </w:p>
  </w:footnote>
  <w:footnote w:id="2">
    <w:p>
      <w:pPr>
        <w:pStyle w:val="FootnoteText"/>
      </w:pPr>
      <w:r>
        <w:rPr>
          <w:rStyle w:val="FootnoteReference"/>
        </w:rPr>
        <w:footnoteRef/>
      </w:r>
      <w:r>
        <w:tab/>
        <w:t>Nařízení Evropského parlamentu a Rady (EU) č. 1292/2013 ze dne 11. prosince 2013 o změně nařízení (ES) č. 294/2008, kterým se zřizuje Evropský inovační a technologický institut (Úř. věst. L 347, 11.12.2013, s. 174).</w:t>
      </w:r>
    </w:p>
  </w:footnote>
  <w:footnote w:id="3">
    <w:p>
      <w:pPr>
        <w:pStyle w:val="FootnoteText"/>
      </w:pPr>
      <w:r>
        <w:rPr>
          <w:rStyle w:val="FootnoteReference"/>
        </w:rPr>
        <w:footnoteRef/>
      </w:r>
      <w:r>
        <w:tab/>
        <w:t>Nařízení Evropského parlamentu a Rady (EU) č. 1291/2013 ze dne 11. prosince 2013, kterým se zavádí Horizont 2020 – rámcový program pro výzkum a inovace (2014–2020) a zrušuje rozhodnutí č. 1982/2006/ES (Úř. věst. L 347, 20.12.2013, s. 104).</w:t>
      </w:r>
    </w:p>
  </w:footnote>
  <w:footnote w:id="4">
    <w:p>
      <w:pPr>
        <w:pStyle w:val="FootnoteText"/>
      </w:pPr>
      <w:r>
        <w:rPr>
          <w:rStyle w:val="FootnoteReference"/>
        </w:rPr>
        <w:footnoteRef/>
      </w:r>
      <w:r>
        <w:tab/>
        <w:t>Stávající strategický program inovací se vztahuje na období 2014–2020.</w:t>
      </w:r>
    </w:p>
  </w:footnote>
  <w:footnote w:id="5">
    <w:p>
      <w:pPr>
        <w:pStyle w:val="FootnoteText"/>
      </w:pPr>
      <w:r>
        <w:rPr>
          <w:rStyle w:val="FootnoteReference"/>
        </w:rPr>
        <w:footnoteRef/>
      </w:r>
      <w:r>
        <w:tab/>
        <w:t xml:space="preserve">Rozhodnutí Evropského parlamentu a Rady č. 1312/2013/EU ze dne 11. prosince 2013 o strategickém programu inovací Evropského inovačního a technologického institutu (EIT): přínos EIT pro inovativnější Evropu (Úř. věst. L 347, 20.12.2013, s. 892). </w:t>
      </w:r>
    </w:p>
  </w:footnote>
  <w:footnote w:id="6">
    <w:p>
      <w:pPr>
        <w:pStyle w:val="FootnoteText"/>
        <w:rPr>
          <w:sz w:val="16"/>
          <w:szCs w:val="16"/>
        </w:rPr>
      </w:pPr>
      <w:r>
        <w:rPr>
          <w:rStyle w:val="FootnoteReference"/>
        </w:rPr>
        <w:footnoteRef/>
      </w:r>
      <w:r>
        <w:rPr>
          <w:sz w:val="16"/>
          <w:szCs w:val="16"/>
        </w:rPr>
        <w:tab/>
        <w:t xml:space="preserve">ICF (2017), Evaluation, s. 36. </w:t>
      </w:r>
    </w:p>
  </w:footnote>
  <w:footnote w:id="7">
    <w:p>
      <w:pPr>
        <w:pStyle w:val="FootnoteText"/>
      </w:pPr>
      <w:r>
        <w:rPr>
          <w:rStyle w:val="FootnoteReference"/>
        </w:rPr>
        <w:footnoteRef/>
      </w:r>
      <w:r>
        <w:tab/>
        <w:t>Legislativní finanční výkaz k návrhu nařízení Evropského parlamentu a Rady o Evropském inovačním a technologickém institutu (přepracované znění), a k rozhodnutí Evropského parlamentu a Rady o strategickém programu inovací Evropského inovačního a technologického institutu (EIT) na období 2021–2027: Podpora talentu a kapacity pro inovace v Evropě.</w:t>
      </w:r>
    </w:p>
    <w:p>
      <w:pPr>
        <w:pStyle w:val="FootnoteText"/>
        <w:ind w:left="0" w:firstLine="0"/>
      </w:pPr>
    </w:p>
  </w:footnote>
  <w:footnote w:id="8">
    <w:p>
      <w:pPr>
        <w:pStyle w:val="FootnoteText"/>
      </w:pPr>
      <w:r>
        <w:rPr>
          <w:rStyle w:val="FootnoteReference"/>
        </w:rPr>
        <w:footnoteRef/>
      </w:r>
      <w:r>
        <w:tab/>
        <w:t>Úř. věst. C […], […], s. […].</w:t>
      </w:r>
    </w:p>
  </w:footnote>
  <w:footnote w:id="9">
    <w:p>
      <w:pPr>
        <w:pStyle w:val="FootnoteText"/>
      </w:pPr>
      <w:r>
        <w:rPr>
          <w:rStyle w:val="FootnoteReference"/>
        </w:rPr>
        <w:footnoteRef/>
      </w:r>
      <w:r>
        <w:tab/>
        <w:t>Úř. věst. C […], […], s. […].</w:t>
      </w:r>
    </w:p>
  </w:footnote>
  <w:footnote w:id="10">
    <w:p>
      <w:pPr>
        <w:pStyle w:val="FootnoteText"/>
      </w:pPr>
      <w:r>
        <w:rPr>
          <w:rStyle w:val="FootnoteReference"/>
          <w:highlight w:val="lightGray"/>
        </w:rPr>
        <w:footnoteRef/>
      </w:r>
      <w:r>
        <w:rPr>
          <w:highlight w:val="lightGray"/>
        </w:rPr>
        <w:tab/>
        <w:t>Nařízení Evropského parlamentu a Rady (ES) č. 294/2008 ze dne 11. března 2008, kterým se zřizuje Evropský inovační a technologický institut (Úř. věst. L 97, 9.4.2008, s. 1).</w:t>
      </w:r>
    </w:p>
  </w:footnote>
  <w:footnote w:id="11">
    <w:p>
      <w:pPr>
        <w:pStyle w:val="FootnoteText"/>
      </w:pPr>
      <w:r>
        <w:rPr>
          <w:rStyle w:val="FootnoteReference"/>
          <w:highlight w:val="lightGray"/>
        </w:rPr>
        <w:footnoteRef/>
      </w:r>
      <w:r>
        <w:rPr>
          <w:highlight w:val="lightGray"/>
        </w:rPr>
        <w:tab/>
        <w:t>Viz příloha II.</w:t>
      </w:r>
    </w:p>
  </w:footnote>
  <w:footnote w:id="12">
    <w:p>
      <w:pPr>
        <w:pStyle w:val="FootnoteText"/>
        <w:rPr>
          <w:highlight w:val="lightGray"/>
        </w:rPr>
      </w:pPr>
      <w:r>
        <w:rPr>
          <w:rStyle w:val="FootnoteReference"/>
          <w:highlight w:val="lightGray"/>
        </w:rPr>
        <w:footnoteRef/>
      </w:r>
      <w:r>
        <w:rPr>
          <w:highlight w:val="lightGray"/>
        </w:rPr>
        <w:tab/>
        <w:t xml:space="preserve">Nařízení Evropského parlamentu a Rady (EU, Euratom) 2018/1046 ze dne 18. července 2018, kterým se stanoví finanční pravidla pro souhrnný rozpočet Unie, mění nařízení (EU) č. 1296/2013, (EU) č. 1301/2013, (EU) č. 1303/2013, (EU) č. 1304/2013, (EU) č. 1309/2013, (EU) č. 1316/2013, (EU) č. 223/2014 a (EU) č. 283/2014 a rozhodnutí č. 541/2014/EU a zrušuje nařízení (EU, Euratom) č. 966/2012 (Úř. věst. L 193, 30.7.2018, s. 1). </w:t>
      </w:r>
    </w:p>
  </w:footnote>
  <w:footnote w:id="13">
    <w:p>
      <w:pPr>
        <w:pStyle w:val="FootnoteText"/>
      </w:pPr>
      <w:r>
        <w:rPr>
          <w:rStyle w:val="FootnoteReference"/>
          <w:lang w:val="en-US"/>
        </w:rPr>
        <w:footnoteRef/>
      </w:r>
      <w:r>
        <w:tab/>
      </w:r>
      <w:r>
        <w:rPr>
          <w:rStyle w:val="CRMinorChangeAdded"/>
        </w:rPr>
        <w:t>Směrnice Evropského parlamentu a Rady 2005/36/ES ze dne 7. září 2005 o uznávání odborných kvalifikací (</w:t>
      </w:r>
      <w:r>
        <w:t>Úř. věst. L 255, 30.9.2005, s. 22</w:t>
      </w:r>
      <w:r>
        <w:rPr>
          <w:rStyle w:val="CRMinorChangeAdded"/>
        </w:rPr>
        <w:t>)</w:t>
      </w:r>
      <w:r>
        <w:t xml:space="preserve">. </w:t>
      </w:r>
      <w:r>
        <w:rPr>
          <w:rStyle w:val="CRMinorChangeDeleted"/>
        </w:rPr>
        <w:t>Směrnice naposledy pozměněná nařízením (ES) č. 1430/2007 (Úř. věst. L 320, 6.12.2007, s. 3).</w:t>
      </w:r>
    </w:p>
  </w:footnote>
  <w:footnote w:id="14">
    <w:p>
      <w:pPr>
        <w:pStyle w:val="FootnoteText"/>
      </w:pPr>
      <w:r>
        <w:rPr>
          <w:rStyle w:val="FootnoteReference"/>
          <w:lang w:val="en-US"/>
        </w:rPr>
        <w:footnoteRef/>
      </w:r>
      <w:r>
        <w:tab/>
      </w:r>
      <w:r>
        <w:rPr>
          <w:rStyle w:val="CRDeleted"/>
        </w:rPr>
        <w:t>Úř. věst. L 248, 16.9.2002, s. 1. Nařízení naposledy pozměněné nařízením (ES) č. 1525/2007 (Úř. věst. L 343, 27.12.2007, s. 9).</w:t>
      </w:r>
    </w:p>
  </w:footnote>
  <w:footnote w:id="15">
    <w:p>
      <w:pPr>
        <w:pStyle w:val="FootnoteText"/>
      </w:pPr>
      <w:r>
        <w:rPr>
          <w:rStyle w:val="FootnoteReference"/>
          <w:highlight w:val="lightGray"/>
          <w:lang w:val="en-US"/>
        </w:rPr>
        <w:footnoteRef/>
      </w:r>
      <w:r>
        <w:rPr>
          <w:highlight w:val="lightGray"/>
        </w:rPr>
        <w:tab/>
      </w:r>
      <w:r>
        <w:rPr>
          <w:rStyle w:val="CRRefonteDeleted"/>
          <w:highlight w:val="lightGray"/>
        </w:rPr>
        <w:t>Úř. věst. C 139, 14.6.2006, s. 1. Interinstitucionální úmluva ve znění rozhodnutí Evropského parlamentu a Rady 2008/29/ES (Úř. věst. L 6, 10.1.2008, s. 7).</w:t>
      </w:r>
    </w:p>
  </w:footnote>
  <w:footnote w:id="16">
    <w:p>
      <w:pPr>
        <w:pStyle w:val="FootnoteText"/>
      </w:pPr>
      <w:r>
        <w:rPr>
          <w:rStyle w:val="FootnoteReference"/>
        </w:rPr>
        <w:footnoteRef/>
      </w:r>
      <w:r>
        <w:tab/>
        <w:t>Nařízení Komise v přenesené pravomoci (EU) 2019/715 ze dne 18. prosince 2018 o rámcovém finančním nařízení pro subjekty zřízené podle SFEU a Smlouvy o Euratomu a uvedené v článku 70 nařízení Evropského parlamentu a Rady (EU, Euratom) 2018/1046 (Úř. věst. L 122, 10.5.2019, s. 1).</w:t>
      </w:r>
    </w:p>
  </w:footnote>
  <w:footnote w:id="17">
    <w:p>
      <w:pPr>
        <w:pStyle w:val="FootnoteText"/>
      </w:pPr>
      <w:r>
        <w:rPr>
          <w:rStyle w:val="FootnoteReference"/>
          <w:lang w:val="en-US"/>
        </w:rPr>
        <w:footnoteRef/>
      </w:r>
      <w:r>
        <w:tab/>
      </w:r>
      <w:r>
        <w:rPr>
          <w:rStyle w:val="CRDeleted"/>
        </w:rPr>
        <w:t>Úř. věst. L 357, 31.12.2002, s. 72.</w:t>
      </w:r>
    </w:p>
  </w:footnote>
  <w:footnote w:id="18">
    <w:p>
      <w:pPr>
        <w:pStyle w:val="FootnoteText"/>
        <w:rPr>
          <w:highlight w:val="lightGray"/>
        </w:rPr>
      </w:pPr>
      <w:r>
        <w:rPr>
          <w:rStyle w:val="FootnoteReference"/>
          <w:highlight w:val="lightGray"/>
          <w:lang w:val="en-US"/>
        </w:rPr>
        <w:footnoteRef/>
      </w:r>
      <w:r>
        <w:rPr>
          <w:highlight w:val="lightGray"/>
        </w:rPr>
        <w:tab/>
      </w:r>
      <w:r>
        <w:rPr>
          <w:rStyle w:val="CRRefonteDeleted"/>
          <w:highlight w:val="lightGray"/>
        </w:rPr>
        <w:t>Nařízení Evropského parlamentu a Rady (EU) č. 1291/2013 ze dne 11. prosince 2013, kterým se zavádí Horizont 2020 – rámcový program pro výzkum a inovace (2014–2020) a zrušuje rozhodnutí č. 1982/2006/ES (Úř. věst. L 347, 20.12.2013, s. 104).</w:t>
      </w:r>
    </w:p>
  </w:footnote>
  <w:footnote w:id="19">
    <w:p>
      <w:pPr>
        <w:pStyle w:val="FootnoteText"/>
      </w:pPr>
      <w:r>
        <w:rPr>
          <w:rStyle w:val="FootnoteReference"/>
          <w:highlight w:val="lightGray"/>
        </w:rPr>
        <w:footnoteRef/>
      </w:r>
      <w:r>
        <w:rPr>
          <w:highlight w:val="lightGray"/>
        </w:rPr>
        <w:tab/>
      </w:r>
      <w:r>
        <w:rPr>
          <w:rStyle w:val="CRRefonteDeleted"/>
          <w:highlight w:val="lightGray"/>
        </w:rPr>
        <w:t>Nařízení Evropského parlamentu a Rady (EU) č. 1290/2013 ze dne 11. prosince 2013, kterým se stanoví pravidla pro účast a šíření výsledků Horizontu 2020 – rámcového programu pro výzkum a inovace (2014–2020) a zrušuje nařízení (ES) č. 1906/2006 (Úř. věst. L 347, 20.12.2013, s. 81).</w:t>
      </w:r>
    </w:p>
  </w:footnote>
  <w:footnote w:id="20">
    <w:p>
      <w:pPr>
        <w:pStyle w:val="FootnoteText"/>
      </w:pPr>
      <w:r>
        <w:rPr>
          <w:rStyle w:val="FootnoteReference"/>
        </w:rPr>
        <w:footnoteRef/>
      </w:r>
      <w:r>
        <w:tab/>
      </w:r>
      <w:r>
        <w:rPr>
          <w:rStyle w:val="CRMinorChangeAdded"/>
          <w:color w:val="000000"/>
        </w:rPr>
        <w:t>Nařízení Evropského parlamentu a Rady (EU) 2018/1725 ze dne 23. října 2018 o ochraně fyzických osob v souvislosti se zpracováním osobních údajů orgány, institucemi a jinými subjekty Unie a o volném pohybu těchto údajů a o zrušení nařízení (ES) č. 45/2001 a rozhodnutí č. 1247/2002/ES (Úř. věst. L 295, 21.11.2018, s. 39).</w:t>
      </w:r>
    </w:p>
  </w:footnote>
  <w:footnote w:id="21">
    <w:p>
      <w:pPr>
        <w:pStyle w:val="FootnoteText"/>
      </w:pPr>
      <w:r>
        <w:rPr>
          <w:rStyle w:val="FootnoteReference"/>
          <w:lang w:val="en-US"/>
        </w:rPr>
        <w:footnoteRef/>
      </w:r>
      <w:r>
        <w:tab/>
      </w:r>
      <w:r>
        <w:rPr>
          <w:rStyle w:val="CRMinorChangeDeleted"/>
        </w:rPr>
        <w:t>Úř. věst. L 8, 12.1.2001, s. 1.</w:t>
      </w:r>
    </w:p>
  </w:footnote>
  <w:footnote w:id="22">
    <w:p>
      <w:pPr>
        <w:pStyle w:val="FootnoteText"/>
      </w:pPr>
      <w:r>
        <w:rPr>
          <w:rStyle w:val="FootnoteReference"/>
          <w:lang w:val="en-US"/>
        </w:rPr>
        <w:footnoteRef/>
      </w:r>
      <w:r>
        <w:tab/>
      </w:r>
      <w:r>
        <w:rPr>
          <w:rStyle w:val="CRMinorChangeAdded"/>
        </w:rPr>
        <w:t>Nařízení Evropského parlamentu a Rady (ES) č. 1049/2001 ze dne 30. května 2001 o přístupu veřejnosti k dokumentům Evropského parlamentu, Rady a Komise (</w:t>
      </w:r>
      <w:r>
        <w:t>Úř. věst. L 145, 31.5.2001, s. 43</w:t>
      </w:r>
      <w:r>
        <w:rPr>
          <w:rStyle w:val="CRMinorChangeAdded"/>
        </w:rPr>
        <w:t>)</w:t>
      </w:r>
      <w:r>
        <w:t>.</w:t>
      </w:r>
    </w:p>
  </w:footnote>
  <w:footnote w:id="23">
    <w:p>
      <w:pPr>
        <w:pStyle w:val="FootnoteText"/>
      </w:pPr>
      <w:r>
        <w:rPr>
          <w:rStyle w:val="FootnoteReference"/>
          <w:lang w:val="en-US"/>
        </w:rPr>
        <w:footnoteRef/>
      </w:r>
      <w:r>
        <w:tab/>
      </w:r>
      <w:r>
        <w:rPr>
          <w:rStyle w:val="CRMinorChangeAdded"/>
        </w:rPr>
        <w:t>Nařízení Rady č. 1 ze dne 15. dubna 1958 o užívání jazyků v Evropském hospodářském společenství (</w:t>
      </w:r>
      <w:r>
        <w:t>Úř. věst. 17, 6.10.1958, s. 385</w:t>
      </w:r>
      <w:r>
        <w:rPr>
          <w:rStyle w:val="CRMinorChangeDeleted"/>
        </w:rPr>
        <w:t>/58</w:t>
      </w:r>
      <w:r>
        <w:rPr>
          <w:rStyle w:val="CRMinorChangeAdded"/>
        </w:rPr>
        <w:t>)</w:t>
      </w:r>
      <w:r>
        <w:t xml:space="preserve">. </w:t>
      </w:r>
      <w:r>
        <w:rPr>
          <w:rStyle w:val="CRMinorChangeDeleted"/>
        </w:rPr>
        <w:t>Nařízení naposledy pozměněné nařízením (ES) č. 1791/2006 (Úř. věst. L 363, 20.12.2006, s. 1).</w:t>
      </w:r>
    </w:p>
  </w:footnote>
  <w:footnote w:id="24">
    <w:p>
      <w:pPr>
        <w:pStyle w:val="FootnoteText"/>
      </w:pPr>
      <w:r>
        <w:rPr>
          <w:rStyle w:val="FootnoteReference"/>
          <w:lang w:val="en-US"/>
        </w:rPr>
        <w:footnoteRef/>
      </w:r>
      <w:r>
        <w:tab/>
      </w:r>
      <w:r>
        <w:rPr>
          <w:rStyle w:val="CRMinorChangeAdded"/>
          <w:color w:val="000000"/>
        </w:rPr>
        <w:t>Nařízení Rady (ES) č. 2965/1994 ze dne 28. listopadu 1994 o zřízení Překladatelského střediska pro instituce Evropské unie (</w:t>
      </w:r>
      <w:r>
        <w:t>Úř. věst. L 314, 7.12.1994, s. 1</w:t>
      </w:r>
      <w:r>
        <w:rPr>
          <w:rStyle w:val="CRMinorChangeAdded"/>
        </w:rPr>
        <w:t>)</w:t>
      </w:r>
      <w:r>
        <w:t xml:space="preserve">. </w:t>
      </w:r>
      <w:r>
        <w:rPr>
          <w:rStyle w:val="CRMinorChangeDeleted"/>
        </w:rPr>
        <w:t>Nařízení naposledy pozměněné nařízením (ES) č. 1645/2003 (Úř. věst. L 245, 29.9.2003, s. 13).</w:t>
      </w:r>
    </w:p>
  </w:footnote>
  <w:footnote w:id="25">
    <w:p>
      <w:pPr>
        <w:pStyle w:val="FootnoteText"/>
        <w:rPr>
          <w:highlight w:val="lightGray"/>
        </w:rPr>
      </w:pPr>
      <w:r>
        <w:rPr>
          <w:rStyle w:val="FootnoteReference"/>
          <w:highlight w:val="lightGray"/>
          <w:lang w:val="en-US"/>
        </w:rPr>
        <w:footnoteRef/>
      </w:r>
      <w:r>
        <w:rPr>
          <w:highlight w:val="lightGray"/>
        </w:rPr>
        <w:tab/>
      </w:r>
      <w:r>
        <w:rPr>
          <w:rStyle w:val="CRRefonteDeleted"/>
          <w:highlight w:val="lightGray"/>
        </w:rPr>
        <w:t>Úř. věst. C 373, 20.12.2013, s. 1.</w:t>
      </w:r>
    </w:p>
  </w:footnote>
  <w:footnote w:id="26">
    <w:p>
      <w:pPr>
        <w:pStyle w:val="FootnoteText"/>
      </w:pPr>
      <w:r>
        <w:rPr>
          <w:rStyle w:val="FootnoteReference"/>
          <w:lang w:val="en-US"/>
        </w:rPr>
        <w:footnoteRef/>
      </w:r>
      <w:r>
        <w:tab/>
      </w:r>
      <w:r>
        <w:rPr>
          <w:rStyle w:val="CRMinorChangeDeleted"/>
        </w:rPr>
        <w:t>Úř. věst. L 136, 31.5.1999, s. 1.</w:t>
      </w:r>
    </w:p>
  </w:footnote>
  <w:footnote w:id="27">
    <w:p>
      <w:pPr>
        <w:pStyle w:val="FootnoteText"/>
      </w:pPr>
      <w:r>
        <w:rPr>
          <w:rStyle w:val="FootnoteReference"/>
        </w:rPr>
        <w:footnoteRef/>
      </w:r>
      <w:r>
        <w:tab/>
      </w:r>
      <w:r>
        <w:rPr>
          <w:rStyle w:val="CRMinorChangeAdded"/>
          <w:color w:val="000000"/>
        </w:rPr>
        <w:t>Nařízení Evropského parlamentu a Rady (EU, Euratom) č. 883/2013 ze dne 11. září 2013 o vyšetřování prováděném Evropským úřadem pro boj proti podvodům (OLAF) a o zrušení nařízení Evropského parlamentu a Rady (ES) č. 1073/1999 a nařízení Rady (Euratom) č. 1074/1999 (Úř. věst. L 248, 18.9.2013, s. 1).</w:t>
      </w:r>
    </w:p>
  </w:footnote>
  <w:footnote w:id="28">
    <w:p>
      <w:pPr>
        <w:pStyle w:val="FootnoteText"/>
      </w:pPr>
      <w:r>
        <w:rPr>
          <w:rStyle w:val="FootnoteReference"/>
        </w:rPr>
        <w:footnoteRef/>
      </w:r>
      <w:r>
        <w:tab/>
        <w:t>Úř. věst. L 136, 31.5.1999, s. 15.</w:t>
      </w:r>
    </w:p>
    <w:p>
      <w:pPr>
        <w:pStyle w:val="FootnoteText"/>
      </w:pPr>
    </w:p>
  </w:footnote>
  <w:footnote w:id="29">
    <w:p>
      <w:pPr>
        <w:pStyle w:val="FootnoteText"/>
        <w:rPr>
          <w:szCs w:val="24"/>
          <w:lang w:val="pt-PT"/>
        </w:rPr>
      </w:pPr>
      <w:r>
        <w:rPr>
          <w:rStyle w:val="FootnoteReference"/>
        </w:rPr>
        <w:footnoteRef/>
      </w:r>
      <w:r>
        <w:tab/>
        <w:t xml:space="preserve">Uvedené v čl. 58 odst. </w:t>
      </w:r>
      <w:r>
        <w:rPr>
          <w:lang w:val="pt-PT"/>
        </w:rPr>
        <w:t>2 písm. a) nebo b) finančního nařízení.</w:t>
      </w:r>
    </w:p>
  </w:footnote>
  <w:footnote w:id="30">
    <w:p>
      <w:pPr>
        <w:pStyle w:val="FootnoteText"/>
        <w:rPr>
          <w:lang w:val="pt-PT"/>
        </w:rPr>
      </w:pPr>
      <w:r>
        <w:rPr>
          <w:rStyle w:val="FootnoteReference"/>
        </w:rPr>
        <w:footnoteRef/>
      </w:r>
      <w:r>
        <w:rPr>
          <w:lang w:val="pt-PT"/>
        </w:rPr>
        <w:tab/>
        <w:t xml:space="preserve">COM(2018) 435 final. </w:t>
      </w:r>
    </w:p>
  </w:footnote>
  <w:footnote w:id="31">
    <w:p>
      <w:pPr>
        <w:pStyle w:val="FootnoteText"/>
        <w:rPr>
          <w:lang w:val="pt-PT"/>
        </w:rPr>
      </w:pPr>
      <w:r>
        <w:rPr>
          <w:rStyle w:val="FootnoteReference"/>
        </w:rPr>
        <w:footnoteRef/>
      </w:r>
      <w:r>
        <w:rPr>
          <w:lang w:val="pt-PT"/>
        </w:rPr>
        <w:tab/>
        <w:t>Čl. 9 odst. 2 písm. c) bod 2.</w:t>
      </w:r>
    </w:p>
  </w:footnote>
  <w:footnote w:id="32">
    <w:p>
      <w:pPr>
        <w:pStyle w:val="FootnoteText"/>
        <w:jc w:val="left"/>
        <w:rPr>
          <w:szCs w:val="24"/>
          <w:lang w:val="pt-PT"/>
        </w:rPr>
      </w:pPr>
      <w:r>
        <w:rPr>
          <w:rStyle w:val="FootnoteReference"/>
        </w:rPr>
        <w:footnoteRef/>
      </w:r>
      <w:r>
        <w:rPr>
          <w:lang w:val="pt-PT"/>
        </w:rPr>
        <w:tab/>
        <w:t xml:space="preserve">Vysvětlení způsobů řízení spolu s odkazem na finanční nařízení jsou k dispozici na stránkách BudgWeb: </w:t>
      </w:r>
      <w:hyperlink r:id="rId1" w:history="1">
        <w:r>
          <w:rPr>
            <w:rStyle w:val="Hyperlink"/>
            <w:lang w:val="pt-PT"/>
          </w:rPr>
          <w:t>https://myintracomm.ec.europa.eu/budgweb/EN/man/budgmanag/Pages/budgmanag.aspx</w:t>
        </w:r>
      </w:hyperlink>
      <w:r>
        <w:rPr>
          <w:lang w:val="pt-PT"/>
        </w:rPr>
        <w:t xml:space="preserve"> </w:t>
      </w:r>
    </w:p>
  </w:footnote>
  <w:footnote w:id="33">
    <w:p>
      <w:pPr>
        <w:pStyle w:val="FootnoteText"/>
        <w:rPr>
          <w:lang w:val="pt-PT"/>
        </w:rPr>
      </w:pPr>
      <w:r>
        <w:rPr>
          <w:rStyle w:val="FootnoteReference"/>
        </w:rPr>
        <w:footnoteRef/>
      </w:r>
      <w:r>
        <w:rPr>
          <w:lang w:val="pt-PT"/>
        </w:rPr>
        <w:tab/>
        <w:t>COM(2018) 323 final ze dne 2. 5. 2018.</w:t>
      </w:r>
    </w:p>
  </w:footnote>
  <w:footnote w:id="34">
    <w:p>
      <w:pPr>
        <w:pStyle w:val="FootnoteText"/>
        <w:rPr>
          <w:szCs w:val="24"/>
          <w:lang w:val="pt-PT"/>
        </w:rPr>
      </w:pPr>
      <w:r>
        <w:rPr>
          <w:rStyle w:val="FootnoteReference"/>
        </w:rPr>
        <w:footnoteRef/>
      </w:r>
      <w:r>
        <w:rPr>
          <w:lang w:val="pt-PT"/>
        </w:rPr>
        <w:tab/>
        <w:t>RP = rozlišené prostředky / NRP = nerozlišené prostředky.</w:t>
      </w:r>
    </w:p>
  </w:footnote>
  <w:footnote w:id="35">
    <w:p>
      <w:pPr>
        <w:pStyle w:val="FootnoteText"/>
        <w:rPr>
          <w:szCs w:val="24"/>
          <w:lang w:val="pt-PT"/>
        </w:rPr>
      </w:pPr>
      <w:r>
        <w:rPr>
          <w:rStyle w:val="FootnoteReference"/>
        </w:rPr>
        <w:footnoteRef/>
      </w:r>
      <w:r>
        <w:rPr>
          <w:lang w:val="pt-PT"/>
        </w:rPr>
        <w:tab/>
        <w:t xml:space="preserve">ESVO: Evropské sdružení volného obchodu. </w:t>
      </w:r>
    </w:p>
  </w:footnote>
  <w:footnote w:id="36">
    <w:p>
      <w:pPr>
        <w:pStyle w:val="FootnoteText"/>
        <w:rPr>
          <w:lang w:val="pt-PT"/>
        </w:rPr>
      </w:pPr>
      <w:r>
        <w:rPr>
          <w:rStyle w:val="FootnoteReference"/>
        </w:rPr>
        <w:footnoteRef/>
      </w:r>
      <w:r>
        <w:rPr>
          <w:lang w:val="pt-PT"/>
        </w:rPr>
        <w:tab/>
        <w:t>Kandidátské země a případně potenciální kandidáti ze západního Balkánu.</w:t>
      </w:r>
    </w:p>
  </w:footnote>
  <w:footnote w:id="37">
    <w:p>
      <w:pPr>
        <w:pStyle w:val="CommentText"/>
        <w:rPr>
          <w:color w:val="1F497D"/>
        </w:rPr>
      </w:pPr>
      <w:r>
        <w:rPr>
          <w:rStyle w:val="FootnoteReference"/>
        </w:rPr>
        <w:footnoteRef/>
      </w:r>
      <w:r>
        <w:tab/>
        <w:t xml:space="preserve">Náklady na zaměstnance EIT a hlava II byly vypočteny s použitím opravného koeficientu pro HU [71,9], jak je uvedeno na straně 16 v tabulce 5 na internetových stránkách </w:t>
      </w:r>
      <w:hyperlink r:id="rId2" w:history="1">
        <w:r>
          <w:rPr>
            <w:rStyle w:val="Hyperlink"/>
          </w:rPr>
          <w:t>https://ec.europa.eu/eurostat/documents/6939681/7070380/Annualreport2018.pdf/97053a94-29eb-4e93-8883-e826426e3d55</w:t>
        </w:r>
      </w:hyperlink>
      <w:r>
        <w:rPr>
          <w:color w:val="1F497D"/>
        </w:rPr>
        <w:t> </w:t>
      </w:r>
    </w:p>
    <w:p>
      <w:pPr>
        <w:pStyle w:val="FootnoteText"/>
        <w:rPr>
          <w:lang w:val="pt-PT"/>
        </w:rPr>
      </w:pPr>
    </w:p>
  </w:footnote>
  <w:footnote w:id="38">
    <w:p>
      <w:pPr>
        <w:pStyle w:val="FootnoteText"/>
        <w:rPr>
          <w:lang w:val="pt-PT"/>
        </w:rPr>
      </w:pPr>
      <w:r>
        <w:rPr>
          <w:rStyle w:val="FootnoteReference"/>
        </w:rPr>
        <w:footnoteRef/>
      </w:r>
      <w:r>
        <w:rPr>
          <w:lang w:val="pt-PT"/>
        </w:rPr>
        <w:tab/>
        <w:t>Technická a/nebo administrativní pomoc a výdaje na podporu provádění programů a/nebo akcí EU (bývalé položky „BA“), nepřímý výzkum, přímý výzkum. Jedná se o maximální podíl z částky přidělené EIT z programu, jenž má být věnován na správní výdaje Komise.</w:t>
      </w:r>
    </w:p>
  </w:footnote>
  <w:footnote w:id="39">
    <w:p>
      <w:pPr>
        <w:pStyle w:val="FootnoteText"/>
        <w:rPr>
          <w:lang w:val="pt-PT"/>
        </w:rPr>
      </w:pPr>
      <w:r>
        <w:rPr>
          <w:rStyle w:val="FootnoteReference"/>
        </w:rPr>
        <w:footnoteRef/>
      </w:r>
      <w:r>
        <w:rPr>
          <w:lang w:val="pt-PT"/>
        </w:rPr>
        <w:tab/>
        <w:t>Tato čísla jsou v souladu s celkovým legislativním finančním výkazem programu Horizont Evropa, který zahrnuje pouze schválené pracovníky v generálních ředitelstvích v roce 2020, aniž by však předjímal konkrétní potřeby, pokud jde o zaměstnance pracujících pro ETI na období 2021–2027.</w:t>
      </w:r>
    </w:p>
  </w:footnote>
  <w:footnote w:id="40">
    <w:p>
      <w:pPr>
        <w:pStyle w:val="FootnoteText"/>
        <w:rPr>
          <w:szCs w:val="24"/>
          <w:lang w:val="pt-PT"/>
        </w:rPr>
      </w:pPr>
      <w:r>
        <w:rPr>
          <w:rStyle w:val="FootnoteReference"/>
        </w:rPr>
        <w:footnoteRef/>
      </w:r>
      <w:r>
        <w:rPr>
          <w:lang w:val="pt-PT"/>
        </w:rPr>
        <w:tab/>
        <w:t xml:space="preserve">SZ = smluvní zaměstnanec; MZ = místní zaměstnanec; VNO = vyslaný národní odborník; ZAP = zaměstnanec agentury práce; MOD = mladý odborník při delegaci. </w:t>
      </w:r>
    </w:p>
  </w:footnote>
  <w:footnote w:id="41">
    <w:p>
      <w:pPr>
        <w:pStyle w:val="FootnoteText"/>
        <w:rPr>
          <w:szCs w:val="24"/>
          <w:lang w:val="pt-PT"/>
        </w:rPr>
      </w:pPr>
      <w:r>
        <w:rPr>
          <w:rStyle w:val="FootnoteReference"/>
        </w:rPr>
        <w:footnoteRef/>
      </w:r>
      <w:r>
        <w:rPr>
          <w:lang w:val="pt-PT"/>
        </w:rPr>
        <w:tab/>
        <w:t>Dílčí strop na externí zaměstnance financované z operačních prostředků (bývalé položky „BA“).</w:t>
      </w:r>
    </w:p>
  </w:footnote>
  <w:footnote w:id="42">
    <w:p>
      <w:pPr>
        <w:pStyle w:val="FootnoteText"/>
        <w:rPr>
          <w:lang w:val="pt-PT"/>
        </w:rPr>
      </w:pPr>
      <w:r>
        <w:rPr>
          <w:rStyle w:val="FootnoteReference"/>
        </w:rPr>
        <w:footnoteRef/>
      </w:r>
      <w:r>
        <w:rPr>
          <w:lang w:val="pt-PT"/>
        </w:rPr>
        <w:tab/>
        <w:t>Dvoustranné dohody o přidružení dosud nebyly uzavřeny. Příspěvky přidružených zemí budou připočteny k částkám uvedeným v tomto legislativním finančním výkazu.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B5E8DEA"/>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88C2FC24"/>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8372322E"/>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E3E6969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C80B5A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C2C674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3C247DE"/>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BF584A4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3"/>
    <w:lvlOverride w:ilvl="0">
      <w:startOverride w:val="1"/>
    </w:lvlOverride>
  </w:num>
  <w:num w:numId="10">
    <w:abstractNumId w:val="23"/>
  </w:num>
  <w:num w:numId="11">
    <w:abstractNumId w:val="16"/>
  </w:num>
  <w:num w:numId="12">
    <w:abstractNumId w:val="15"/>
  </w:num>
  <w:num w:numId="13">
    <w:abstractNumId w:val="20"/>
  </w:num>
  <w:num w:numId="14">
    <w:abstractNumId w:val="12"/>
  </w:num>
  <w:num w:numId="15">
    <w:abstractNumId w:val="22"/>
  </w:num>
  <w:num w:numId="16">
    <w:abstractNumId w:val="11"/>
  </w:num>
  <w:num w:numId="17">
    <w:abstractNumId w:val="13"/>
  </w:num>
  <w:num w:numId="18">
    <w:abstractNumId w:val="9"/>
  </w:num>
  <w:num w:numId="19">
    <w:abstractNumId w:val="21"/>
  </w:num>
  <w:num w:numId="20">
    <w:abstractNumId w:val="8"/>
  </w:num>
  <w:num w:numId="21">
    <w:abstractNumId w:val="14"/>
  </w:num>
  <w:num w:numId="22">
    <w:abstractNumId w:val="18"/>
  </w:num>
  <w:num w:numId="23">
    <w:abstractNumId w:val="19"/>
  </w:num>
  <w:num w:numId="24">
    <w:abstractNumId w:val="10"/>
  </w:num>
  <w:num w:numId="25">
    <w:abstractNumId w:val="17"/>
  </w:num>
  <w:num w:numId="2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0" w:val="1292/2013 Art. 1.1(a)"/>
    <w:docVar w:name="CR_Ref1" w:val="1292/2013 Art. 1.1(b)"/>
    <w:docVar w:name="CR_Ref10" w:val="1292/2013 Art. 1.3(b)"/>
    <w:docVar w:name="CR_Ref11" w:val="1292/2013 Art. 1.3(c)"/>
    <w:docVar w:name="CR_Ref12" w:val="1292/2013 Art. 1.4(a)"/>
    <w:docVar w:name="CR_Ref13" w:val="1292/2013 Art. 1.4(b)"/>
    <w:docVar w:name="CR_Ref14" w:val="1292/2013 Art. 1.4(c)"/>
    <w:docVar w:name="CR_Ref15" w:val="1292/2013 Art. 1.4(d)"/>
    <w:docVar w:name="CR_Ref16" w:val="1292/2013 Art. 1.4(e)"/>
    <w:docVar w:name="CR_Ref17" w:val="1292/2013 Art. 1.5(a)"/>
    <w:docVar w:name="CR_Ref18" w:val="1292/2013 Art. 1.5(b)"/>
    <w:docVar w:name="CR_Ref19" w:val="1292/2013 Art. 1.6(a)"/>
    <w:docVar w:name="CR_Ref2" w:val="1292/2013 Art. 1.1(c)"/>
    <w:docVar w:name="CR_Ref20" w:val="1292/2013 Art. 1.6(b)"/>
    <w:docVar w:name="CR_Ref21" w:val="1292/2013 Art. 1.6(c)"/>
    <w:docVar w:name="CR_Ref22" w:val="1292/2013 Art. 1.6(d)"/>
    <w:docVar w:name="CR_Ref23" w:val="1292/2013 Art. 1.6(e)"/>
    <w:docVar w:name="CR_Ref24" w:val="1292/2013 Art. 1.6(f)"/>
    <w:docVar w:name="CR_Ref25" w:val="1292/2013 Art. 1.7"/>
    <w:docVar w:name="CR_Ref26" w:val="1292/2013 Art. 1.8"/>
    <w:docVar w:name="CR_Ref27" w:val="1292/2013 Art. 1.9"/>
    <w:docVar w:name="CR_Ref28" w:val="1292/2013 Art. 1.10"/>
    <w:docVar w:name="CR_Ref29" w:val="1292/2013 Art. 1.11(a)"/>
    <w:docVar w:name="CR_Ref3" w:val="1292/2013 Art. 1.1(d)"/>
    <w:docVar w:name="CR_Ref30" w:val="1292/2013 Art. 1.11(b)"/>
    <w:docVar w:name="CR_Ref31" w:val="1292/2013 Art. 1.11(c)"/>
    <w:docVar w:name="CR_Ref32" w:val="1292/2013 Art. 1.12"/>
    <w:docVar w:name="CR_Ref33" w:val="1292/2013 Art. 1.13(a)"/>
    <w:docVar w:name="CR_Ref34" w:val="1292/2013 Art. 1.13(b)"/>
    <w:docVar w:name="CR_Ref35" w:val="1292/2013 Art. 1.14(a)"/>
    <w:docVar w:name="CR_Ref36" w:val="1292/2013 Art. 1.14(b)"/>
    <w:docVar w:name="CR_Ref37" w:val="1292/2013 Art. 1.14(c)"/>
    <w:docVar w:name="CR_Ref38" w:val="1292/2013 Art. 1.15"/>
    <w:docVar w:name="CR_Ref39" w:val="1292/2013 Art. 1.16(a)"/>
    <w:docVar w:name="CR_Ref4" w:val="1292/2013 Art. 1.1(e)"/>
    <w:docVar w:name="CR_Ref40" w:val="1292/2013 Art. 1.16(b)"/>
    <w:docVar w:name="CR_Ref41" w:val="1292/2013 Art. 1.17(a)"/>
    <w:docVar w:name="CR_Ref42" w:val="1292/2013 Art. 1.17(b)"/>
    <w:docVar w:name="CR_Ref43" w:val="1292/2013 Art. 1.18"/>
    <w:docVar w:name="CR_Ref44" w:val="1292/2013 Art. 1.19"/>
    <w:docVar w:name="CR_Ref45" w:val="1292/2013 Art. 2 and Annex "/>
    <w:docVar w:name="CR_Ref46" w:val="294/2008 recital"/>
    <w:docVar w:name="CR_Ref5" w:val="1292/2013 Art. 1.1(f)"/>
    <w:docVar w:name="CR_Ref6" w:val="1292/2013 Art. 1.1(g)"/>
    <w:docVar w:name="CR_Ref7" w:val="1292/2013 Art. 1.1(h)"/>
    <w:docVar w:name="CR_Ref8" w:val="1292/2013 Art. 1.2"/>
    <w:docVar w:name="CR_Ref9" w:val="1292/2013 Art. 1.3(a)"/>
    <w:docVar w:name="CR_RefCount" w:val="47"/>
    <w:docVar w:name="CR_RefLast" w:val="0"/>
    <w:docVar w:name="DQCDateTime" w:val="2019-07-10 12:40:3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88"/>
    <w:docVar w:name="DQCResult_ModifiedMarkers" w:val="0;0"/>
    <w:docVar w:name="DQCResult_ModifiedNumbering" w:val="0;0"/>
    <w:docVar w:name="DQCResult_Objects" w:val="0;0"/>
    <w:docVar w:name="DQCResult_Sections" w:val="0;0"/>
    <w:docVar w:name="DQCResult_StructureCheck" w:val="0;0"/>
    <w:docVar w:name="DQCResult_SuperfluousWhitespace" w:val="0;21"/>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28610347-AA86-4508-90ED-B2A7DA6C81D0"/>
    <w:docVar w:name="LW_COVERPAGE_TYPE" w:val="1"/>
    <w:docVar w:name="LW_CROSSREFERENCE" w:val="{SEC(2019) 275 final} - {SWD(2019) 330 final} - {SWD(2019) 331 final}"/>
    <w:docVar w:name="LW_DocType" w:val="COM"/>
    <w:docVar w:name="LW_EMISSION" w:val="11.7.2019"/>
    <w:docVar w:name="LW_EMISSION_ISODATE" w:val="2019-07-11"/>
    <w:docVar w:name="LW_EMISSION_LOCATION" w:val="BRX"/>
    <w:docVar w:name="LW_EMISSION_PREFIX" w:val="V Bruselu dne "/>
    <w:docVar w:name="LW_EMISSION_SUFFIX" w:val=" "/>
    <w:docVar w:name="LW_FAITA" w:val="Done at Brussels, "/>
    <w:docVar w:name="LW_ID_DOCMODEL" w:val="SJ-023"/>
    <w:docVar w:name="LW_ID_DOCSIGNATURE" w:val="SJ-023"/>
    <w:docVar w:name="LW_ID_DOCSTRUCTURE" w:val="COM/PL/ORG"/>
    <w:docVar w:name="LW_ID_DOCTYPE" w:val="SJ-023"/>
    <w:docVar w:name="LW_ID_STATUT" w:val="SJ-023"/>
    <w:docVar w:name="LW_INST.SIGNE" w:val="For the European Parliament_For the Council"/>
    <w:docVar w:name="LW_INTERETEEE.CP" w:val="(Text s významem pro EHP)"/>
    <w:docVar w:name="LW_LANGUE" w:val="CS"/>
    <w:docVar w:name="LW_LEVEL_OF_SENSITIVITY" w:val="Standard treatment"/>
    <w:docVar w:name="LW_NOM.INST" w:val="EVROPSKÁ KOMISE"/>
    <w:docVar w:name="LW_NOM.INST_JOINTDOC" w:val="&lt;EMPTY&gt;"/>
    <w:docVar w:name="LW_PART_NBR" w:val="1"/>
    <w:docVar w:name="LW_PART_NBR_TOTAL" w:val="1"/>
    <w:docVar w:name="LW_PERS.SIGNE" w:val="The President_The President"/>
    <w:docVar w:name="LW_REF.II.NEW.CP" w:val="COD"/>
    <w:docVar w:name="LW_REF.II.NEW.CP_NUMBER" w:val="0151"/>
    <w:docVar w:name="LW_REF.II.NEW.CP_YEAR" w:val="2019"/>
    <w:docVar w:name="LW_REF.INST.NEW" w:val="COM"/>
    <w:docVar w:name="LW_REF.INST.NEW_ADOPTED" w:val="final"/>
    <w:docVar w:name="LW_REF.INST.NEW_TEXT" w:val="(2019) 3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 o Evropském inova\u269?ním a technologickém institutu (p\u345?epracované zn\u283?ní)"/>
    <w:docVar w:name="LW_TYPE.DOC.CP" w:val="NA\u344?ÍZENÍ EVROPSKÉHO PARLAMENTU A RADY"/>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hAnsi="Arial" w:cs="Arial"/>
      <w:sz w:val="22"/>
      <w:lang w:eastAsia="en-GB"/>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hAnsi="Arial" w:cs="Arial"/>
      <w:i/>
      <w:iCs/>
      <w:sz w:val="22"/>
      <w:lang w:eastAsia="en-GB"/>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hAnsi="Arial" w:cs="Arial"/>
      <w:sz w:val="20"/>
      <w:szCs w:val="20"/>
      <w:lang w:eastAsia="en-GB"/>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hAnsi="Arial" w:cs="Arial"/>
      <w:i/>
      <w:iCs/>
      <w:sz w:val="20"/>
      <w:szCs w:val="20"/>
      <w:lang w:eastAsia="en-GB"/>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hAnsi="Arial" w:cs="Arial"/>
      <w:i/>
      <w:iCs/>
      <w:sz w:val="18"/>
      <w:szCs w:val="1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locked/>
    <w:rPr>
      <w:rFonts w:ascii="Arial" w:hAnsi="Arial"/>
      <w:lang w:val="cs-CZ" w:eastAsia="en-GB"/>
    </w:rPr>
  </w:style>
  <w:style w:type="character" w:customStyle="1" w:styleId="Heading6Char">
    <w:name w:val="Heading 6 Char"/>
    <w:link w:val="Heading6"/>
    <w:uiPriority w:val="99"/>
    <w:locked/>
    <w:rPr>
      <w:rFonts w:ascii="Arial" w:hAnsi="Arial"/>
      <w:i/>
      <w:lang w:val="cs-CZ" w:eastAsia="en-GB"/>
    </w:rPr>
  </w:style>
  <w:style w:type="character" w:customStyle="1" w:styleId="Heading7Char">
    <w:name w:val="Heading 7 Char"/>
    <w:link w:val="Heading7"/>
    <w:uiPriority w:val="99"/>
    <w:locked/>
    <w:rPr>
      <w:rFonts w:ascii="Arial" w:hAnsi="Arial"/>
      <w:sz w:val="20"/>
      <w:lang w:val="cs-CZ" w:eastAsia="en-GB"/>
    </w:rPr>
  </w:style>
  <w:style w:type="character" w:customStyle="1" w:styleId="Heading8Char">
    <w:name w:val="Heading 8 Char"/>
    <w:link w:val="Heading8"/>
    <w:uiPriority w:val="9"/>
    <w:locked/>
    <w:rPr>
      <w:rFonts w:ascii="Arial" w:hAnsi="Arial"/>
      <w:i/>
      <w:sz w:val="20"/>
      <w:lang w:val="cs-CZ" w:eastAsia="en-GB"/>
    </w:rPr>
  </w:style>
  <w:style w:type="character" w:customStyle="1" w:styleId="Heading9Char">
    <w:name w:val="Heading 9 Char"/>
    <w:link w:val="Heading9"/>
    <w:uiPriority w:val="99"/>
    <w:locked/>
    <w:rPr>
      <w:rFonts w:ascii="Arial" w:hAnsi="Arial"/>
      <w:i/>
      <w:sz w:val="18"/>
      <w:lang w:val="cs-CZ" w:eastAsia="en-GB"/>
    </w:rPr>
  </w:style>
  <w:style w:type="paragraph" w:styleId="Caption">
    <w:name w:val="caption"/>
    <w:basedOn w:val="Normal"/>
    <w:next w:val="Normal"/>
    <w:uiPriority w:val="99"/>
    <w:qFormat/>
    <w:pPr>
      <w:autoSpaceDE w:val="0"/>
      <w:autoSpaceDN w:val="0"/>
    </w:pPr>
    <w:rPr>
      <w:b/>
      <w:bCs/>
      <w:szCs w:val="24"/>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autoSpaceDE w:val="0"/>
      <w:autoSpaceDN w:val="0"/>
    </w:pPr>
    <w:rPr>
      <w:sz w:val="20"/>
      <w:szCs w:val="20"/>
      <w:lang w:eastAsia="en-GB"/>
    </w:rPr>
  </w:style>
  <w:style w:type="character" w:customStyle="1" w:styleId="CommentTextChar">
    <w:name w:val="Comment Text Char"/>
    <w:link w:val="CommentText"/>
    <w:uiPriority w:val="99"/>
    <w:locked/>
    <w:rPr>
      <w:rFonts w:ascii="Times New Roman" w:hAnsi="Times New Roman"/>
      <w:sz w:val="20"/>
      <w:lang w:val="cs-CZ" w:eastAsia="en-GB"/>
    </w:rPr>
  </w:style>
  <w:style w:type="paragraph" w:customStyle="1" w:styleId="Sous-titreobjet">
    <w:name w:val="Sous-titre objet"/>
    <w:basedOn w:val="Titreobjet"/>
    <w:uiPriority w:val="99"/>
    <w:pPr>
      <w:autoSpaceDE w:val="0"/>
      <w:autoSpaceDN w:val="0"/>
      <w:spacing w:before="0" w:after="0"/>
    </w:pPr>
    <w:rPr>
      <w:bCs/>
      <w:szCs w:val="24"/>
      <w:lang w:eastAsia="en-GB"/>
    </w:rPr>
  </w:style>
  <w:style w:type="paragraph" w:customStyle="1" w:styleId="FichedimpactPMEtitre">
    <w:name w:val="Fiche d'impact PME titre"/>
    <w:basedOn w:val="Normal"/>
    <w:next w:val="Normal"/>
    <w:uiPriority w:val="99"/>
    <w:pPr>
      <w:autoSpaceDE w:val="0"/>
      <w:autoSpaceDN w:val="0"/>
      <w:jc w:val="center"/>
    </w:pPr>
    <w:rPr>
      <w:b/>
      <w:bCs/>
      <w:szCs w:val="24"/>
      <w:lang w:eastAsia="en-GB"/>
    </w:rPr>
  </w:style>
  <w:style w:type="paragraph" w:customStyle="1" w:styleId="Fichefinanciretextetable">
    <w:name w:val="Fiche financière texte (table)"/>
    <w:basedOn w:val="Normal"/>
    <w:uiPriority w:val="99"/>
    <w:pPr>
      <w:autoSpaceDE w:val="0"/>
      <w:autoSpaceDN w:val="0"/>
      <w:spacing w:before="0" w:after="0"/>
      <w:jc w:val="left"/>
    </w:pPr>
    <w:rPr>
      <w:sz w:val="20"/>
      <w:szCs w:val="20"/>
      <w:lang w:eastAsia="en-GB"/>
    </w:rPr>
  </w:style>
  <w:style w:type="paragraph" w:customStyle="1" w:styleId="Fichefinanciretitreactetable">
    <w:name w:val="Fiche financière titre (acte table)"/>
    <w:basedOn w:val="Normal"/>
    <w:next w:val="Normal"/>
    <w:uiPriority w:val="99"/>
    <w:pPr>
      <w:autoSpaceDE w:val="0"/>
      <w:autoSpaceDN w:val="0"/>
      <w:jc w:val="center"/>
    </w:pPr>
    <w:rPr>
      <w:b/>
      <w:bCs/>
      <w:sz w:val="40"/>
      <w:szCs w:val="40"/>
      <w:lang w:eastAsia="en-GB"/>
    </w:rPr>
  </w:style>
  <w:style w:type="paragraph" w:customStyle="1" w:styleId="Fichefinanciretitretable">
    <w:name w:val="Fiche financière titre (table)"/>
    <w:basedOn w:val="Normal"/>
    <w:uiPriority w:val="99"/>
    <w:pPr>
      <w:autoSpaceDE w:val="0"/>
      <w:autoSpaceDN w:val="0"/>
      <w:jc w:val="center"/>
    </w:pPr>
    <w:rPr>
      <w:b/>
      <w:bCs/>
      <w:sz w:val="40"/>
      <w:szCs w:val="40"/>
      <w:lang w:eastAsia="en-GB"/>
    </w:rPr>
  </w:style>
  <w:style w:type="character" w:styleId="PageNumber">
    <w:name w:val="page number"/>
    <w:uiPriority w:val="99"/>
  </w:style>
  <w:style w:type="paragraph" w:styleId="TOAHeading">
    <w:name w:val="toa heading"/>
    <w:basedOn w:val="Normal"/>
    <w:next w:val="Normal"/>
    <w:uiPriority w:val="99"/>
    <w:pPr>
      <w:autoSpaceDE w:val="0"/>
      <w:autoSpaceDN w:val="0"/>
    </w:pPr>
    <w:rPr>
      <w:rFonts w:ascii="Arial" w:hAnsi="Arial" w:cs="Arial"/>
      <w:b/>
      <w:bCs/>
      <w:szCs w:val="24"/>
      <w:lang w:eastAsia="en-GB"/>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szCs w:val="24"/>
      <w:lang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szCs w:val="24"/>
      <w:lang w:eastAsia="en-GB"/>
    </w:rPr>
  </w:style>
  <w:style w:type="character" w:customStyle="1" w:styleId="CRRefNum">
    <w:name w:val="CR RefNum"/>
    <w:uiPriority w:val="99"/>
    <w:rPr>
      <w:vertAlign w:val="subscript"/>
    </w:rPr>
  </w:style>
  <w:style w:type="paragraph" w:customStyle="1" w:styleId="CRParaDeleted">
    <w:name w:val="CR ParaDeleted"/>
    <w:basedOn w:val="Normal"/>
    <w:next w:val="Normal"/>
    <w:uiPriority w:val="99"/>
    <w:pPr>
      <w:autoSpaceDE w:val="0"/>
      <w:autoSpaceDN w:val="0"/>
    </w:pPr>
    <w:rPr>
      <w:szCs w:val="24"/>
      <w:lang w:eastAsia="en-GB"/>
    </w:rPr>
  </w:style>
  <w:style w:type="character" w:customStyle="1" w:styleId="CRTextDeleted">
    <w:name w:val="CR TextDeleted"/>
    <w:uiPriority w:val="99"/>
  </w:style>
  <w:style w:type="paragraph" w:customStyle="1" w:styleId="Titredumodificateur">
    <w:name w:val="Titre du modificateur"/>
    <w:basedOn w:val="Normal"/>
    <w:next w:val="Normal"/>
    <w:uiPriority w:val="99"/>
    <w:pPr>
      <w:autoSpaceDE w:val="0"/>
      <w:autoSpaceDN w:val="0"/>
      <w:spacing w:before="240" w:after="60"/>
      <w:jc w:val="left"/>
    </w:pPr>
    <w:rPr>
      <w:b/>
      <w:bCs/>
      <w:szCs w:val="24"/>
      <w:lang w:eastAsia="en-GB"/>
    </w:rPr>
  </w:style>
  <w:style w:type="paragraph" w:customStyle="1" w:styleId="Referencedumodificateur">
    <w:name w:val="Reference du modificateur"/>
    <w:basedOn w:val="Normal"/>
    <w:next w:val="Normal"/>
    <w:uiPriority w:val="99"/>
    <w:pPr>
      <w:autoSpaceDE w:val="0"/>
      <w:autoSpaceDN w:val="0"/>
      <w:spacing w:before="0"/>
      <w:jc w:val="left"/>
    </w:pPr>
    <w:rPr>
      <w:szCs w:val="24"/>
      <w:lang w:eastAsia="en-GB"/>
    </w:rPr>
  </w:style>
  <w:style w:type="character" w:customStyle="1" w:styleId="CRDeleted">
    <w:name w:val="CR Deleted"/>
    <w:rPr>
      <w:dstrike/>
      <w:lang w:val="cs-CZ" w:eastAsia="x-none"/>
    </w:rPr>
  </w:style>
  <w:style w:type="paragraph" w:styleId="BalloonText">
    <w:name w:val="Balloon Text"/>
    <w:basedOn w:val="Normal"/>
    <w:link w:val="BalloonTextChar"/>
    <w:uiPriority w:val="99"/>
    <w:semiHidden/>
    <w:unhideWhenUsed/>
    <w:pPr>
      <w:autoSpaceDE w:val="0"/>
      <w:autoSpaceDN w:val="0"/>
      <w:spacing w:before="0" w:after="0"/>
    </w:pPr>
    <w:rPr>
      <w:rFonts w:ascii="Segoe UI" w:hAnsi="Segoe UI" w:cs="Segoe UI"/>
      <w:sz w:val="18"/>
      <w:szCs w:val="18"/>
      <w:lang w:eastAsia="en-GB"/>
    </w:rPr>
  </w:style>
  <w:style w:type="character" w:customStyle="1" w:styleId="BalloonTextChar">
    <w:name w:val="Balloon Text Char"/>
    <w:link w:val="BalloonText"/>
    <w:uiPriority w:val="99"/>
    <w:semiHidden/>
    <w:locked/>
    <w:rPr>
      <w:rFonts w:ascii="Segoe UI" w:hAnsi="Segoe UI"/>
      <w:sz w:val="18"/>
      <w:lang w:val="cs-CZ" w:eastAsia="en-GB"/>
    </w:rPr>
  </w:style>
  <w:style w:type="character" w:customStyle="1" w:styleId="CRRefonteDeleted">
    <w:name w:val="CR Refonte Deleted"/>
    <w:rPr>
      <w:dstrike/>
      <w:lang w:val="cs-CZ" w:eastAsia="x-none"/>
    </w:rPr>
  </w:style>
  <w:style w:type="character" w:customStyle="1" w:styleId="CRMinorChangeDeleted">
    <w:name w:val="CR Minor Change Deleted"/>
    <w:rPr>
      <w:dstrike/>
      <w:u w:val="double"/>
      <w:lang w:val="cs-CZ" w:eastAsia="x-none"/>
    </w:rPr>
  </w:style>
  <w:style w:type="character" w:customStyle="1" w:styleId="CRMinorChangeAdded">
    <w:name w:val="CR Minor Change Added"/>
    <w:rPr>
      <w:u w:val="double"/>
      <w:lang w:val="cs-CZ" w:eastAsia="x-none"/>
    </w:rPr>
  </w:style>
  <w:style w:type="paragraph" w:styleId="ListParagraph">
    <w:name w:val="List Paragraph"/>
    <w:basedOn w:val="Normal"/>
    <w:uiPriority w:val="34"/>
    <w:qFormat/>
    <w:pPr>
      <w:spacing w:before="0" w:after="200" w:line="276" w:lineRule="auto"/>
      <w:ind w:left="720"/>
      <w:contextualSpacing/>
      <w:jc w:val="left"/>
    </w:pPr>
    <w:rPr>
      <w:rFonts w:ascii="Calibri" w:hAnsi="Calibri"/>
      <w:sz w:val="22"/>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rFonts w:ascii="Times New Roman" w:hAnsi="Times New Roman"/>
      <w:b/>
      <w:sz w:val="20"/>
      <w:lang w:val="cs-CZ" w:eastAsia="en-GB"/>
    </w:rPr>
  </w:style>
  <w:style w:type="paragraph" w:styleId="Revision">
    <w:name w:val="Revision"/>
    <w:hidden/>
    <w:uiPriority w:val="99"/>
    <w:semiHidden/>
    <w:rPr>
      <w:rFonts w:ascii="Times New Roman" w:hAnsi="Times New Roman"/>
      <w:sz w:val="24"/>
      <w:szCs w:val="24"/>
    </w:rPr>
  </w:style>
  <w:style w:type="paragraph" w:styleId="ListNumber">
    <w:name w:val="List Number"/>
    <w:basedOn w:val="Normal"/>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TableofFigures">
    <w:name w:val="table of figures"/>
    <w:basedOn w:val="Normal"/>
    <w:next w:val="Normal"/>
    <w:uiPriority w:val="99"/>
    <w:semiHidden/>
    <w:unhideWhenUsed/>
  </w:style>
  <w:style w:type="character" w:styleId="Hyperlink">
    <w:name w:val="Hyperlink"/>
    <w:uiPriority w:val="99"/>
    <w:unhideWhenUsed/>
    <w:rPr>
      <w:color w:val="0563C1"/>
      <w:u w:val="single"/>
    </w:rPr>
  </w:style>
  <w:style w:type="numbering" w:customStyle="1" w:styleId="NoList1">
    <w:name w:val="No List1"/>
    <w:next w:val="NoList"/>
    <w:uiPriority w:val="99"/>
    <w:semiHidden/>
    <w:unhideWhenUsed/>
  </w:style>
  <w:style w:type="paragraph" w:customStyle="1" w:styleId="ListDash1">
    <w:name w:val="List Dash 1"/>
    <w:basedOn w:val="Normal"/>
    <w:pPr>
      <w:numPr>
        <w:numId w:val="11"/>
      </w:numPr>
    </w:pPr>
    <w:rPr>
      <w:lang w:eastAsia="de-DE"/>
    </w:rPr>
  </w:style>
  <w:style w:type="paragraph" w:customStyle="1" w:styleId="ListDash2">
    <w:name w:val="List Dash 2"/>
    <w:basedOn w:val="Normal"/>
    <w:pPr>
      <w:numPr>
        <w:numId w:val="12"/>
      </w:numPr>
    </w:pPr>
    <w:rPr>
      <w:lang w:eastAsia="de-DE"/>
    </w:rPr>
  </w:style>
  <w:style w:type="paragraph" w:customStyle="1" w:styleId="ListNumberLevel2">
    <w:name w:val="List Number (Level 2)"/>
    <w:basedOn w:val="Normal"/>
    <w:pPr>
      <w:tabs>
        <w:tab w:val="num" w:pos="1417"/>
      </w:tabs>
      <w:ind w:left="1417" w:hanging="708"/>
    </w:pPr>
    <w:rPr>
      <w:lang w:eastAsia="de-DE"/>
    </w:rPr>
  </w:style>
  <w:style w:type="paragraph" w:customStyle="1" w:styleId="ListNumberLevel3">
    <w:name w:val="List Number (Level 3)"/>
    <w:basedOn w:val="Normal"/>
    <w:pPr>
      <w:tabs>
        <w:tab w:val="num" w:pos="2126"/>
      </w:tabs>
      <w:ind w:left="2126" w:hanging="709"/>
    </w:pPr>
    <w:rPr>
      <w:lang w:eastAsia="de-DE"/>
    </w:rPr>
  </w:style>
  <w:style w:type="paragraph" w:customStyle="1" w:styleId="ListNumberLevel4">
    <w:name w:val="List Number (Level 4)"/>
    <w:basedOn w:val="Normal"/>
    <w:pPr>
      <w:tabs>
        <w:tab w:val="num" w:pos="2835"/>
      </w:tabs>
      <w:ind w:left="2835" w:hanging="709"/>
    </w:pPr>
    <w:rPr>
      <w:lang w:eastAsia="de-D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rFonts w:ascii="Times New Roman" w:eastAsia="Calibri" w:hAnsi="Times New Roman"/>
      <w:sz w:val="24"/>
      <w:szCs w:val="22"/>
      <w:lang w:eastAsia="en-US"/>
    </w:rPr>
  </w:style>
  <w:style w:type="character" w:customStyle="1" w:styleId="FooterSensitivityChar">
    <w:name w:val="Footer Sensitivity Char"/>
    <w:rPr>
      <w:rFonts w:ascii="Times New Roman" w:eastAsia="Calibri" w:hAnsi="Times New Roman"/>
      <w:b/>
      <w:sz w:val="32"/>
      <w:szCs w:val="22"/>
      <w:lang w:eastAsia="en-US"/>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link w:val="HeaderCoverPage"/>
    <w:rPr>
      <w:rFonts w:ascii="Times New Roman" w:eastAsia="Calibri" w:hAnsi="Times New Roman"/>
      <w:sz w:val="24"/>
      <w:szCs w:val="22"/>
      <w:lang w:eastAsia="en-US"/>
    </w:rPr>
  </w:style>
  <w:style w:type="character" w:customStyle="1" w:styleId="HeaderSensitivityChar">
    <w:name w:val="Header Sensitivity Char"/>
    <w:rPr>
      <w:rFonts w:ascii="Times New Roman" w:eastAsia="Calibri" w:hAnsi="Times New Roman"/>
      <w:b/>
      <w:sz w:val="32"/>
      <w:szCs w:val="22"/>
      <w:lang w:eastAsia="en-US"/>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link w:val="EndnoteText"/>
    <w:uiPriority w:val="99"/>
    <w:semiHidden/>
    <w:rPr>
      <w:rFonts w:ascii="Times New Roman" w:eastAsia="Calibri" w:hAnsi="Times New Roman"/>
      <w:lang w:eastAsia="en-US"/>
    </w:rPr>
  </w:style>
  <w:style w:type="character" w:styleId="EndnoteReference">
    <w:name w:val="endnote reference"/>
    <w:uiPriority w:val="99"/>
    <w:semiHidden/>
    <w:unhideWhenUsed/>
    <w:rPr>
      <w:vertAlign w:val="superscript"/>
    </w:rPr>
  </w:style>
  <w:style w:type="numbering" w:customStyle="1" w:styleId="NoList2">
    <w:name w:val="No List2"/>
    <w:next w:val="NoList"/>
    <w:uiPriority w:val="99"/>
    <w:semiHidden/>
    <w:unhideWhenUsed/>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lang w:eastAsia="en-GB"/>
    </w:rPr>
  </w:style>
  <w:style w:type="paragraph" w:customStyle="1" w:styleId="Annexetitreexposglobal">
    <w:name w:val="Annexe titre (exposé global)"/>
    <w:basedOn w:val="Normal"/>
    <w:next w:val="Normal"/>
    <w:uiPriority w:val="99"/>
    <w:pPr>
      <w:autoSpaceDE w:val="0"/>
      <w:autoSpaceDN w:val="0"/>
      <w:jc w:val="center"/>
    </w:pPr>
    <w:rPr>
      <w:rFonts w:eastAsia="Times New Roman"/>
      <w:b/>
      <w:bCs/>
      <w:szCs w:val="24"/>
      <w:u w:val="single"/>
      <w:lang w:eastAsia="en-GB"/>
    </w:rPr>
  </w:style>
  <w:style w:type="paragraph" w:customStyle="1" w:styleId="Annexetitrefichefinacte">
    <w:name w:val="Annexe titre (fiche fin. acte)"/>
    <w:basedOn w:val="Normal"/>
    <w:next w:val="Normal"/>
    <w:uiPriority w:val="99"/>
    <w:pPr>
      <w:autoSpaceDE w:val="0"/>
      <w:autoSpaceDN w:val="0"/>
      <w:jc w:val="center"/>
    </w:pPr>
    <w:rPr>
      <w:rFonts w:eastAsia="Times New Roman"/>
      <w:b/>
      <w:bCs/>
      <w:szCs w:val="24"/>
      <w:u w:val="single"/>
      <w:lang w:eastAsia="en-GB"/>
    </w:rPr>
  </w:style>
  <w:style w:type="paragraph" w:customStyle="1" w:styleId="Annexetitrefichefinglobale">
    <w:name w:val="Annexe titre (fiche fin. globale)"/>
    <w:basedOn w:val="Normal"/>
    <w:next w:val="Normal"/>
    <w:uiPriority w:val="99"/>
    <w:pPr>
      <w:autoSpaceDE w:val="0"/>
      <w:autoSpaceDN w:val="0"/>
      <w:jc w:val="center"/>
    </w:pPr>
    <w:rPr>
      <w:rFonts w:eastAsia="Times New Roman"/>
      <w:b/>
      <w:bCs/>
      <w:szCs w:val="24"/>
      <w:u w:val="single"/>
      <w:lang w:eastAsia="en-GB"/>
    </w:rPr>
  </w:style>
  <w:style w:type="paragraph" w:customStyle="1" w:styleId="Annexetitreglobale">
    <w:name w:val="Annexe titre (globale)"/>
    <w:basedOn w:val="Normal"/>
    <w:next w:val="Normal"/>
    <w:uiPriority w:val="99"/>
    <w:pPr>
      <w:autoSpaceDE w:val="0"/>
      <w:autoSpaceDN w:val="0"/>
      <w:jc w:val="center"/>
    </w:pPr>
    <w:rPr>
      <w:rFonts w:eastAsia="Times New Roman"/>
      <w:b/>
      <w:bCs/>
      <w:szCs w:val="24"/>
      <w:u w:val="single"/>
      <w:lang w:eastAsia="en-GB"/>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imes New Roman"/>
      <w:szCs w:val="24"/>
      <w:lang w:eastAsia="en-GB"/>
    </w:rPr>
  </w:style>
  <w:style w:type="paragraph" w:customStyle="1" w:styleId="Exposdesmotifstitreglobal">
    <w:name w:val="Exposé des motifs titre (global)"/>
    <w:basedOn w:val="Normal"/>
    <w:next w:val="Normal"/>
    <w:uiPriority w:val="99"/>
    <w:pPr>
      <w:autoSpaceDE w:val="0"/>
      <w:autoSpaceDN w:val="0"/>
      <w:jc w:val="center"/>
    </w:pPr>
    <w:rPr>
      <w:rFonts w:eastAsia="Times New Roman"/>
      <w:b/>
      <w:bCs/>
      <w:szCs w:val="24"/>
      <w:u w:val="single"/>
      <w:lang w:eastAsia="en-GB"/>
    </w:rPr>
  </w:style>
  <w:style w:type="paragraph" w:customStyle="1" w:styleId="Fichefinanciretitreacte">
    <w:name w:val="Fiche financière titre (acte)"/>
    <w:basedOn w:val="Normal"/>
    <w:next w:val="Normal"/>
    <w:uiPriority w:val="99"/>
    <w:pPr>
      <w:autoSpaceDE w:val="0"/>
      <w:autoSpaceDN w:val="0"/>
      <w:jc w:val="center"/>
    </w:pPr>
    <w:rPr>
      <w:rFonts w:eastAsia="Times New Roman"/>
      <w:b/>
      <w:bCs/>
      <w:szCs w:val="24"/>
      <w:u w:val="single"/>
      <w:lang w:eastAsia="en-GB"/>
    </w:rPr>
  </w:style>
  <w:style w:type="paragraph" w:customStyle="1" w:styleId="Langueoriginale">
    <w:name w:val="Langue originale"/>
    <w:basedOn w:val="Normal"/>
    <w:next w:val="Phrasefinale"/>
    <w:uiPriority w:val="99"/>
    <w:pPr>
      <w:autoSpaceDE w:val="0"/>
      <w:autoSpaceDN w:val="0"/>
      <w:spacing w:before="360"/>
      <w:jc w:val="center"/>
    </w:pPr>
    <w:rPr>
      <w:rFonts w:eastAsia="Times New Roman"/>
      <w:caps/>
      <w:szCs w:val="24"/>
      <w:lang w:eastAsia="en-GB"/>
    </w:rPr>
  </w:style>
  <w:style w:type="paragraph" w:customStyle="1" w:styleId="Phrasefinale">
    <w:name w:val="Phrase finale"/>
    <w:basedOn w:val="Normal"/>
    <w:next w:val="Normal"/>
    <w:uiPriority w:val="99"/>
    <w:pPr>
      <w:autoSpaceDE w:val="0"/>
      <w:autoSpaceDN w:val="0"/>
      <w:spacing w:before="360" w:after="0"/>
      <w:jc w:val="center"/>
    </w:pPr>
    <w:rPr>
      <w:rFonts w:eastAsia="Times New Roman"/>
      <w:szCs w:val="24"/>
      <w:lang w:eastAsia="en-GB"/>
    </w:rPr>
  </w:style>
  <w:style w:type="paragraph" w:customStyle="1" w:styleId="Prliminairetitre">
    <w:name w:val="Préliminaire titre"/>
    <w:basedOn w:val="Normal"/>
    <w:next w:val="Normal"/>
    <w:uiPriority w:val="99"/>
    <w:pPr>
      <w:autoSpaceDE w:val="0"/>
      <w:autoSpaceDN w:val="0"/>
      <w:spacing w:before="360" w:after="360"/>
      <w:jc w:val="center"/>
    </w:pPr>
    <w:rPr>
      <w:rFonts w:eastAsia="Times New Roman"/>
      <w:b/>
      <w:bCs/>
      <w:szCs w:val="24"/>
      <w:lang w:eastAsia="en-GB"/>
    </w:rPr>
  </w:style>
  <w:style w:type="paragraph" w:customStyle="1" w:styleId="Prliminairetype">
    <w:name w:val="Préliminaire type"/>
    <w:basedOn w:val="Normal"/>
    <w:next w:val="Normal"/>
    <w:uiPriority w:val="99"/>
    <w:pPr>
      <w:autoSpaceDE w:val="0"/>
      <w:autoSpaceDN w:val="0"/>
      <w:spacing w:before="360" w:after="0"/>
      <w:jc w:val="center"/>
    </w:pPr>
    <w:rPr>
      <w:rFonts w:eastAsia="Times New Roman"/>
      <w:b/>
      <w:bCs/>
      <w:szCs w:val="24"/>
      <w:lang w:eastAsia="en-GB"/>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imes New Roman"/>
      <w:szCs w:val="24"/>
      <w:lang w:eastAsia="en-GB"/>
    </w:rPr>
  </w:style>
  <w:style w:type="numbering" w:customStyle="1" w:styleId="NoList3">
    <w:name w:val="No List3"/>
    <w:next w:val="NoList"/>
    <w:uiPriority w:val="99"/>
    <w:semiHidden/>
    <w:unhideWhenUsed/>
  </w:style>
  <w:style w:type="numbering" w:customStyle="1" w:styleId="NoList11">
    <w:name w:val="No List11"/>
    <w:next w:val="NoList"/>
    <w:uiPriority w:val="99"/>
    <w:semiHidden/>
    <w:unhideWhenUsed/>
  </w:style>
  <w:style w:type="numbering" w:customStyle="1" w:styleId="NoList21">
    <w:name w:val="No List21"/>
    <w:next w:val="NoList"/>
    <w:uiPriority w:val="99"/>
    <w:semiHidden/>
    <w:unhideWhenUsed/>
  </w:style>
  <w:style w:type="numbering" w:customStyle="1" w:styleId="NoList31">
    <w:name w:val="No List31"/>
    <w:next w:val="NoList"/>
    <w:uiPriority w:val="99"/>
    <w:semiHidden/>
    <w:unhideWhenUsed/>
  </w:style>
  <w:style w:type="numbering" w:customStyle="1" w:styleId="NoList111">
    <w:name w:val="No List111"/>
    <w:next w:val="NoList"/>
    <w:uiPriority w:val="99"/>
    <w:semiHidden/>
    <w:unhideWhenUsed/>
  </w:style>
  <w:style w:type="numbering" w:customStyle="1" w:styleId="NoList211">
    <w:name w:val="No List211"/>
    <w:next w:val="NoList"/>
    <w:uiPriority w:val="99"/>
    <w:semiHidden/>
    <w:unhideWhenUsed/>
  </w:style>
  <w:style w:type="numbering" w:customStyle="1" w:styleId="NoList1111">
    <w:name w:val="No List1111"/>
    <w:next w:val="NoList"/>
    <w:uiPriority w:val="99"/>
    <w:semiHidden/>
    <w:unhideWhenUsed/>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hAnsi="Arial" w:cs="Arial"/>
      <w:sz w:val="22"/>
      <w:lang w:eastAsia="en-GB"/>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hAnsi="Arial" w:cs="Arial"/>
      <w:i/>
      <w:iCs/>
      <w:sz w:val="22"/>
      <w:lang w:eastAsia="en-GB"/>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hAnsi="Arial" w:cs="Arial"/>
      <w:sz w:val="20"/>
      <w:szCs w:val="20"/>
      <w:lang w:eastAsia="en-GB"/>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hAnsi="Arial" w:cs="Arial"/>
      <w:i/>
      <w:iCs/>
      <w:sz w:val="20"/>
      <w:szCs w:val="20"/>
      <w:lang w:eastAsia="en-GB"/>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hAnsi="Arial" w:cs="Arial"/>
      <w:i/>
      <w:iCs/>
      <w:sz w:val="18"/>
      <w:szCs w:val="1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locked/>
    <w:rPr>
      <w:rFonts w:ascii="Arial" w:hAnsi="Arial"/>
      <w:lang w:val="cs-CZ" w:eastAsia="en-GB"/>
    </w:rPr>
  </w:style>
  <w:style w:type="character" w:customStyle="1" w:styleId="Heading6Char">
    <w:name w:val="Heading 6 Char"/>
    <w:link w:val="Heading6"/>
    <w:uiPriority w:val="99"/>
    <w:locked/>
    <w:rPr>
      <w:rFonts w:ascii="Arial" w:hAnsi="Arial"/>
      <w:i/>
      <w:lang w:val="cs-CZ" w:eastAsia="en-GB"/>
    </w:rPr>
  </w:style>
  <w:style w:type="character" w:customStyle="1" w:styleId="Heading7Char">
    <w:name w:val="Heading 7 Char"/>
    <w:link w:val="Heading7"/>
    <w:uiPriority w:val="99"/>
    <w:locked/>
    <w:rPr>
      <w:rFonts w:ascii="Arial" w:hAnsi="Arial"/>
      <w:sz w:val="20"/>
      <w:lang w:val="cs-CZ" w:eastAsia="en-GB"/>
    </w:rPr>
  </w:style>
  <w:style w:type="character" w:customStyle="1" w:styleId="Heading8Char">
    <w:name w:val="Heading 8 Char"/>
    <w:link w:val="Heading8"/>
    <w:uiPriority w:val="9"/>
    <w:locked/>
    <w:rPr>
      <w:rFonts w:ascii="Arial" w:hAnsi="Arial"/>
      <w:i/>
      <w:sz w:val="20"/>
      <w:lang w:val="cs-CZ" w:eastAsia="en-GB"/>
    </w:rPr>
  </w:style>
  <w:style w:type="character" w:customStyle="1" w:styleId="Heading9Char">
    <w:name w:val="Heading 9 Char"/>
    <w:link w:val="Heading9"/>
    <w:uiPriority w:val="99"/>
    <w:locked/>
    <w:rPr>
      <w:rFonts w:ascii="Arial" w:hAnsi="Arial"/>
      <w:i/>
      <w:sz w:val="18"/>
      <w:lang w:val="cs-CZ" w:eastAsia="en-GB"/>
    </w:rPr>
  </w:style>
  <w:style w:type="paragraph" w:styleId="Caption">
    <w:name w:val="caption"/>
    <w:basedOn w:val="Normal"/>
    <w:next w:val="Normal"/>
    <w:uiPriority w:val="99"/>
    <w:qFormat/>
    <w:pPr>
      <w:autoSpaceDE w:val="0"/>
      <w:autoSpaceDN w:val="0"/>
    </w:pPr>
    <w:rPr>
      <w:b/>
      <w:bCs/>
      <w:szCs w:val="24"/>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autoSpaceDE w:val="0"/>
      <w:autoSpaceDN w:val="0"/>
    </w:pPr>
    <w:rPr>
      <w:sz w:val="20"/>
      <w:szCs w:val="20"/>
      <w:lang w:eastAsia="en-GB"/>
    </w:rPr>
  </w:style>
  <w:style w:type="character" w:customStyle="1" w:styleId="CommentTextChar">
    <w:name w:val="Comment Text Char"/>
    <w:link w:val="CommentText"/>
    <w:uiPriority w:val="99"/>
    <w:locked/>
    <w:rPr>
      <w:rFonts w:ascii="Times New Roman" w:hAnsi="Times New Roman"/>
      <w:sz w:val="20"/>
      <w:lang w:val="cs-CZ" w:eastAsia="en-GB"/>
    </w:rPr>
  </w:style>
  <w:style w:type="paragraph" w:customStyle="1" w:styleId="Sous-titreobjet">
    <w:name w:val="Sous-titre objet"/>
    <w:basedOn w:val="Titreobjet"/>
    <w:uiPriority w:val="99"/>
    <w:pPr>
      <w:autoSpaceDE w:val="0"/>
      <w:autoSpaceDN w:val="0"/>
      <w:spacing w:before="0" w:after="0"/>
    </w:pPr>
    <w:rPr>
      <w:bCs/>
      <w:szCs w:val="24"/>
      <w:lang w:eastAsia="en-GB"/>
    </w:rPr>
  </w:style>
  <w:style w:type="paragraph" w:customStyle="1" w:styleId="FichedimpactPMEtitre">
    <w:name w:val="Fiche d'impact PME titre"/>
    <w:basedOn w:val="Normal"/>
    <w:next w:val="Normal"/>
    <w:uiPriority w:val="99"/>
    <w:pPr>
      <w:autoSpaceDE w:val="0"/>
      <w:autoSpaceDN w:val="0"/>
      <w:jc w:val="center"/>
    </w:pPr>
    <w:rPr>
      <w:b/>
      <w:bCs/>
      <w:szCs w:val="24"/>
      <w:lang w:eastAsia="en-GB"/>
    </w:rPr>
  </w:style>
  <w:style w:type="paragraph" w:customStyle="1" w:styleId="Fichefinanciretextetable">
    <w:name w:val="Fiche financière texte (table)"/>
    <w:basedOn w:val="Normal"/>
    <w:uiPriority w:val="99"/>
    <w:pPr>
      <w:autoSpaceDE w:val="0"/>
      <w:autoSpaceDN w:val="0"/>
      <w:spacing w:before="0" w:after="0"/>
      <w:jc w:val="left"/>
    </w:pPr>
    <w:rPr>
      <w:sz w:val="20"/>
      <w:szCs w:val="20"/>
      <w:lang w:eastAsia="en-GB"/>
    </w:rPr>
  </w:style>
  <w:style w:type="paragraph" w:customStyle="1" w:styleId="Fichefinanciretitreactetable">
    <w:name w:val="Fiche financière titre (acte table)"/>
    <w:basedOn w:val="Normal"/>
    <w:next w:val="Normal"/>
    <w:uiPriority w:val="99"/>
    <w:pPr>
      <w:autoSpaceDE w:val="0"/>
      <w:autoSpaceDN w:val="0"/>
      <w:jc w:val="center"/>
    </w:pPr>
    <w:rPr>
      <w:b/>
      <w:bCs/>
      <w:sz w:val="40"/>
      <w:szCs w:val="40"/>
      <w:lang w:eastAsia="en-GB"/>
    </w:rPr>
  </w:style>
  <w:style w:type="paragraph" w:customStyle="1" w:styleId="Fichefinanciretitretable">
    <w:name w:val="Fiche financière titre (table)"/>
    <w:basedOn w:val="Normal"/>
    <w:uiPriority w:val="99"/>
    <w:pPr>
      <w:autoSpaceDE w:val="0"/>
      <w:autoSpaceDN w:val="0"/>
      <w:jc w:val="center"/>
    </w:pPr>
    <w:rPr>
      <w:b/>
      <w:bCs/>
      <w:sz w:val="40"/>
      <w:szCs w:val="40"/>
      <w:lang w:eastAsia="en-GB"/>
    </w:rPr>
  </w:style>
  <w:style w:type="character" w:styleId="PageNumber">
    <w:name w:val="page number"/>
    <w:uiPriority w:val="99"/>
  </w:style>
  <w:style w:type="paragraph" w:styleId="TOAHeading">
    <w:name w:val="toa heading"/>
    <w:basedOn w:val="Normal"/>
    <w:next w:val="Normal"/>
    <w:uiPriority w:val="99"/>
    <w:pPr>
      <w:autoSpaceDE w:val="0"/>
      <w:autoSpaceDN w:val="0"/>
    </w:pPr>
    <w:rPr>
      <w:rFonts w:ascii="Arial" w:hAnsi="Arial" w:cs="Arial"/>
      <w:b/>
      <w:bCs/>
      <w:szCs w:val="24"/>
      <w:lang w:eastAsia="en-GB"/>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szCs w:val="24"/>
      <w:lang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szCs w:val="24"/>
      <w:lang w:eastAsia="en-GB"/>
    </w:rPr>
  </w:style>
  <w:style w:type="character" w:customStyle="1" w:styleId="CRRefNum">
    <w:name w:val="CR RefNum"/>
    <w:uiPriority w:val="99"/>
    <w:rPr>
      <w:vertAlign w:val="subscript"/>
    </w:rPr>
  </w:style>
  <w:style w:type="paragraph" w:customStyle="1" w:styleId="CRParaDeleted">
    <w:name w:val="CR ParaDeleted"/>
    <w:basedOn w:val="Normal"/>
    <w:next w:val="Normal"/>
    <w:uiPriority w:val="99"/>
    <w:pPr>
      <w:autoSpaceDE w:val="0"/>
      <w:autoSpaceDN w:val="0"/>
    </w:pPr>
    <w:rPr>
      <w:szCs w:val="24"/>
      <w:lang w:eastAsia="en-GB"/>
    </w:rPr>
  </w:style>
  <w:style w:type="character" w:customStyle="1" w:styleId="CRTextDeleted">
    <w:name w:val="CR TextDeleted"/>
    <w:uiPriority w:val="99"/>
  </w:style>
  <w:style w:type="paragraph" w:customStyle="1" w:styleId="Titredumodificateur">
    <w:name w:val="Titre du modificateur"/>
    <w:basedOn w:val="Normal"/>
    <w:next w:val="Normal"/>
    <w:uiPriority w:val="99"/>
    <w:pPr>
      <w:autoSpaceDE w:val="0"/>
      <w:autoSpaceDN w:val="0"/>
      <w:spacing w:before="240" w:after="60"/>
      <w:jc w:val="left"/>
    </w:pPr>
    <w:rPr>
      <w:b/>
      <w:bCs/>
      <w:szCs w:val="24"/>
      <w:lang w:eastAsia="en-GB"/>
    </w:rPr>
  </w:style>
  <w:style w:type="paragraph" w:customStyle="1" w:styleId="Referencedumodificateur">
    <w:name w:val="Reference du modificateur"/>
    <w:basedOn w:val="Normal"/>
    <w:next w:val="Normal"/>
    <w:uiPriority w:val="99"/>
    <w:pPr>
      <w:autoSpaceDE w:val="0"/>
      <w:autoSpaceDN w:val="0"/>
      <w:spacing w:before="0"/>
      <w:jc w:val="left"/>
    </w:pPr>
    <w:rPr>
      <w:szCs w:val="24"/>
      <w:lang w:eastAsia="en-GB"/>
    </w:rPr>
  </w:style>
  <w:style w:type="character" w:customStyle="1" w:styleId="CRDeleted">
    <w:name w:val="CR Deleted"/>
    <w:rPr>
      <w:dstrike/>
      <w:lang w:val="cs-CZ" w:eastAsia="x-none"/>
    </w:rPr>
  </w:style>
  <w:style w:type="paragraph" w:styleId="BalloonText">
    <w:name w:val="Balloon Text"/>
    <w:basedOn w:val="Normal"/>
    <w:link w:val="BalloonTextChar"/>
    <w:uiPriority w:val="99"/>
    <w:semiHidden/>
    <w:unhideWhenUsed/>
    <w:pPr>
      <w:autoSpaceDE w:val="0"/>
      <w:autoSpaceDN w:val="0"/>
      <w:spacing w:before="0" w:after="0"/>
    </w:pPr>
    <w:rPr>
      <w:rFonts w:ascii="Segoe UI" w:hAnsi="Segoe UI" w:cs="Segoe UI"/>
      <w:sz w:val="18"/>
      <w:szCs w:val="18"/>
      <w:lang w:eastAsia="en-GB"/>
    </w:rPr>
  </w:style>
  <w:style w:type="character" w:customStyle="1" w:styleId="BalloonTextChar">
    <w:name w:val="Balloon Text Char"/>
    <w:link w:val="BalloonText"/>
    <w:uiPriority w:val="99"/>
    <w:semiHidden/>
    <w:locked/>
    <w:rPr>
      <w:rFonts w:ascii="Segoe UI" w:hAnsi="Segoe UI"/>
      <w:sz w:val="18"/>
      <w:lang w:val="cs-CZ" w:eastAsia="en-GB"/>
    </w:rPr>
  </w:style>
  <w:style w:type="character" w:customStyle="1" w:styleId="CRRefonteDeleted">
    <w:name w:val="CR Refonte Deleted"/>
    <w:rPr>
      <w:dstrike/>
      <w:lang w:val="cs-CZ" w:eastAsia="x-none"/>
    </w:rPr>
  </w:style>
  <w:style w:type="character" w:customStyle="1" w:styleId="CRMinorChangeDeleted">
    <w:name w:val="CR Minor Change Deleted"/>
    <w:rPr>
      <w:dstrike/>
      <w:u w:val="double"/>
      <w:lang w:val="cs-CZ" w:eastAsia="x-none"/>
    </w:rPr>
  </w:style>
  <w:style w:type="character" w:customStyle="1" w:styleId="CRMinorChangeAdded">
    <w:name w:val="CR Minor Change Added"/>
    <w:rPr>
      <w:u w:val="double"/>
      <w:lang w:val="cs-CZ" w:eastAsia="x-none"/>
    </w:rPr>
  </w:style>
  <w:style w:type="paragraph" w:styleId="ListParagraph">
    <w:name w:val="List Paragraph"/>
    <w:basedOn w:val="Normal"/>
    <w:uiPriority w:val="34"/>
    <w:qFormat/>
    <w:pPr>
      <w:spacing w:before="0" w:after="200" w:line="276" w:lineRule="auto"/>
      <w:ind w:left="720"/>
      <w:contextualSpacing/>
      <w:jc w:val="left"/>
    </w:pPr>
    <w:rPr>
      <w:rFonts w:ascii="Calibri" w:hAnsi="Calibri"/>
      <w:sz w:val="22"/>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rFonts w:ascii="Times New Roman" w:hAnsi="Times New Roman"/>
      <w:b/>
      <w:sz w:val="20"/>
      <w:lang w:val="cs-CZ" w:eastAsia="en-GB"/>
    </w:rPr>
  </w:style>
  <w:style w:type="paragraph" w:styleId="Revision">
    <w:name w:val="Revision"/>
    <w:hidden/>
    <w:uiPriority w:val="99"/>
    <w:semiHidden/>
    <w:rPr>
      <w:rFonts w:ascii="Times New Roman" w:hAnsi="Times New Roman"/>
      <w:sz w:val="24"/>
      <w:szCs w:val="24"/>
    </w:rPr>
  </w:style>
  <w:style w:type="paragraph" w:styleId="ListNumber">
    <w:name w:val="List Number"/>
    <w:basedOn w:val="Normal"/>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TableofFigures">
    <w:name w:val="table of figures"/>
    <w:basedOn w:val="Normal"/>
    <w:next w:val="Normal"/>
    <w:uiPriority w:val="99"/>
    <w:semiHidden/>
    <w:unhideWhenUsed/>
  </w:style>
  <w:style w:type="character" w:styleId="Hyperlink">
    <w:name w:val="Hyperlink"/>
    <w:uiPriority w:val="99"/>
    <w:unhideWhenUsed/>
    <w:rPr>
      <w:color w:val="0563C1"/>
      <w:u w:val="single"/>
    </w:rPr>
  </w:style>
  <w:style w:type="numbering" w:customStyle="1" w:styleId="NoList1">
    <w:name w:val="No List1"/>
    <w:next w:val="NoList"/>
    <w:uiPriority w:val="99"/>
    <w:semiHidden/>
    <w:unhideWhenUsed/>
  </w:style>
  <w:style w:type="paragraph" w:customStyle="1" w:styleId="ListDash1">
    <w:name w:val="List Dash 1"/>
    <w:basedOn w:val="Normal"/>
    <w:pPr>
      <w:numPr>
        <w:numId w:val="11"/>
      </w:numPr>
    </w:pPr>
    <w:rPr>
      <w:lang w:eastAsia="de-DE"/>
    </w:rPr>
  </w:style>
  <w:style w:type="paragraph" w:customStyle="1" w:styleId="ListDash2">
    <w:name w:val="List Dash 2"/>
    <w:basedOn w:val="Normal"/>
    <w:pPr>
      <w:numPr>
        <w:numId w:val="12"/>
      </w:numPr>
    </w:pPr>
    <w:rPr>
      <w:lang w:eastAsia="de-DE"/>
    </w:rPr>
  </w:style>
  <w:style w:type="paragraph" w:customStyle="1" w:styleId="ListNumberLevel2">
    <w:name w:val="List Number (Level 2)"/>
    <w:basedOn w:val="Normal"/>
    <w:pPr>
      <w:tabs>
        <w:tab w:val="num" w:pos="1417"/>
      </w:tabs>
      <w:ind w:left="1417" w:hanging="708"/>
    </w:pPr>
    <w:rPr>
      <w:lang w:eastAsia="de-DE"/>
    </w:rPr>
  </w:style>
  <w:style w:type="paragraph" w:customStyle="1" w:styleId="ListNumberLevel3">
    <w:name w:val="List Number (Level 3)"/>
    <w:basedOn w:val="Normal"/>
    <w:pPr>
      <w:tabs>
        <w:tab w:val="num" w:pos="2126"/>
      </w:tabs>
      <w:ind w:left="2126" w:hanging="709"/>
    </w:pPr>
    <w:rPr>
      <w:lang w:eastAsia="de-DE"/>
    </w:rPr>
  </w:style>
  <w:style w:type="paragraph" w:customStyle="1" w:styleId="ListNumberLevel4">
    <w:name w:val="List Number (Level 4)"/>
    <w:basedOn w:val="Normal"/>
    <w:pPr>
      <w:tabs>
        <w:tab w:val="num" w:pos="2835"/>
      </w:tabs>
      <w:ind w:left="2835" w:hanging="709"/>
    </w:pPr>
    <w:rPr>
      <w:lang w:eastAsia="de-D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rFonts w:ascii="Times New Roman" w:eastAsia="Calibri" w:hAnsi="Times New Roman"/>
      <w:sz w:val="24"/>
      <w:szCs w:val="22"/>
      <w:lang w:eastAsia="en-US"/>
    </w:rPr>
  </w:style>
  <w:style w:type="character" w:customStyle="1" w:styleId="FooterSensitivityChar">
    <w:name w:val="Footer Sensitivity Char"/>
    <w:rPr>
      <w:rFonts w:ascii="Times New Roman" w:eastAsia="Calibri" w:hAnsi="Times New Roman"/>
      <w:b/>
      <w:sz w:val="32"/>
      <w:szCs w:val="22"/>
      <w:lang w:eastAsia="en-US"/>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link w:val="HeaderCoverPage"/>
    <w:rPr>
      <w:rFonts w:ascii="Times New Roman" w:eastAsia="Calibri" w:hAnsi="Times New Roman"/>
      <w:sz w:val="24"/>
      <w:szCs w:val="22"/>
      <w:lang w:eastAsia="en-US"/>
    </w:rPr>
  </w:style>
  <w:style w:type="character" w:customStyle="1" w:styleId="HeaderSensitivityChar">
    <w:name w:val="Header Sensitivity Char"/>
    <w:rPr>
      <w:rFonts w:ascii="Times New Roman" w:eastAsia="Calibri" w:hAnsi="Times New Roman"/>
      <w:b/>
      <w:sz w:val="32"/>
      <w:szCs w:val="22"/>
      <w:lang w:eastAsia="en-US"/>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link w:val="EndnoteText"/>
    <w:uiPriority w:val="99"/>
    <w:semiHidden/>
    <w:rPr>
      <w:rFonts w:ascii="Times New Roman" w:eastAsia="Calibri" w:hAnsi="Times New Roman"/>
      <w:lang w:eastAsia="en-US"/>
    </w:rPr>
  </w:style>
  <w:style w:type="character" w:styleId="EndnoteReference">
    <w:name w:val="endnote reference"/>
    <w:uiPriority w:val="99"/>
    <w:semiHidden/>
    <w:unhideWhenUsed/>
    <w:rPr>
      <w:vertAlign w:val="superscript"/>
    </w:rPr>
  </w:style>
  <w:style w:type="numbering" w:customStyle="1" w:styleId="NoList2">
    <w:name w:val="No List2"/>
    <w:next w:val="NoList"/>
    <w:uiPriority w:val="99"/>
    <w:semiHidden/>
    <w:unhideWhenUsed/>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lang w:eastAsia="en-GB"/>
    </w:rPr>
  </w:style>
  <w:style w:type="paragraph" w:customStyle="1" w:styleId="Annexetitreexposglobal">
    <w:name w:val="Annexe titre (exposé global)"/>
    <w:basedOn w:val="Normal"/>
    <w:next w:val="Normal"/>
    <w:uiPriority w:val="99"/>
    <w:pPr>
      <w:autoSpaceDE w:val="0"/>
      <w:autoSpaceDN w:val="0"/>
      <w:jc w:val="center"/>
    </w:pPr>
    <w:rPr>
      <w:rFonts w:eastAsia="Times New Roman"/>
      <w:b/>
      <w:bCs/>
      <w:szCs w:val="24"/>
      <w:u w:val="single"/>
      <w:lang w:eastAsia="en-GB"/>
    </w:rPr>
  </w:style>
  <w:style w:type="paragraph" w:customStyle="1" w:styleId="Annexetitrefichefinacte">
    <w:name w:val="Annexe titre (fiche fin. acte)"/>
    <w:basedOn w:val="Normal"/>
    <w:next w:val="Normal"/>
    <w:uiPriority w:val="99"/>
    <w:pPr>
      <w:autoSpaceDE w:val="0"/>
      <w:autoSpaceDN w:val="0"/>
      <w:jc w:val="center"/>
    </w:pPr>
    <w:rPr>
      <w:rFonts w:eastAsia="Times New Roman"/>
      <w:b/>
      <w:bCs/>
      <w:szCs w:val="24"/>
      <w:u w:val="single"/>
      <w:lang w:eastAsia="en-GB"/>
    </w:rPr>
  </w:style>
  <w:style w:type="paragraph" w:customStyle="1" w:styleId="Annexetitrefichefinglobale">
    <w:name w:val="Annexe titre (fiche fin. globale)"/>
    <w:basedOn w:val="Normal"/>
    <w:next w:val="Normal"/>
    <w:uiPriority w:val="99"/>
    <w:pPr>
      <w:autoSpaceDE w:val="0"/>
      <w:autoSpaceDN w:val="0"/>
      <w:jc w:val="center"/>
    </w:pPr>
    <w:rPr>
      <w:rFonts w:eastAsia="Times New Roman"/>
      <w:b/>
      <w:bCs/>
      <w:szCs w:val="24"/>
      <w:u w:val="single"/>
      <w:lang w:eastAsia="en-GB"/>
    </w:rPr>
  </w:style>
  <w:style w:type="paragraph" w:customStyle="1" w:styleId="Annexetitreglobale">
    <w:name w:val="Annexe titre (globale)"/>
    <w:basedOn w:val="Normal"/>
    <w:next w:val="Normal"/>
    <w:uiPriority w:val="99"/>
    <w:pPr>
      <w:autoSpaceDE w:val="0"/>
      <w:autoSpaceDN w:val="0"/>
      <w:jc w:val="center"/>
    </w:pPr>
    <w:rPr>
      <w:rFonts w:eastAsia="Times New Roman"/>
      <w:b/>
      <w:bCs/>
      <w:szCs w:val="24"/>
      <w:u w:val="single"/>
      <w:lang w:eastAsia="en-GB"/>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imes New Roman"/>
      <w:szCs w:val="24"/>
      <w:lang w:eastAsia="en-GB"/>
    </w:rPr>
  </w:style>
  <w:style w:type="paragraph" w:customStyle="1" w:styleId="Exposdesmotifstitreglobal">
    <w:name w:val="Exposé des motifs titre (global)"/>
    <w:basedOn w:val="Normal"/>
    <w:next w:val="Normal"/>
    <w:uiPriority w:val="99"/>
    <w:pPr>
      <w:autoSpaceDE w:val="0"/>
      <w:autoSpaceDN w:val="0"/>
      <w:jc w:val="center"/>
    </w:pPr>
    <w:rPr>
      <w:rFonts w:eastAsia="Times New Roman"/>
      <w:b/>
      <w:bCs/>
      <w:szCs w:val="24"/>
      <w:u w:val="single"/>
      <w:lang w:eastAsia="en-GB"/>
    </w:rPr>
  </w:style>
  <w:style w:type="paragraph" w:customStyle="1" w:styleId="Fichefinanciretitreacte">
    <w:name w:val="Fiche financière titre (acte)"/>
    <w:basedOn w:val="Normal"/>
    <w:next w:val="Normal"/>
    <w:uiPriority w:val="99"/>
    <w:pPr>
      <w:autoSpaceDE w:val="0"/>
      <w:autoSpaceDN w:val="0"/>
      <w:jc w:val="center"/>
    </w:pPr>
    <w:rPr>
      <w:rFonts w:eastAsia="Times New Roman"/>
      <w:b/>
      <w:bCs/>
      <w:szCs w:val="24"/>
      <w:u w:val="single"/>
      <w:lang w:eastAsia="en-GB"/>
    </w:rPr>
  </w:style>
  <w:style w:type="paragraph" w:customStyle="1" w:styleId="Langueoriginale">
    <w:name w:val="Langue originale"/>
    <w:basedOn w:val="Normal"/>
    <w:next w:val="Phrasefinale"/>
    <w:uiPriority w:val="99"/>
    <w:pPr>
      <w:autoSpaceDE w:val="0"/>
      <w:autoSpaceDN w:val="0"/>
      <w:spacing w:before="360"/>
      <w:jc w:val="center"/>
    </w:pPr>
    <w:rPr>
      <w:rFonts w:eastAsia="Times New Roman"/>
      <w:caps/>
      <w:szCs w:val="24"/>
      <w:lang w:eastAsia="en-GB"/>
    </w:rPr>
  </w:style>
  <w:style w:type="paragraph" w:customStyle="1" w:styleId="Phrasefinale">
    <w:name w:val="Phrase finale"/>
    <w:basedOn w:val="Normal"/>
    <w:next w:val="Normal"/>
    <w:uiPriority w:val="99"/>
    <w:pPr>
      <w:autoSpaceDE w:val="0"/>
      <w:autoSpaceDN w:val="0"/>
      <w:spacing w:before="360" w:after="0"/>
      <w:jc w:val="center"/>
    </w:pPr>
    <w:rPr>
      <w:rFonts w:eastAsia="Times New Roman"/>
      <w:szCs w:val="24"/>
      <w:lang w:eastAsia="en-GB"/>
    </w:rPr>
  </w:style>
  <w:style w:type="paragraph" w:customStyle="1" w:styleId="Prliminairetitre">
    <w:name w:val="Préliminaire titre"/>
    <w:basedOn w:val="Normal"/>
    <w:next w:val="Normal"/>
    <w:uiPriority w:val="99"/>
    <w:pPr>
      <w:autoSpaceDE w:val="0"/>
      <w:autoSpaceDN w:val="0"/>
      <w:spacing w:before="360" w:after="360"/>
      <w:jc w:val="center"/>
    </w:pPr>
    <w:rPr>
      <w:rFonts w:eastAsia="Times New Roman"/>
      <w:b/>
      <w:bCs/>
      <w:szCs w:val="24"/>
      <w:lang w:eastAsia="en-GB"/>
    </w:rPr>
  </w:style>
  <w:style w:type="paragraph" w:customStyle="1" w:styleId="Prliminairetype">
    <w:name w:val="Préliminaire type"/>
    <w:basedOn w:val="Normal"/>
    <w:next w:val="Normal"/>
    <w:uiPriority w:val="99"/>
    <w:pPr>
      <w:autoSpaceDE w:val="0"/>
      <w:autoSpaceDN w:val="0"/>
      <w:spacing w:before="360" w:after="0"/>
      <w:jc w:val="center"/>
    </w:pPr>
    <w:rPr>
      <w:rFonts w:eastAsia="Times New Roman"/>
      <w:b/>
      <w:bCs/>
      <w:szCs w:val="24"/>
      <w:lang w:eastAsia="en-GB"/>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imes New Roman"/>
      <w:szCs w:val="24"/>
      <w:lang w:eastAsia="en-GB"/>
    </w:rPr>
  </w:style>
  <w:style w:type="numbering" w:customStyle="1" w:styleId="NoList3">
    <w:name w:val="No List3"/>
    <w:next w:val="NoList"/>
    <w:uiPriority w:val="99"/>
    <w:semiHidden/>
    <w:unhideWhenUsed/>
  </w:style>
  <w:style w:type="numbering" w:customStyle="1" w:styleId="NoList11">
    <w:name w:val="No List11"/>
    <w:next w:val="NoList"/>
    <w:uiPriority w:val="99"/>
    <w:semiHidden/>
    <w:unhideWhenUsed/>
  </w:style>
  <w:style w:type="numbering" w:customStyle="1" w:styleId="NoList21">
    <w:name w:val="No List21"/>
    <w:next w:val="NoList"/>
    <w:uiPriority w:val="99"/>
    <w:semiHidden/>
    <w:unhideWhenUsed/>
  </w:style>
  <w:style w:type="numbering" w:customStyle="1" w:styleId="NoList31">
    <w:name w:val="No List31"/>
    <w:next w:val="NoList"/>
    <w:uiPriority w:val="99"/>
    <w:semiHidden/>
    <w:unhideWhenUsed/>
  </w:style>
  <w:style w:type="numbering" w:customStyle="1" w:styleId="NoList111">
    <w:name w:val="No List111"/>
    <w:next w:val="NoList"/>
    <w:uiPriority w:val="99"/>
    <w:semiHidden/>
    <w:unhideWhenUsed/>
  </w:style>
  <w:style w:type="numbering" w:customStyle="1" w:styleId="NoList211">
    <w:name w:val="No List211"/>
    <w:next w:val="NoList"/>
    <w:uiPriority w:val="99"/>
    <w:semiHidden/>
    <w:unhideWhenUsed/>
  </w:style>
  <w:style w:type="numbering" w:customStyle="1" w:styleId="NoList1111">
    <w:name w:val="No List1111"/>
    <w:next w:val="NoList"/>
    <w:uiPriority w:val="99"/>
    <w:semiHidden/>
    <w:unhideWhenUsed/>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874774">
      <w:marLeft w:val="0"/>
      <w:marRight w:val="0"/>
      <w:marTop w:val="0"/>
      <w:marBottom w:val="0"/>
      <w:divBdr>
        <w:top w:val="none" w:sz="0" w:space="0" w:color="auto"/>
        <w:left w:val="none" w:sz="0" w:space="0" w:color="auto"/>
        <w:bottom w:val="none" w:sz="0" w:space="0" w:color="auto"/>
        <w:right w:val="none" w:sz="0" w:space="0" w:color="auto"/>
      </w:divBdr>
    </w:div>
    <w:div w:id="1075905695">
      <w:bodyDiv w:val="1"/>
      <w:marLeft w:val="0"/>
      <w:marRight w:val="0"/>
      <w:marTop w:val="0"/>
      <w:marBottom w:val="0"/>
      <w:divBdr>
        <w:top w:val="none" w:sz="0" w:space="0" w:color="auto"/>
        <w:left w:val="none" w:sz="0" w:space="0" w:color="auto"/>
        <w:bottom w:val="none" w:sz="0" w:space="0" w:color="auto"/>
        <w:right w:val="none" w:sz="0" w:space="0" w:color="auto"/>
      </w:divBdr>
    </w:div>
    <w:div w:id="162936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myintracomm.ec.europa.eu/budgweb/EN/bud/mff/Pages/mff-post-2020.aspx"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eurostat/documents/6939681/7070380/Annualreport2018.pdf/97053a94-29eb-4e93-8883-e826426e3d55" TargetMode="External"/><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5330F-9B6E-4740-A2F3-68CB94DB7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58</Pages>
  <Words>18233</Words>
  <Characters>107761</Characters>
  <Application>Microsoft Office Word</Application>
  <DocSecurity>0</DocSecurity>
  <Lines>2912</Lines>
  <Paragraphs>1448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124546</CharactersWithSpaces>
  <SharedDoc>false</SharedDoc>
  <HLinks>
    <vt:vector size="18" baseType="variant">
      <vt:variant>
        <vt:i4>2031682</vt:i4>
      </vt:variant>
      <vt:variant>
        <vt:i4>1476</vt:i4>
      </vt:variant>
      <vt:variant>
        <vt:i4>0</vt:i4>
      </vt:variant>
      <vt:variant>
        <vt:i4>5</vt:i4>
      </vt:variant>
      <vt:variant>
        <vt:lpwstr>https://myintracomm.ec.europa.eu/budgweb/EN/bud/mff/Pages/mff-post-2020.aspx</vt:lpwstr>
      </vt:variant>
      <vt:variant>
        <vt:lpwstr/>
      </vt:variant>
      <vt:variant>
        <vt:i4>5898309</vt:i4>
      </vt:variant>
      <vt:variant>
        <vt:i4>3</vt:i4>
      </vt:variant>
      <vt:variant>
        <vt:i4>0</vt:i4>
      </vt:variant>
      <vt:variant>
        <vt:i4>5</vt:i4>
      </vt:variant>
      <vt:variant>
        <vt:lpwstr>https://ec.europa.eu/eurostat/documents/6939681/7070380/Annualreport2018.pdf/97053a94-29eb-4e93-8883-e826426e3d55</vt:lpwstr>
      </vt:variant>
      <vt:variant>
        <vt:lpwstr/>
      </vt:variant>
      <vt:variant>
        <vt:i4>3997801</vt:i4>
      </vt:variant>
      <vt:variant>
        <vt:i4>0</vt:i4>
      </vt:variant>
      <vt:variant>
        <vt:i4>0</vt:i4>
      </vt:variant>
      <vt:variant>
        <vt:i4>5</vt:i4>
      </vt:variant>
      <vt:variant>
        <vt:lpwstr>https://myintracomm.ec.europa.eu/budgweb/EN/man/budgmanag/Pages/budgmanag.aspx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19</cp:revision>
  <cp:lastPrinted>2019-06-20T12:14:00Z</cp:lastPrinted>
  <dcterms:created xsi:type="dcterms:W3CDTF">2019-07-08T09:27:00Z</dcterms:created>
  <dcterms:modified xsi:type="dcterms:W3CDTF">2019-07-10T10:40:00Z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LWCR Document">
    <vt:lpwstr>True</vt:lpwstr>
  </property>
  <property fmtid="{D5CDD505-2E9C-101B-9397-08002B2CF9AE}" pid="7" name="LWCR Version">
    <vt:lpwstr>1.3.3</vt:lpwstr>
  </property>
  <property fmtid="{D5CDD505-2E9C-101B-9397-08002B2CF9AE}" pid="8" name="LWCR IsRefonte">
    <vt:lpwstr>True</vt:lpwstr>
  </property>
  <property fmtid="{D5CDD505-2E9C-101B-9397-08002B2CF9AE}" pid="9" name="Level of sensitivity">
    <vt:lpwstr>Standard treatment</vt:lpwstr>
  </property>
  <property fmtid="{D5CDD505-2E9C-101B-9397-08002B2CF9AE}" pid="10" name="Part">
    <vt:lpwstr>1</vt:lpwstr>
  </property>
  <property fmtid="{D5CDD505-2E9C-101B-9397-08002B2CF9AE}" pid="11" name="Total parts">
    <vt:lpwstr>1</vt:lpwstr>
  </property>
  <property fmtid="{D5CDD505-2E9C-101B-9397-08002B2CF9AE}" pid="12" name="LWTemplateID">
    <vt:lpwstr>SJ-023</vt:lpwstr>
  </property>
  <property fmtid="{D5CDD505-2E9C-101B-9397-08002B2CF9AE}" pid="13" name="DQCStatus">
    <vt:lpwstr>Green (DQC version 03)</vt:lpwstr>
  </property>
</Properties>
</file>