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8947FCE-3A84-46B4-8F79-51B02E6691AF" style="width:450.7pt;height:462.8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tbl>
      <w:tblPr>
        <w:tblStyle w:val="TableGrid"/>
        <w:tblW w:w="10188" w:type="dxa"/>
        <w:tblInd w:w="-31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rPr>
                <w:b/>
                <w:noProof/>
                <w:sz w:val="24"/>
                <w:szCs w:val="24"/>
              </w:rPr>
            </w:pPr>
            <w:bookmarkStart w:id="1" w:name="_GoBack"/>
            <w:bookmarkEnd w:id="1"/>
            <w:r>
              <w:rPr>
                <w:b/>
                <w:noProof/>
                <w:sz w:val="24"/>
              </w:rPr>
              <w:lastRenderedPageBreak/>
              <w:t>Fișă rezumat</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b/>
                <w:noProof/>
                <w:sz w:val="24"/>
                <w:szCs w:val="24"/>
              </w:rPr>
            </w:pPr>
            <w:r>
              <w:rPr>
                <w:noProof/>
                <w:color w:val="FFFFFF" w:themeColor="background1"/>
                <w:sz w:val="24"/>
              </w:rPr>
              <w:t>Evaluarea impactului referitoare la propunerea de Regulament al Parlamentului European și al Consiliului privind Institutul European de Inovare și Tehnologie (reformare) și propunerea de Decizie a Parlamentului European și a Consiliului privind Agenda strategică de inovare a Institutului European de Inovare și Tehnologie (EIT) 2021-2027: stimularea talentului și a capacității de inovare a Europei</w:t>
            </w:r>
          </w:p>
        </w:tc>
      </w:tr>
    </w:tbl>
    <w:p>
      <w:pPr>
        <w:spacing w:after="0" w:line="240" w:lineRule="auto"/>
        <w:rPr>
          <w:rFonts w:ascii="Times New Roman" w:eastAsia="Times New Roman" w:hAnsi="Times New Roman" w:cs="Times New Roman"/>
          <w:noProof/>
          <w:sz w:val="24"/>
          <w:szCs w:val="24"/>
        </w:rPr>
      </w:pPr>
    </w:p>
    <w:tbl>
      <w:tblPr>
        <w:tblStyle w:val="TableGrid"/>
        <w:tblW w:w="10188" w:type="dxa"/>
        <w:tblInd w:w="-31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b/>
                <w:noProof/>
                <w:sz w:val="24"/>
                <w:szCs w:val="24"/>
              </w:rPr>
            </w:pPr>
            <w:r>
              <w:rPr>
                <w:b/>
                <w:noProof/>
                <w:sz w:val="24"/>
              </w:rPr>
              <w:t>A. Necesitatea de a acționa</w:t>
            </w:r>
          </w:p>
        </w:tc>
      </w:tr>
      <w:tr>
        <w:tc>
          <w:tcPr>
            <w:tcW w:w="10188" w:type="dxa"/>
            <w:tcBorders>
              <w:bottom w:val="single" w:sz="4" w:space="0" w:color="auto"/>
            </w:tcBorders>
            <w:shd w:val="clear" w:color="auto" w:fill="E0E0E0"/>
          </w:tcPr>
          <w:p>
            <w:pPr>
              <w:spacing w:before="60" w:after="60"/>
              <w:jc w:val="both"/>
              <w:rPr>
                <w:noProof/>
                <w:sz w:val="24"/>
                <w:szCs w:val="24"/>
              </w:rPr>
            </w:pPr>
            <w:r>
              <w:rPr>
                <w:b/>
                <w:noProof/>
                <w:sz w:val="24"/>
              </w:rPr>
              <w:t xml:space="preserve">De ce? Care este problema abordată? </w:t>
            </w:r>
          </w:p>
        </w:tc>
      </w:tr>
      <w:tr>
        <w:tc>
          <w:tcPr>
            <w:tcW w:w="10188" w:type="dxa"/>
            <w:tcBorders>
              <w:bottom w:val="single" w:sz="4" w:space="0" w:color="auto"/>
            </w:tcBorders>
            <w:shd w:val="clear" w:color="auto" w:fill="auto"/>
          </w:tcPr>
          <w:p>
            <w:pPr>
              <w:jc w:val="both"/>
              <w:rPr>
                <w:noProof/>
                <w:sz w:val="24"/>
                <w:szCs w:val="24"/>
              </w:rPr>
            </w:pPr>
            <w:r>
              <w:rPr>
                <w:noProof/>
                <w:sz w:val="24"/>
              </w:rPr>
              <w:t xml:space="preserve">Misiunea Institutului European de Inovare și Tehnologie (EIT) este să abordeze provocările societale majore îmbunătățind performanța UE în materie de inovare prin integrarea triunghiului cunoașterii format din cercetare, educație și inovare. </w:t>
            </w:r>
          </w:p>
          <w:p>
            <w:pPr>
              <w:jc w:val="both"/>
              <w:rPr>
                <w:noProof/>
                <w:sz w:val="24"/>
                <w:szCs w:val="24"/>
              </w:rPr>
            </w:pPr>
          </w:p>
          <w:p>
            <w:pPr>
              <w:ind w:left="315" w:hanging="315"/>
              <w:jc w:val="both"/>
              <w:rPr>
                <w:noProof/>
                <w:sz w:val="24"/>
                <w:szCs w:val="24"/>
              </w:rPr>
            </w:pPr>
            <w:r>
              <w:rPr>
                <w:noProof/>
                <w:sz w:val="24"/>
              </w:rPr>
              <w:t>EIT a fost înființat în 2008 prin Regulamentul (CE) nr. 294/2008 („Regulamentul EIT”)</w:t>
            </w:r>
            <w:r>
              <w:rPr>
                <w:noProof/>
                <w:sz w:val="24"/>
                <w:vertAlign w:val="superscript"/>
              </w:rPr>
              <w:footnoteReference w:id="1"/>
            </w:r>
            <w:r>
              <w:rPr>
                <w:noProof/>
                <w:sz w:val="24"/>
              </w:rPr>
              <w:t>. Regulamentul EIT stabilește misiunea, obiectivele și bugetul alocat EIT și, prin urmare, trebuie să fie în conformitate cu Programul-cadru pentru cercetare și inovare aplicabil.</w:t>
            </w:r>
          </w:p>
          <w:p>
            <w:pPr>
              <w:jc w:val="both"/>
              <w:rPr>
                <w:noProof/>
                <w:sz w:val="24"/>
                <w:szCs w:val="24"/>
              </w:rPr>
            </w:pPr>
          </w:p>
          <w:p>
            <w:pPr>
              <w:jc w:val="both"/>
              <w:rPr>
                <w:noProof/>
                <w:sz w:val="24"/>
                <w:szCs w:val="24"/>
              </w:rPr>
            </w:pPr>
            <w:r>
              <w:rPr>
                <w:noProof/>
                <w:sz w:val="24"/>
              </w:rPr>
              <w:t>Propunerea Comisiei de instituire a programului-cadru pentru cercetare și inovare „Orizont Europa” pentru perioada 2021-2027 stabilește bugetul propus pentru EIT pentru perioada următoare, precum și raționamentul de la baza sa, valoarea adăugată, domeniile de intervenție, liniile generale de activitate și indicatorii de performanță. În propunere, EIT este una dintre principalele componente ale pilonului „Europa inovatoare”.</w:t>
            </w:r>
          </w:p>
          <w:p>
            <w:pPr>
              <w:jc w:val="both"/>
              <w:rPr>
                <w:noProof/>
                <w:sz w:val="24"/>
                <w:szCs w:val="24"/>
              </w:rPr>
            </w:pPr>
          </w:p>
          <w:p>
            <w:pPr>
              <w:jc w:val="both"/>
              <w:rPr>
                <w:noProof/>
                <w:sz w:val="24"/>
                <w:szCs w:val="24"/>
              </w:rPr>
            </w:pPr>
            <w:r>
              <w:rPr>
                <w:noProof/>
                <w:sz w:val="24"/>
              </w:rPr>
              <w:t>Propunerea privind programul Orizont Europa nu oferă în sine temeiul juridic pentru continuarea operațiunilor EIT după 2020. Prin urmare, Regulamentul EIT trebuie să fie modificat.</w:t>
            </w:r>
          </w:p>
          <w:p>
            <w:pPr>
              <w:jc w:val="both"/>
              <w:rPr>
                <w:noProof/>
                <w:sz w:val="24"/>
                <w:szCs w:val="24"/>
              </w:rPr>
            </w:pPr>
          </w:p>
          <w:p>
            <w:pPr>
              <w:jc w:val="both"/>
              <w:rPr>
                <w:noProof/>
                <w:sz w:val="24"/>
                <w:szCs w:val="24"/>
              </w:rPr>
            </w:pPr>
            <w:r>
              <w:rPr>
                <w:noProof/>
                <w:sz w:val="24"/>
              </w:rPr>
              <w:t>În plus, articolul 17 din Regulamentul EIT prevede că, din șapte în șapte ani, Comisia prezintă Parlamentului European și Consiliului o propunere de agendă strategică de inovare, care stabilește domeniile prioritare strategice pe termen lung și necesitățile financiare ale EIT care trebuie să fie în concordanță cu programul-cadru aplicabil al Uniunii de sprijinire a cercetării și inovării. Actuala agendă strategică de inovare acoperă perioada 2014-2020</w:t>
            </w:r>
            <w:r>
              <w:rPr>
                <w:noProof/>
                <w:sz w:val="24"/>
                <w:vertAlign w:val="superscript"/>
              </w:rPr>
              <w:footnoteReference w:id="2"/>
            </w:r>
            <w:r>
              <w:rPr>
                <w:noProof/>
                <w:sz w:val="24"/>
              </w:rPr>
              <w:t>. Prin urmare, este necesar ca, în paralel cu propunerea de revizuire a Regulamentului EIT, să se înainteze și o propunere de nouă agendă strategică de inovare a EIT pentru perioada 2021-2027.</w:t>
            </w:r>
          </w:p>
          <w:p>
            <w:pPr>
              <w:jc w:val="both"/>
              <w:rPr>
                <w:noProof/>
                <w:sz w:val="24"/>
                <w:szCs w:val="24"/>
              </w:rPr>
            </w:pPr>
          </w:p>
          <w:p>
            <w:pPr>
              <w:jc w:val="both"/>
              <w:rPr>
                <w:noProof/>
                <w:sz w:val="24"/>
                <w:szCs w:val="24"/>
              </w:rPr>
            </w:pPr>
            <w:r>
              <w:rPr>
                <w:noProof/>
                <w:sz w:val="24"/>
              </w:rPr>
              <w:t xml:space="preserve">Prezenta inițiativă își propune să modifice printr-o reformare Regulamentul EIT și să alinieze ASI la programul Orizont Europa. Inițiativa acoperă noile domenii prioritare ale EIT, precum și nevoile sale financiare. Ea vizează și îmbunătățirea funcționării EIT, ținând seama de lecțiile învățate în ultimii ani. </w:t>
            </w:r>
          </w:p>
          <w:p>
            <w:pPr>
              <w:jc w:val="both"/>
              <w:rPr>
                <w:noProof/>
                <w:sz w:val="24"/>
                <w:szCs w:val="24"/>
              </w:rPr>
            </w:pPr>
          </w:p>
          <w:p>
            <w:pPr>
              <w:jc w:val="both"/>
              <w:rPr>
                <w:noProof/>
                <w:sz w:val="24"/>
                <w:szCs w:val="24"/>
              </w:rPr>
            </w:pPr>
            <w:r>
              <w:rPr>
                <w:noProof/>
                <w:sz w:val="24"/>
              </w:rPr>
              <w:t>Mai exact, inițiativa se axează pe abordarea problemelor din trei domenii principale. În primul rând, ea va aborda provocările legate de modelul de finanțare al EIT. În al doilea rând, va propune soluții pentru a spori impactul activităților educaționale ale EIT, și anume, va spori notorietatea mărcii educaționale a EIT și va sprijini capacitățile și competențele antreprenoriale și de inovare în instituțiile de învățământ superior. În cele din urmă, inițiativa va contribui la consolidarea dimensiunii regionale a EIT printr-o mai bună integrare a CCI-urilor în ecosistemele de inovare locale. Inițiativa va contura, de asemenea, viitoarele domenii prioritare pentru CCI-uri.</w:t>
            </w:r>
          </w:p>
          <w:p>
            <w:pPr>
              <w:jc w:val="both"/>
              <w:rPr>
                <w:noProof/>
                <w:sz w:val="24"/>
                <w:szCs w:val="24"/>
              </w:rPr>
            </w:pPr>
          </w:p>
          <w:p>
            <w:pPr>
              <w:jc w:val="both"/>
              <w:rPr>
                <w:noProof/>
                <w:sz w:val="24"/>
                <w:szCs w:val="24"/>
              </w:rPr>
            </w:pPr>
            <w:r>
              <w:rPr>
                <w:noProof/>
                <w:sz w:val="24"/>
              </w:rPr>
              <w:lastRenderedPageBreak/>
              <w:t>În plus, ea va aborda o serie de aspecte tehnice pentru a spori eficacitatea, eficiența și coerența operațiunilor EIT. Printre acestea se numără deschiderea și transparența CCI-urilor, guvernanța EIT și dispozițiile contractuale ale personalului EIT.</w:t>
            </w:r>
          </w:p>
          <w:p>
            <w:pPr>
              <w:jc w:val="both"/>
              <w:rPr>
                <w:noProof/>
                <w:sz w:val="24"/>
                <w:szCs w:val="24"/>
              </w:rPr>
            </w:pPr>
            <w:r>
              <w:rPr>
                <w:noProof/>
                <w:sz w:val="24"/>
              </w:rPr>
              <w:t>Aspectele identificate vor fi abordate printr-o modificare a Regulamentului EIT și prin adoptarea Agendei strategice de inovare a EIT pentru perioada 2021-2027. Prezenta evaluare a impactului se bazează pe evaluarea impactului care a fost efectuată pentru Orizont Europa.</w:t>
            </w:r>
          </w:p>
          <w:p>
            <w:pPr>
              <w:jc w:val="both"/>
              <w:rPr>
                <w:noProof/>
                <w:sz w:val="24"/>
                <w:szCs w:val="24"/>
              </w:rPr>
            </w:pPr>
          </w:p>
        </w:tc>
      </w:tr>
      <w:tr>
        <w:tc>
          <w:tcPr>
            <w:tcW w:w="10188" w:type="dxa"/>
            <w:tcBorders>
              <w:bottom w:val="single" w:sz="4" w:space="0" w:color="auto"/>
            </w:tcBorders>
            <w:shd w:val="clear" w:color="auto" w:fill="E6E6E6"/>
          </w:tcPr>
          <w:p>
            <w:pPr>
              <w:spacing w:before="60" w:after="60"/>
              <w:jc w:val="both"/>
              <w:rPr>
                <w:noProof/>
                <w:sz w:val="24"/>
                <w:szCs w:val="24"/>
              </w:rPr>
            </w:pPr>
            <w:r>
              <w:rPr>
                <w:b/>
                <w:noProof/>
                <w:sz w:val="24"/>
              </w:rPr>
              <w:lastRenderedPageBreak/>
              <w:t xml:space="preserve">Ce se așteaptă de la această inițiativă? </w:t>
            </w:r>
          </w:p>
        </w:tc>
      </w:tr>
      <w:tr>
        <w:tc>
          <w:tcPr>
            <w:tcW w:w="10188" w:type="dxa"/>
            <w:tcBorders>
              <w:bottom w:val="single" w:sz="4" w:space="0" w:color="auto"/>
            </w:tcBorders>
            <w:shd w:val="clear" w:color="auto" w:fill="auto"/>
          </w:tcPr>
          <w:p>
            <w:pPr>
              <w:spacing w:before="120" w:after="120"/>
              <w:jc w:val="both"/>
              <w:rPr>
                <w:noProof/>
                <w:sz w:val="24"/>
                <w:szCs w:val="24"/>
              </w:rPr>
            </w:pPr>
            <w:r>
              <w:rPr>
                <w:noProof/>
                <w:sz w:val="24"/>
              </w:rPr>
              <w:t>Această inițiativă sprijină viitoarea implementare și dezvoltarea strategică a EIT și va contribui la îndeplinirea obiectivelor sale pentru perioada 2021-2027, astfel cum se subliniază în propunerea privind Orizont Europa, și anume consolidarea ecosistemelor de inovare sustenabile în întreaga Europă, să aducă pe piață noi soluții la provocările societale globale și să stimuleze inovarea și spiritul antreprenorial printr-o mai bună educație. Mai precis, se preconizează că EIT și CCI-urile</w:t>
            </w:r>
          </w:p>
          <w:p>
            <w:pPr>
              <w:numPr>
                <w:ilvl w:val="0"/>
                <w:numId w:val="1"/>
              </w:numPr>
              <w:spacing w:after="120"/>
              <w:ind w:left="714" w:hanging="357"/>
              <w:jc w:val="both"/>
              <w:rPr>
                <w:noProof/>
                <w:sz w:val="24"/>
                <w:szCs w:val="24"/>
              </w:rPr>
            </w:pPr>
            <w:r>
              <w:rPr>
                <w:noProof/>
                <w:sz w:val="24"/>
              </w:rPr>
              <w:t>vor spori impactul CCI-urilor și al integrării triunghiului cunoașterii prin intermediul unui model de finanțare al EIT eficace și eficient;</w:t>
            </w:r>
          </w:p>
          <w:p>
            <w:pPr>
              <w:numPr>
                <w:ilvl w:val="0"/>
                <w:numId w:val="1"/>
              </w:numPr>
              <w:spacing w:after="120"/>
              <w:ind w:left="714" w:hanging="357"/>
              <w:jc w:val="both"/>
              <w:rPr>
                <w:noProof/>
                <w:sz w:val="24"/>
                <w:szCs w:val="24"/>
              </w:rPr>
            </w:pPr>
            <w:r>
              <w:rPr>
                <w:noProof/>
                <w:sz w:val="24"/>
              </w:rPr>
              <w:t>vor crește capacitatea de inovare și capacitatea antreprenorială a sectorului învățământului superior prin promovarea schimbului instituțional în instituțiile de învățământ superior din Europa;</w:t>
            </w:r>
          </w:p>
          <w:p>
            <w:pPr>
              <w:numPr>
                <w:ilvl w:val="0"/>
                <w:numId w:val="1"/>
              </w:numPr>
              <w:spacing w:after="120"/>
              <w:ind w:left="714" w:hanging="357"/>
              <w:jc w:val="both"/>
              <w:rPr>
                <w:noProof/>
                <w:sz w:val="24"/>
                <w:szCs w:val="24"/>
              </w:rPr>
            </w:pPr>
            <w:r>
              <w:rPr>
                <w:noProof/>
                <w:sz w:val="24"/>
              </w:rPr>
              <w:t>vor spori deschiderea regională a EIT pentru a remedia disparitățile regionale în ceea ce privește capacitatea de inovare pe întreg teritoriul UE.</w:t>
            </w:r>
          </w:p>
          <w:p>
            <w:pPr>
              <w:spacing w:before="120" w:after="120"/>
              <w:jc w:val="both"/>
              <w:rPr>
                <w:noProof/>
                <w:sz w:val="24"/>
                <w:szCs w:val="24"/>
              </w:rPr>
            </w:pPr>
            <w:r>
              <w:rPr>
                <w:noProof/>
                <w:sz w:val="24"/>
              </w:rPr>
              <w:t>În plus, inițiativa vizează creșterea eficacității, a eficienței și a coerenței operațiunilor EIT prin abordarea următoarelor aspecte: deschiderea și transparența CCI-urilor, guvernanța EIT și contractele personalului EIT și continuitatea serviciului membrilor personalului.</w:t>
            </w:r>
          </w:p>
        </w:tc>
      </w:tr>
      <w:tr>
        <w:tc>
          <w:tcPr>
            <w:tcW w:w="10188" w:type="dxa"/>
            <w:tcBorders>
              <w:bottom w:val="single" w:sz="4" w:space="0" w:color="auto"/>
            </w:tcBorders>
            <w:shd w:val="clear" w:color="auto" w:fill="E6E6E6"/>
          </w:tcPr>
          <w:p>
            <w:pPr>
              <w:spacing w:before="60" w:after="60"/>
              <w:jc w:val="both"/>
              <w:rPr>
                <w:noProof/>
                <w:sz w:val="24"/>
                <w:szCs w:val="24"/>
              </w:rPr>
            </w:pPr>
            <w:r>
              <w:rPr>
                <w:b/>
                <w:noProof/>
                <w:sz w:val="24"/>
              </w:rPr>
              <w:t>Care este valoarea adăugată a acțiunii la nivelul UE?</w:t>
            </w:r>
            <w:r>
              <w:rPr>
                <w:noProof/>
                <w:sz w:val="24"/>
              </w:rPr>
              <w:t xml:space="preserve"> </w:t>
            </w:r>
          </w:p>
        </w:tc>
      </w:tr>
      <w:tr>
        <w:tc>
          <w:tcPr>
            <w:tcW w:w="10188" w:type="dxa"/>
            <w:tcBorders>
              <w:bottom w:val="single" w:sz="4" w:space="0" w:color="auto"/>
            </w:tcBorders>
            <w:shd w:val="clear" w:color="auto" w:fill="auto"/>
          </w:tcPr>
          <w:p>
            <w:pPr>
              <w:spacing w:before="120" w:after="120"/>
              <w:jc w:val="both"/>
              <w:rPr>
                <w:noProof/>
                <w:sz w:val="24"/>
                <w:szCs w:val="24"/>
              </w:rPr>
            </w:pPr>
            <w:r>
              <w:rPr>
                <w:noProof/>
                <w:sz w:val="24"/>
              </w:rPr>
              <w:t xml:space="preserve">EIT are o modalitate unică de a construi, la nivelul UE, ecosisteme de inovare ce interconectează educația, cercetarea, întreprinderile și alte părți interesate. El acoperă un gol din sistemul de sprijin pentru inovare oferit de statele membre. Activitățile CCI-urilor conduc la o creștere a calității inovării, la crearea de rețele transfrontaliere, multidisciplinare, la o cooperare intersectorială sporită, precum și la o mai largă acoperire geografică. Programele de educație ale EIT adaugă valoare altor programe existente, în special datorită dimensiunii lor antreprenorială și de inovare. </w:t>
            </w:r>
          </w:p>
        </w:tc>
      </w:tr>
    </w:tbl>
    <w:p>
      <w:pPr>
        <w:spacing w:after="0" w:line="240" w:lineRule="auto"/>
        <w:rPr>
          <w:rFonts w:ascii="Times New Roman" w:eastAsia="Times New Roman" w:hAnsi="Times New Roman" w:cs="Times New Roman"/>
          <w:noProof/>
          <w:sz w:val="24"/>
          <w:szCs w:val="24"/>
        </w:rPr>
      </w:pPr>
    </w:p>
    <w:tbl>
      <w:tblPr>
        <w:tblStyle w:val="TableGrid"/>
        <w:tblW w:w="10188" w:type="dxa"/>
        <w:tblInd w:w="-31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b/>
                <w:noProof/>
                <w:sz w:val="24"/>
                <w:szCs w:val="24"/>
              </w:rPr>
            </w:pPr>
            <w:r>
              <w:rPr>
                <w:b/>
                <w:noProof/>
                <w:sz w:val="24"/>
              </w:rPr>
              <w:t>B. Soluții</w:t>
            </w:r>
          </w:p>
        </w:tc>
      </w:tr>
      <w:tr>
        <w:tc>
          <w:tcPr>
            <w:tcW w:w="10188" w:type="dxa"/>
            <w:tcBorders>
              <w:bottom w:val="single" w:sz="4" w:space="0" w:color="auto"/>
            </w:tcBorders>
            <w:shd w:val="clear" w:color="auto" w:fill="E6E6E6"/>
          </w:tcPr>
          <w:p>
            <w:pPr>
              <w:spacing w:before="60"/>
              <w:jc w:val="both"/>
              <w:rPr>
                <w:noProof/>
                <w:sz w:val="24"/>
                <w:szCs w:val="24"/>
              </w:rPr>
            </w:pPr>
            <w:r>
              <w:rPr>
                <w:b/>
                <w:noProof/>
                <w:sz w:val="24"/>
              </w:rPr>
              <w:t>Ce opțiuni de politică legislative și fără caracter legislativ au fost luate în considerare? Există sau nu o opțiune preferată? De ce?</w:t>
            </w:r>
            <w:r>
              <w:rPr>
                <w:noProof/>
                <w:sz w:val="24"/>
              </w:rPr>
              <w:t xml:space="preserve"> </w:t>
            </w:r>
          </w:p>
        </w:tc>
      </w:tr>
      <w:tr>
        <w:tc>
          <w:tcPr>
            <w:tcW w:w="10188" w:type="dxa"/>
            <w:tcBorders>
              <w:bottom w:val="single" w:sz="4" w:space="0" w:color="auto"/>
            </w:tcBorders>
            <w:shd w:val="clear" w:color="auto" w:fill="auto"/>
          </w:tcPr>
          <w:p>
            <w:pPr>
              <w:spacing w:before="120"/>
              <w:jc w:val="both"/>
              <w:rPr>
                <w:noProof/>
                <w:sz w:val="24"/>
                <w:szCs w:val="24"/>
              </w:rPr>
            </w:pPr>
            <w:r>
              <w:rPr>
                <w:noProof/>
                <w:sz w:val="24"/>
              </w:rPr>
              <w:t>Au fost luate în considerare trei opțiuni în ceea ce privește abordarea provocărilor identificate:</w:t>
            </w:r>
          </w:p>
          <w:p>
            <w:pPr>
              <w:jc w:val="both"/>
              <w:rPr>
                <w:noProof/>
                <w:sz w:val="24"/>
                <w:szCs w:val="24"/>
              </w:rPr>
            </w:pPr>
          </w:p>
          <w:p>
            <w:pPr>
              <w:jc w:val="both"/>
              <w:rPr>
                <w:noProof/>
                <w:sz w:val="24"/>
                <w:szCs w:val="24"/>
              </w:rPr>
            </w:pPr>
            <w:r>
              <w:rPr>
                <w:noProof/>
                <w:sz w:val="24"/>
              </w:rPr>
              <w:t>Opțiunea 1 (scenariul de referință) reprezintă continuarea activităților EIT așa cum se derulează în prezent, făcându-se ajustările necesare alinierii sale la propunerea privind programul Orizont Europa. EIT ar urma să respecte criteriile de punere în aplicare, de monitorizare și de evaluare pentru parteneriatele europene. Astfel se vor dezvolta sinergii cu Consiliul european pentru inovare. Vor exista două noi CCI-uri.</w:t>
            </w:r>
          </w:p>
          <w:p>
            <w:pPr>
              <w:jc w:val="both"/>
              <w:rPr>
                <w:noProof/>
                <w:sz w:val="24"/>
                <w:szCs w:val="24"/>
              </w:rPr>
            </w:pPr>
          </w:p>
          <w:p>
            <w:pPr>
              <w:rPr>
                <w:noProof/>
                <w:sz w:val="24"/>
                <w:szCs w:val="24"/>
              </w:rPr>
            </w:pPr>
            <w:r>
              <w:rPr>
                <w:noProof/>
                <w:sz w:val="24"/>
              </w:rPr>
              <w:t>Opțiunea 2 se bazează pe scenariul de referință și, în plus, adoptă o serie de măsuri pentru a spori eficacitatea funcționării EIT, inclusiv adaptarea modelului său de finanțare. Aceasta introduce o nouă acțiune a EIT pentru a sprijini dezvoltarea capacității antreprenoriale și de inovare a instituțiilor de învățământ superior și pentru a consolida mecanismul său regional de inovare. Vor exista două noi CCI-uri.</w:t>
            </w:r>
          </w:p>
          <w:p>
            <w:pPr>
              <w:jc w:val="both"/>
              <w:rPr>
                <w:noProof/>
                <w:sz w:val="24"/>
                <w:szCs w:val="24"/>
              </w:rPr>
            </w:pPr>
          </w:p>
          <w:p>
            <w:pPr>
              <w:spacing w:after="120"/>
              <w:rPr>
                <w:noProof/>
                <w:sz w:val="24"/>
                <w:szCs w:val="24"/>
              </w:rPr>
            </w:pPr>
            <w:r>
              <w:rPr>
                <w:noProof/>
                <w:sz w:val="24"/>
              </w:rPr>
              <w:t>Opțiunea 3 se bazează pe scenariul de referință și pe o serie de măsuri pentru a spori eficacitatea EIT, la fel ca în cazul opțiunii 2. În plus, ea introduce o nouă activitate de înființare a unui centru EIT în fiecare stat membru, pentru a spori impactul global al EIT. EIT ar urma să implementeze direct centrele EIT pentru a stimula integrarea triunghiului cunoașterii prin sprijinirea proiectelor de colaborare la o scară mai mică decât CCI-urile.</w:t>
            </w:r>
          </w:p>
          <w:p>
            <w:pPr>
              <w:spacing w:before="240"/>
              <w:rPr>
                <w:noProof/>
                <w:sz w:val="24"/>
                <w:szCs w:val="24"/>
              </w:rPr>
            </w:pPr>
            <w:r>
              <w:rPr>
                <w:noProof/>
                <w:sz w:val="24"/>
              </w:rPr>
              <w:t>Va exista o nouă CCI.</w:t>
            </w:r>
          </w:p>
          <w:p>
            <w:pPr>
              <w:jc w:val="both"/>
              <w:rPr>
                <w:noProof/>
                <w:sz w:val="24"/>
                <w:szCs w:val="24"/>
              </w:rPr>
            </w:pPr>
            <w:r>
              <w:rPr>
                <w:noProof/>
                <w:sz w:val="24"/>
              </w:rPr>
              <w:t xml:space="preserve">Toate cele trei opțiuni ar avea implicații legislative pentru modificarea Regulamentului EIT și pentru noua agendă strategică de inovare a EIT. </w:t>
            </w:r>
          </w:p>
          <w:p>
            <w:pPr>
              <w:jc w:val="both"/>
              <w:rPr>
                <w:noProof/>
                <w:sz w:val="24"/>
                <w:szCs w:val="24"/>
              </w:rPr>
            </w:pPr>
          </w:p>
          <w:p>
            <w:pPr>
              <w:spacing w:after="120"/>
              <w:jc w:val="both"/>
              <w:rPr>
                <w:noProof/>
                <w:sz w:val="24"/>
                <w:szCs w:val="24"/>
              </w:rPr>
            </w:pPr>
            <w:r>
              <w:rPr>
                <w:noProof/>
                <w:sz w:val="24"/>
              </w:rPr>
              <w:t xml:space="preserve">Opțiunea preferată este opțiunea 2, deoarece atinge cel mai bun echilibru în ceea ce privește realizarea obiectivelor inițiativei, ținând seama în același timp de resursele disponibile, și atingerea celui mai mare impact economic și societal. </w:t>
            </w:r>
          </w:p>
        </w:tc>
      </w:tr>
      <w:tr>
        <w:tc>
          <w:tcPr>
            <w:tcW w:w="10188" w:type="dxa"/>
            <w:shd w:val="clear" w:color="auto" w:fill="CCCCCC"/>
          </w:tcPr>
          <w:p>
            <w:pPr>
              <w:spacing w:before="60"/>
              <w:jc w:val="both"/>
              <w:rPr>
                <w:noProof/>
                <w:sz w:val="24"/>
                <w:szCs w:val="24"/>
              </w:rPr>
            </w:pPr>
            <w:r>
              <w:rPr>
                <w:b/>
                <w:noProof/>
                <w:sz w:val="24"/>
              </w:rPr>
              <w:t>Care sunt susținătorii fiecărei opțiuni?</w:t>
            </w:r>
            <w:r>
              <w:rPr>
                <w:noProof/>
                <w:sz w:val="24"/>
              </w:rPr>
              <w:t xml:space="preserve"> </w:t>
            </w:r>
          </w:p>
        </w:tc>
      </w:tr>
      <w:tr>
        <w:tc>
          <w:tcPr>
            <w:tcW w:w="10188" w:type="dxa"/>
            <w:shd w:val="clear" w:color="auto" w:fill="auto"/>
          </w:tcPr>
          <w:p>
            <w:pPr>
              <w:spacing w:before="120" w:after="120"/>
              <w:jc w:val="both"/>
              <w:rPr>
                <w:noProof/>
                <w:sz w:val="24"/>
                <w:szCs w:val="24"/>
              </w:rPr>
            </w:pPr>
            <w:r>
              <w:rPr>
                <w:noProof/>
                <w:sz w:val="24"/>
              </w:rPr>
              <w:t xml:space="preserve">Măsurile individuale prevăzute în opțiunea 2 s-au bucurat de un nivel ridicat de sprijin în rândul diverselor părți interesate consultate, și anume întreprinderi/organizații profesionale, instituții academice/institute de cercetare, precum și cetățeni ai UE. Mai exact, există un acord puternic între părțile interesate în ceea ce privește necesitatea de a promova dezvoltarea capacității antreprenoriale și de inovare a instituțiilor de învățământ superior din Europa și de a corela mai mult activitățile EIT și ale CCI-urilor cu mediul și strategiile locale și regionale. </w:t>
            </w:r>
          </w:p>
        </w:tc>
      </w:tr>
    </w:tbl>
    <w:p>
      <w:pPr>
        <w:spacing w:after="0" w:line="240" w:lineRule="auto"/>
        <w:rPr>
          <w:rFonts w:ascii="Times New Roman" w:eastAsia="Times New Roman" w:hAnsi="Times New Roman" w:cs="Times New Roman"/>
          <w:noProof/>
          <w:sz w:val="24"/>
          <w:szCs w:val="24"/>
        </w:rPr>
      </w:pPr>
    </w:p>
    <w:tbl>
      <w:tblPr>
        <w:tblStyle w:val="TableGrid"/>
        <w:tblW w:w="10188" w:type="dxa"/>
        <w:tblInd w:w="-318" w:type="dxa"/>
        <w:tblLook w:val="01E0" w:firstRow="1" w:lastRow="1" w:firstColumn="1" w:lastColumn="1" w:noHBand="0" w:noVBand="0"/>
      </w:tblPr>
      <w:tblGrid>
        <w:gridCol w:w="10047"/>
        <w:gridCol w:w="141"/>
      </w:tblGrid>
      <w:tr>
        <w:tc>
          <w:tcPr>
            <w:tcW w:w="10188" w:type="dxa"/>
            <w:gridSpan w:val="2"/>
            <w:tcBorders>
              <w:bottom w:val="single" w:sz="4" w:space="0" w:color="auto"/>
            </w:tcBorders>
            <w:shd w:val="clear" w:color="auto" w:fill="CCCCCC"/>
          </w:tcPr>
          <w:p>
            <w:pPr>
              <w:spacing w:before="60" w:after="60"/>
              <w:jc w:val="center"/>
              <w:rPr>
                <w:b/>
                <w:noProof/>
                <w:sz w:val="24"/>
                <w:szCs w:val="24"/>
              </w:rPr>
            </w:pPr>
            <w:r>
              <w:rPr>
                <w:b/>
                <w:noProof/>
                <w:sz w:val="24"/>
              </w:rPr>
              <w:t>C. Impactul opțiunii preferate</w:t>
            </w:r>
          </w:p>
        </w:tc>
      </w:tr>
      <w:tr>
        <w:tc>
          <w:tcPr>
            <w:tcW w:w="10188" w:type="dxa"/>
            <w:gridSpan w:val="2"/>
            <w:tcBorders>
              <w:bottom w:val="single" w:sz="4" w:space="0" w:color="auto"/>
            </w:tcBorders>
            <w:shd w:val="clear" w:color="auto" w:fill="E6E6E6"/>
          </w:tcPr>
          <w:p>
            <w:pPr>
              <w:spacing w:before="60" w:after="60"/>
              <w:jc w:val="both"/>
              <w:rPr>
                <w:noProof/>
                <w:sz w:val="24"/>
                <w:szCs w:val="24"/>
              </w:rPr>
            </w:pPr>
            <w:r>
              <w:rPr>
                <w:b/>
                <w:noProof/>
                <w:sz w:val="24"/>
              </w:rPr>
              <w:t>Care sunt beneficiile opțiunii preferate (sau ale opțiunilor principale, dacă nu există o opțiune preferată)?</w:t>
            </w:r>
            <w:r>
              <w:rPr>
                <w:noProof/>
                <w:sz w:val="24"/>
              </w:rPr>
              <w:t xml:space="preserve"> </w:t>
            </w:r>
          </w:p>
        </w:tc>
      </w:tr>
      <w:tr>
        <w:tc>
          <w:tcPr>
            <w:tcW w:w="10188" w:type="dxa"/>
            <w:gridSpan w:val="2"/>
            <w:tcBorders>
              <w:bottom w:val="single" w:sz="4" w:space="0" w:color="auto"/>
            </w:tcBorders>
            <w:shd w:val="clear" w:color="auto" w:fill="auto"/>
          </w:tcPr>
          <w:p>
            <w:pPr>
              <w:spacing w:before="120" w:after="120"/>
              <w:jc w:val="both"/>
              <w:rPr>
                <w:i/>
                <w:noProof/>
                <w:sz w:val="24"/>
                <w:szCs w:val="24"/>
              </w:rPr>
            </w:pPr>
            <w:r>
              <w:rPr>
                <w:noProof/>
                <w:sz w:val="24"/>
              </w:rPr>
              <w:t xml:space="preserve">Opțiunea preferată ar atrage după sine îmbunătățiri semnificative ale EIT în următoarea perioadă de programare. Ea ar amplifica integrarea triunghiului cunoașterii, ar contribui la consolidarea ecosistemelor de inovare și ar spori capacitatea de inovare și capacitatea antreprenorială a sectorului învățământului superior. Această opțiune ar contribui la reducerea lacunelor în materie de competențe în sectoare-cheie ale economiei, ar intensifica schimbul de cunoștințe și crearea de rețele în cadrul ecosistemelor de inovare, ar promova crearea de noi întreprinderi eficace și eficiente, ar ameliora calitatea învățământului superior în domeniul antreprenorial. Totodată, ar spori nivelurile investițiilor private în CCI-uri pe termen mediu și lung și le-ar sprijini mai eficace pentru a atinge obiectivele de viabilitate financiară a EIT. În fine, ea ar permite EIT să își îmbunătățească și să își consolideze treptat dimensiunea regională acoperind țări cu performanțe modeste și moderate în materie de inovare. </w:t>
            </w:r>
          </w:p>
        </w:tc>
      </w:tr>
      <w:tr>
        <w:trPr>
          <w:gridAfter w:val="1"/>
          <w:wAfter w:w="141" w:type="dxa"/>
        </w:trPr>
        <w:tc>
          <w:tcPr>
            <w:tcW w:w="10047" w:type="dxa"/>
            <w:tcBorders>
              <w:bottom w:val="single" w:sz="4" w:space="0" w:color="auto"/>
            </w:tcBorders>
            <w:shd w:val="clear" w:color="auto" w:fill="E6E6E6"/>
          </w:tcPr>
          <w:p>
            <w:pPr>
              <w:spacing w:before="60" w:after="60"/>
              <w:jc w:val="both"/>
              <w:rPr>
                <w:noProof/>
                <w:sz w:val="24"/>
                <w:szCs w:val="24"/>
              </w:rPr>
            </w:pPr>
            <w:r>
              <w:rPr>
                <w:b/>
                <w:noProof/>
                <w:sz w:val="24"/>
              </w:rPr>
              <w:t>Care sunt costurile opțiunii preferate (sau ale opțiunilor principale, dacă nu există o opțiune preferată)?</w:t>
            </w:r>
            <w:r>
              <w:rPr>
                <w:noProof/>
                <w:sz w:val="24"/>
              </w:rPr>
              <w:t xml:space="preserve"> </w:t>
            </w:r>
          </w:p>
        </w:tc>
      </w:tr>
      <w:tr>
        <w:trPr>
          <w:gridAfter w:val="1"/>
          <w:wAfter w:w="141" w:type="dxa"/>
        </w:trPr>
        <w:tc>
          <w:tcPr>
            <w:tcW w:w="10047" w:type="dxa"/>
            <w:tcBorders>
              <w:bottom w:val="single" w:sz="4" w:space="0" w:color="auto"/>
            </w:tcBorders>
            <w:shd w:val="clear" w:color="auto" w:fill="auto"/>
          </w:tcPr>
          <w:p>
            <w:pPr>
              <w:spacing w:before="120" w:after="120"/>
              <w:jc w:val="both"/>
              <w:rPr>
                <w:bCs/>
                <w:noProof/>
                <w:sz w:val="24"/>
                <w:szCs w:val="24"/>
              </w:rPr>
            </w:pPr>
            <w:r>
              <w:rPr>
                <w:noProof/>
                <w:color w:val="000000" w:themeColor="text1"/>
                <w:sz w:val="24"/>
              </w:rPr>
              <w:t>În comparație cu scenariul de referință, opțiunea 2 ar presupune o creștere a costurilor administrative ale EIT în concordanță cu creșterea globală a bugetului EIT în perioada de programare, ca urmare a necesarului de personal și a consolidării capacității și expertizei în cadrul EIT. Costurile de conformare și de punere în aplicare ocazionate de adaptarea modelului de finanțare ar trebui să fie mai mari pentru CCI-urile înființate în primii ani de existență ai EIT, deoarece ele vor trebui să își ajusteze procesele și sistemele de funcționare pe care le-au instituit deja. Costurile ar trebui să fie relativ scăzute pentru CCI-urile care se află în faza inițială a funcționării lor.</w:t>
            </w:r>
          </w:p>
        </w:tc>
      </w:tr>
      <w:tr>
        <w:trPr>
          <w:gridAfter w:val="1"/>
          <w:wAfter w:w="141" w:type="dxa"/>
        </w:trPr>
        <w:tc>
          <w:tcPr>
            <w:tcW w:w="10047" w:type="dxa"/>
            <w:tcBorders>
              <w:bottom w:val="single" w:sz="4" w:space="0" w:color="auto"/>
            </w:tcBorders>
            <w:shd w:val="clear" w:color="auto" w:fill="E6E6E6"/>
          </w:tcPr>
          <w:p>
            <w:pPr>
              <w:spacing w:before="60" w:after="60"/>
              <w:jc w:val="both"/>
              <w:rPr>
                <w:noProof/>
                <w:sz w:val="24"/>
                <w:szCs w:val="24"/>
              </w:rPr>
            </w:pPr>
            <w:r>
              <w:rPr>
                <w:b/>
                <w:noProof/>
                <w:sz w:val="24"/>
              </w:rPr>
              <w:t xml:space="preserve">Care va fi impactul asupra societăților, IMM-urilor și microîntreprinderilor? </w:t>
            </w:r>
          </w:p>
        </w:tc>
      </w:tr>
      <w:tr>
        <w:trPr>
          <w:gridAfter w:val="1"/>
          <w:wAfter w:w="141" w:type="dxa"/>
        </w:trPr>
        <w:tc>
          <w:tcPr>
            <w:tcW w:w="10047" w:type="dxa"/>
            <w:tcBorders>
              <w:bottom w:val="single" w:sz="4" w:space="0" w:color="auto"/>
            </w:tcBorders>
            <w:shd w:val="clear" w:color="auto" w:fill="auto"/>
          </w:tcPr>
          <w:p>
            <w:pPr>
              <w:spacing w:before="120" w:after="120"/>
              <w:jc w:val="both"/>
              <w:rPr>
                <w:i/>
                <w:noProof/>
                <w:sz w:val="24"/>
                <w:szCs w:val="24"/>
              </w:rPr>
            </w:pPr>
            <w:r>
              <w:rPr>
                <w:noProof/>
                <w:sz w:val="24"/>
              </w:rPr>
              <w:t>Opțiunea preferată 2 va contribui la crearea unei rezerve de persoane cu înaltă calificare, în beneficiul societăților, al IMM-urilor și al microîntreprinderilor. Vor fi stimulate activitățile de creare de întreprinderi noi printr-o deschidere, transparență și proceduri simplificate sporite în cadrul CCI</w:t>
            </w:r>
            <w:r>
              <w:rPr>
                <w:noProof/>
                <w:sz w:val="24"/>
              </w:rPr>
              <w:noBreakHyphen/>
              <w:t>urilor, ceea ce va duce la creșterea numărului de start-upuri.</w:t>
            </w:r>
            <w:r>
              <w:rPr>
                <w:noProof/>
                <w:color w:val="000000" w:themeColor="text1"/>
                <w:sz w:val="24"/>
              </w:rPr>
              <w:t xml:space="preserve"> </w:t>
            </w:r>
          </w:p>
        </w:tc>
      </w:tr>
      <w:tr>
        <w:trPr>
          <w:gridAfter w:val="1"/>
          <w:wAfter w:w="141" w:type="dxa"/>
        </w:trPr>
        <w:tc>
          <w:tcPr>
            <w:tcW w:w="10047" w:type="dxa"/>
            <w:tcBorders>
              <w:bottom w:val="single" w:sz="4" w:space="0" w:color="auto"/>
            </w:tcBorders>
            <w:shd w:val="clear" w:color="auto" w:fill="E6E6E6"/>
          </w:tcPr>
          <w:p>
            <w:pPr>
              <w:spacing w:before="60"/>
              <w:jc w:val="both"/>
              <w:rPr>
                <w:b/>
                <w:i/>
                <w:noProof/>
                <w:sz w:val="24"/>
                <w:szCs w:val="24"/>
              </w:rPr>
            </w:pPr>
            <w:r>
              <w:rPr>
                <w:b/>
                <w:noProof/>
                <w:sz w:val="24"/>
              </w:rPr>
              <w:t>Va exista un impact semnificativ asupra bugetelor și asupra administrațiilor naționale?</w:t>
            </w:r>
          </w:p>
        </w:tc>
      </w:tr>
      <w:tr>
        <w:trPr>
          <w:gridAfter w:val="1"/>
          <w:wAfter w:w="141" w:type="dxa"/>
        </w:trPr>
        <w:tc>
          <w:tcPr>
            <w:tcW w:w="10047" w:type="dxa"/>
            <w:shd w:val="clear" w:color="auto" w:fill="auto"/>
          </w:tcPr>
          <w:p>
            <w:pPr>
              <w:spacing w:before="80" w:after="80"/>
              <w:jc w:val="both"/>
              <w:rPr>
                <w:noProof/>
                <w:sz w:val="24"/>
                <w:szCs w:val="24"/>
              </w:rPr>
            </w:pPr>
            <w:r>
              <w:rPr>
                <w:noProof/>
                <w:sz w:val="24"/>
              </w:rPr>
              <w:t>Nu.</w:t>
            </w:r>
          </w:p>
        </w:tc>
      </w:tr>
      <w:tr>
        <w:trPr>
          <w:gridAfter w:val="1"/>
          <w:wAfter w:w="141" w:type="dxa"/>
        </w:trPr>
        <w:tc>
          <w:tcPr>
            <w:tcW w:w="10047" w:type="dxa"/>
            <w:tcBorders>
              <w:bottom w:val="single" w:sz="4" w:space="0" w:color="auto"/>
            </w:tcBorders>
            <w:shd w:val="clear" w:color="auto" w:fill="E6E6E6"/>
          </w:tcPr>
          <w:p>
            <w:pPr>
              <w:spacing w:before="60"/>
              <w:jc w:val="both"/>
              <w:rPr>
                <w:noProof/>
                <w:sz w:val="24"/>
                <w:szCs w:val="24"/>
              </w:rPr>
            </w:pPr>
            <w:r>
              <w:rPr>
                <w:b/>
                <w:noProof/>
                <w:sz w:val="24"/>
              </w:rPr>
              <w:t>Vor exista și alte efecte semnificative?</w:t>
            </w:r>
            <w:r>
              <w:rPr>
                <w:noProof/>
                <w:sz w:val="24"/>
              </w:rPr>
              <w:t xml:space="preserve"> </w:t>
            </w:r>
          </w:p>
        </w:tc>
      </w:tr>
      <w:tr>
        <w:trPr>
          <w:gridAfter w:val="1"/>
          <w:wAfter w:w="141" w:type="dxa"/>
        </w:trPr>
        <w:tc>
          <w:tcPr>
            <w:tcW w:w="10047" w:type="dxa"/>
            <w:tcBorders>
              <w:bottom w:val="single" w:sz="4" w:space="0" w:color="auto"/>
            </w:tcBorders>
            <w:shd w:val="clear" w:color="auto" w:fill="auto"/>
          </w:tcPr>
          <w:p>
            <w:pPr>
              <w:spacing w:before="80" w:after="80"/>
              <w:jc w:val="both"/>
              <w:rPr>
                <w:noProof/>
                <w:sz w:val="24"/>
                <w:szCs w:val="24"/>
              </w:rPr>
            </w:pPr>
            <w:r>
              <w:rPr>
                <w:noProof/>
                <w:sz w:val="24"/>
              </w:rPr>
              <w:t>Nu.</w:t>
            </w:r>
          </w:p>
        </w:tc>
      </w:tr>
      <w:tr>
        <w:trPr>
          <w:gridAfter w:val="1"/>
          <w:wAfter w:w="141" w:type="dxa"/>
        </w:trPr>
        <w:tc>
          <w:tcPr>
            <w:tcW w:w="10047" w:type="dxa"/>
            <w:tcBorders>
              <w:bottom w:val="single" w:sz="4" w:space="0" w:color="auto"/>
            </w:tcBorders>
            <w:shd w:val="clear" w:color="auto" w:fill="C0C0C0"/>
          </w:tcPr>
          <w:p>
            <w:pPr>
              <w:spacing w:before="60" w:after="60"/>
              <w:jc w:val="center"/>
              <w:rPr>
                <w:b/>
                <w:noProof/>
                <w:sz w:val="24"/>
                <w:szCs w:val="24"/>
              </w:rPr>
            </w:pPr>
            <w:r>
              <w:rPr>
                <w:b/>
                <w:noProof/>
                <w:sz w:val="24"/>
              </w:rPr>
              <w:t>D. Acțiuni subsecvente</w:t>
            </w:r>
          </w:p>
        </w:tc>
      </w:tr>
      <w:tr>
        <w:trPr>
          <w:gridAfter w:val="1"/>
          <w:wAfter w:w="141" w:type="dxa"/>
        </w:trPr>
        <w:tc>
          <w:tcPr>
            <w:tcW w:w="10047" w:type="dxa"/>
            <w:tcBorders>
              <w:bottom w:val="single" w:sz="4" w:space="0" w:color="auto"/>
            </w:tcBorders>
            <w:shd w:val="clear" w:color="auto" w:fill="E6E6E6"/>
          </w:tcPr>
          <w:p>
            <w:pPr>
              <w:spacing w:before="60"/>
              <w:jc w:val="both"/>
              <w:rPr>
                <w:noProof/>
                <w:sz w:val="24"/>
                <w:szCs w:val="24"/>
              </w:rPr>
            </w:pPr>
            <w:r>
              <w:rPr>
                <w:b/>
                <w:noProof/>
                <w:sz w:val="24"/>
              </w:rPr>
              <w:t xml:space="preserve">Când va fi revizuită politica? </w:t>
            </w:r>
          </w:p>
        </w:tc>
      </w:tr>
      <w:tr>
        <w:trPr>
          <w:gridAfter w:val="1"/>
          <w:wAfter w:w="141" w:type="dxa"/>
        </w:trPr>
        <w:tc>
          <w:tcPr>
            <w:tcW w:w="10047" w:type="dxa"/>
            <w:tcBorders>
              <w:bottom w:val="single" w:sz="4" w:space="0" w:color="auto"/>
            </w:tcBorders>
            <w:shd w:val="clear" w:color="auto" w:fill="auto"/>
          </w:tcPr>
          <w:p>
            <w:pPr>
              <w:spacing w:before="120" w:after="120"/>
              <w:jc w:val="both"/>
              <w:rPr>
                <w:noProof/>
                <w:sz w:val="24"/>
                <w:szCs w:val="24"/>
              </w:rPr>
            </w:pPr>
            <w:r>
              <w:rPr>
                <w:noProof/>
                <w:sz w:val="24"/>
              </w:rPr>
              <w:t xml:space="preserve">Punerea în aplicare a opțiunii de politică preferate va fi monitorizată și evaluată periodic. Monitorizarea continuă a performanței operaționale și a rezultatelor CCI-urilor se va face anual de către EIT, pe baza unui cadru specific de indicatori în materie de impact. Comisia va efectua o evaluare intermediară independentă a impactului economic și societal al EIT în 2024, aliniată la evaluarea intermediară a programului Orizont Europa. </w:t>
            </w:r>
          </w:p>
        </w:tc>
      </w:tr>
    </w:tbl>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993" w:right="1417" w:bottom="993" w:left="1417"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49899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78876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360" w:hanging="360"/>
        <w:rPr>
          <w:rFonts w:cs="Times New Roman"/>
          <w:bCs/>
          <w:color w:val="000000"/>
          <w:sz w:val="18"/>
          <w:szCs w:val="18"/>
          <w:lang w:eastAsia="cs-CZ"/>
        </w:rPr>
      </w:pPr>
      <w:r>
        <w:rPr>
          <w:sz w:val="18"/>
        </w:rPr>
        <w:footnoteRef/>
      </w:r>
      <w:r>
        <w:rPr>
          <w:sz w:val="18"/>
        </w:rPr>
        <w:t xml:space="preserve"> </w:t>
      </w:r>
      <w:r>
        <w:tab/>
      </w:r>
      <w:r>
        <w:rPr>
          <w:sz w:val="18"/>
        </w:rPr>
        <w:t xml:space="preserve">REGULAMENTUL (UE) NR. 1292/2013 AL PARLAMENTULUI EUROPEAN ȘI AL CONSILIULUI din 11 decembrie 2013; </w:t>
      </w:r>
      <w:hyperlink r:id="rId1">
        <w:r>
          <w:rPr>
            <w:color w:val="000000"/>
            <w:sz w:val="18"/>
          </w:rPr>
          <w:t>https://eur-lex.europa.eu/legal-content/RO/TXT/PDF/?uri=CELEX:02008R0294-20140101&amp;qid=1561990463556&amp;from=RO</w:t>
        </w:r>
      </w:hyperlink>
      <w:r>
        <w:rPr>
          <w:sz w:val="18"/>
        </w:rPr>
        <w:t>.</w:t>
      </w:r>
    </w:p>
  </w:footnote>
  <w:footnote w:id="2">
    <w:p>
      <w:pPr>
        <w:spacing w:after="0" w:line="240" w:lineRule="auto"/>
        <w:ind w:left="360" w:hanging="360"/>
        <w:jc w:val="both"/>
        <w:rPr>
          <w:sz w:val="18"/>
          <w:szCs w:val="18"/>
        </w:rPr>
      </w:pPr>
      <w:r>
        <w:rPr>
          <w:rFonts w:ascii="Times New Roman" w:hAnsi="Times New Roman"/>
          <w:sz w:val="18"/>
        </w:rPr>
        <w:footnoteRef/>
      </w:r>
      <w:r>
        <w:rPr>
          <w:rFonts w:ascii="Times New Roman" w:hAnsi="Times New Roman"/>
          <w:sz w:val="18"/>
        </w:rPr>
        <w:t xml:space="preserve"> </w:t>
      </w:r>
      <w:r>
        <w:tab/>
      </w:r>
      <w:r>
        <w:rPr>
          <w:rFonts w:ascii="Times New Roman" w:hAnsi="Times New Roman"/>
          <w:sz w:val="18"/>
        </w:rPr>
        <w:t>DECIZIA NR. 1312/2013/UE A PARLAMENTULUI EUROPEAN ȘI A CONSILIULUI din 11 decembrie 2013 privind Agenda strategică de inovare a Institutului European de Inovare și Tehnologie (EIT): contribuția EIT la o Europă mai inovatoare.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E0FB0"/>
    <w:multiLevelType w:val="hybridMultilevel"/>
    <w:tmpl w:val="04F81076"/>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revisionView w:markup="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ocStatus" w:val="Green"/>
    <w:docVar w:name="LW_ACCOMPAGNANT.CP" w:val="care înso\u355?e\u351?te documentul"/>
    <w:docVar w:name="LW_CORRIGENDUM" w:val="&lt;UNUSED&gt;"/>
    <w:docVar w:name="LW_COVERPAGE_EXISTS" w:val="True"/>
    <w:docVar w:name="LW_COVERPAGE_GUID" w:val="38947FCE-3A84-46B4-8F79-51B02E6691AF"/>
    <w:docVar w:name="LW_COVERPAGE_TYPE" w:val="1"/>
    <w:docVar w:name="LW_CROSSREFERENCE" w:val="{COM(2019) 330 final} - {COM(2019) 331 final} - {SEC(2019) 275 final} - {SWD(2019) 330 final}"/>
    <w:docVar w:name="LW_DocType" w:val="NORMAL"/>
    <w:docVar w:name="LW_EMISSION" w:val="11.7.2019"/>
    <w:docVar w:name="LW_EMISSION_ISODATE" w:val="2019-07-11"/>
    <w:docVar w:name="LW_EMISSION_LOCATION" w:val="BRX"/>
    <w:docVar w:name="LW_EMISSION_PREFIX" w:val="Bruxelles, "/>
    <w:docVar w:name="LW_EMISSION_SUFFIX" w:val=" "/>
    <w:docVar w:name="LW_ID_DOCTYPE_NONLW" w:val="CP-027"/>
    <w:docVar w:name="LW_LANGUE" w:val="RO"/>
    <w:docVar w:name="LW_LEVEL_OF_SENSITIVITY" w:val="Standard treatment"/>
    <w:docVar w:name="LW_NOM.INST" w:val="COMISIA EUROPEAN\u258?"/>
    <w:docVar w:name="LW_NOM.INST_JOINTDOC" w:val="&lt;EMPTY&gt;"/>
    <w:docVar w:name="LW_OBJETACTEPRINCIPAL.CP" w:val="Propunere de Decizie a Parlamentului European \u537?i a Consiliului privind Agenda strategic\u259? de inovare a Institutului European de Inovare \u537?i Tehnologie (EIT) 2021-2027: stimularea talentului \u537?i a capacit\u259?\u539?ii de inovare a Europei"/>
    <w:docVar w:name="LW_PART_NBR" w:val="1"/>
    <w:docVar w:name="LW_PART_NBR_TOTAL" w:val="1"/>
    <w:docVar w:name="LW_REF.INST.NEW" w:val="SWD"/>
    <w:docVar w:name="LW_REF.INST.NEW_ADOPTED" w:val="final"/>
    <w:docVar w:name="LW_REF.INST.NEW_TEXT" w:val="(2019) 3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DOCUMENT DE LUCRU AL SERVICIILOR COMISIEI_x000b__x000b_REZUMATUL EVALU\u258?RII IMPACTULUI_x000b_"/>
    <w:docVar w:name="LW_TYPEACTEPRINCIPAL.CP" w:val="Propunere de Regulament al Parlamentului European \u537?i al Consiliului privind Institutul European de Inovare \u537?i Tehnologie (reformare) _x000b__x000b_\u537?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 Isnasos,Footnote,f"/>
    <w:basedOn w:val="Normal"/>
    <w:link w:val="FootnoteTextChar"/>
    <w:uiPriority w:val="99"/>
    <w:unhideWhenUsed/>
    <w:qFormat/>
    <w:pPr>
      <w:spacing w:after="0" w:line="240" w:lineRule="auto"/>
    </w:pPr>
    <w:rPr>
      <w:rFonts w:ascii="Times New Roman" w:hAnsi="Times New Roman"/>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Pr>
      <w:rFonts w:ascii="Times New Roman" w:hAnsi="Times New Roman"/>
      <w:sz w:val="20"/>
      <w:szCs w:val="20"/>
    </w:rPr>
  </w:style>
  <w:style w:type="character" w:styleId="FootnoteReference">
    <w:name w:val="footnote reference"/>
    <w:basedOn w:val="DefaultParagraphFont"/>
    <w:uiPriority w:val="9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 Isnasos,Footnote,f"/>
    <w:basedOn w:val="Normal"/>
    <w:link w:val="FootnoteTextChar"/>
    <w:uiPriority w:val="99"/>
    <w:unhideWhenUsed/>
    <w:qFormat/>
    <w:pPr>
      <w:spacing w:after="0" w:line="240" w:lineRule="auto"/>
    </w:pPr>
    <w:rPr>
      <w:rFonts w:ascii="Times New Roman" w:hAnsi="Times New Roman"/>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Pr>
      <w:rFonts w:ascii="Times New Roman" w:hAnsi="Times New Roman"/>
      <w:sz w:val="20"/>
      <w:szCs w:val="20"/>
    </w:rPr>
  </w:style>
  <w:style w:type="character" w:styleId="FootnoteReference">
    <w:name w:val="foot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RO/TXT/PDF/?uri=CELEX:02008R0294-20140101&amp;qid=1561990463556&amp;fro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1624</Words>
  <Characters>9734</Characters>
  <Application>Microsoft Office Word</Application>
  <DocSecurity>0</DocSecurity>
  <Lines>154</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29</cp:revision>
  <cp:lastPrinted>2019-04-08T09:40:00Z</cp:lastPrinted>
  <dcterms:created xsi:type="dcterms:W3CDTF">2019-07-02T07:00:00Z</dcterms:created>
  <dcterms:modified xsi:type="dcterms:W3CDTF">2019-07-10T11:17:00Z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