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fr-BE"/>
        </w:rPr>
      </w:pPr>
      <w:bookmarkStart w:id="0" w:name="LW_BM_COVERPAGE"/>
      <w:r>
        <w:rPr>
          <w:noProof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2667FA1-9161-4016-BC88-E29EE0BEFF88" style="width:450.8pt;height:490.55pt">
            <v:imagedata r:id="rId8" o:title=""/>
          </v:shape>
        </w:pict>
      </w:r>
    </w:p>
    <w:bookmarkEnd w:id="0"/>
    <w:p>
      <w:pPr>
        <w:rPr>
          <w:noProof/>
          <w:lang w:val="fr-BE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10188" w:type="dxa"/>
        <w:tblInd w:w="-31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rPr>
                <w:b/>
                <w:noProof/>
                <w:sz w:val="24"/>
                <w:szCs w:val="24"/>
                <w:lang w:val="cs-CZ"/>
              </w:rPr>
            </w:pPr>
            <w:bookmarkStart w:id="1" w:name="_GoBack"/>
            <w:bookmarkEnd w:id="1"/>
            <w:r>
              <w:rPr>
                <w:b/>
                <w:noProof/>
                <w:sz w:val="24"/>
                <w:lang w:val="cs-CZ"/>
              </w:rPr>
              <w:lastRenderedPageBreak/>
              <w:t>Souhrnný přehled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b/>
                <w:noProof/>
                <w:sz w:val="24"/>
                <w:szCs w:val="24"/>
                <w:lang w:val="cs-CZ"/>
              </w:rPr>
            </w:pPr>
            <w:r>
              <w:rPr>
                <w:noProof/>
                <w:color w:val="FFFFFF" w:themeColor="background1"/>
                <w:sz w:val="24"/>
                <w:lang w:val="cs-CZ"/>
              </w:rPr>
              <w:t>Posouzení dopadů návrhu nařízení Evropského parlamentu a Rady o Evropském inovačním a technologickém institutu (přepracované znění) a návrhu rozhodnutí Evropského parlamentu a Rady o strategickém programu inovací Evropského inovačního a technologického institutu (EIT) na období 2021–2027: Podpora talentu a kapacity pro inovace v Evropě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</w:pPr>
    </w:p>
    <w:tbl>
      <w:tblPr>
        <w:tblStyle w:val="TableGrid"/>
        <w:tblW w:w="10188" w:type="dxa"/>
        <w:tblInd w:w="-31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A. Potřeba opatření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 xml:space="preserve">Proč? Jaký problém se řeší?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Účelem Evropského inovačního a technologického institutu (EIT) je řešit hlavní společenské výzvy zlepšením inovační výkonnosti EU pomocí začlenění znalostního trojúhelníku výzkumu, vzdělávání a inovací. 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EIT byl zřízen v roce 2008 nařízením (ES) č. 294/2008 (dále jen „nařízení o EIT“)</w:t>
            </w:r>
            <w:r>
              <w:rPr>
                <w:noProof/>
                <w:sz w:val="24"/>
                <w:vertAlign w:val="superscript"/>
                <w:lang w:val="cs-CZ"/>
              </w:rPr>
              <w:footnoteReference w:id="1"/>
            </w:r>
            <w:r>
              <w:rPr>
                <w:noProof/>
                <w:sz w:val="24"/>
                <w:lang w:val="cs-CZ"/>
              </w:rPr>
              <w:t>. Nařízení o EIT stanoví poslání, cíle a rozpočet EIT, a proto musí být v souladu s platným rámcovým programem pro výzkum a inovace.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Návrh Komise, kterým se zavádí Horizont Evropa, tj. rámcový program pro výzkum a inovace na období 2021–2027, stanoví navrhovaný rozpočet pro EIT na příští období, jakož i jeho odůvodnění, přidanou hodnotu, oblasti intervence, hlavní směry činností a ukazatele výkonnosti. V uvedeném návrhu je EIT jedním z hlavních prvků pilíře „Inovativní Evropa“.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Samotný návrh programu Horizont Evropa neposkytuje právní základ pro pokračování provozu EIT po roce 2020. Proto je třeba změnit nařízení o EIT.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Kromě toho článek 17 nařízení o EIT vyžaduje, aby Komise každých sedm let předložila Evropskému parlamentu a Radě návrh strategického programu inovací, který stanoví strategické, dlouhodobé priority a finanční potřeby pro EIT a musí být v souladu s platným rámcovým programem pro výzkum a inovace. Stávající strategický program inovací se vztahuje na období 2014–2020</w:t>
            </w:r>
            <w:r>
              <w:rPr>
                <w:noProof/>
                <w:sz w:val="24"/>
                <w:vertAlign w:val="superscript"/>
                <w:lang w:val="cs-CZ"/>
              </w:rPr>
              <w:footnoteReference w:id="2"/>
            </w:r>
            <w:r>
              <w:rPr>
                <w:noProof/>
                <w:sz w:val="24"/>
                <w:lang w:val="cs-CZ"/>
              </w:rPr>
              <w:t>. Návrh nového strategického programu inovací EIT na období 2021–2027 je proto třeba předložit spolu s návrhem revize nařízení o EIT.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Cílem této iniciativy je změnit nařízení o EIT přepracováním jeho znění a sladit strategický program inovací s programem Horizont Evropa. Zahrnuty jsou nové prioritní oblasti EIT i jeho finanční potřeby. Cílem je rovněž zlepšit fungování EIT s ohledem na zkušenosti z minulých let. 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Tato iniciativa se zaměřuje zejména na řešení problémů ve třech hlavních oblastech. Za prvé se bude zabývat otázkami souvisejícími s modelem financování EIT, zadruhé navrhne řešení, jak zvýšit dopad vzdělávacích činností EIT, tj. zlepšovat povědomí o vzdělávací značce EIT a podporovat podnikatelské a inovační schopnosti a dovednosti ve vysokoškolských institucích. Tato iniciativa dále pomůže zvýšit regionální dosah EIT prostřednictvím lepší integrace znalostních a inovačních společenství do místních inovačních ekosystémů. Nastíní rovněž budoucí prioritní oblasti pro znalostní a inovační společenství.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Kromě toho se zaměří na řadu technických otázek s cílem zvýšit účinnost, účelnost a soudržnost činností EIT. Sem patří otevřenost a transparentnost znalostních a inovačních společenství, správa a řízení EIT a smluvní dohody pracovníků EIT.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Zjištěné problémy budou řešeny prostřednictvím změny nařízení o EIT a přijetím strategického programu inovací EIT na období 2021–2027. Toto posouzení dopadů vychází z posouzení dopadů, jež bylo provedeno pro program Horizont Evropa.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 xml:space="preserve">Čeho by měla tato iniciativa dosáhnout?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Tato iniciativa podporuje budoucí provádění a strategický rozvoj politiky EIT a přispěje k plnění jeho cílů pro období 2021–2027, jak je uvedeno v návrhu programu Horizont Evropa, tj. k posílení udržitelných inovačních ekosystémů v celé Evropě, prosazení nových řešení celosvětových společenských výzev na trhu a podpoře inovací a podnikání prostřednictvím lepšího vzdělávání. Konkrétně se očekává, že EIT a znalostní a inovační společenství: </w:t>
            </w:r>
          </w:p>
          <w:p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zvýší dopad znalostních a inovačních společenství a posílí začlenění znalostního trojúhelníku na základě efektivního a účinného modelu financování EIT; </w:t>
            </w:r>
          </w:p>
          <w:p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zlepší inovační a podnikatelskou kapacitu odvětví vysokoškolského vzdělávání prosazováním institucionálních změn v evropských vysokoškolských institucích; </w:t>
            </w:r>
          </w:p>
          <w:p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posílí regionální dosah EIT s cílem řešit regionální rozdíly v inovační kapacitě v celé EU.</w:t>
            </w:r>
          </w:p>
          <w:p>
            <w:pPr>
              <w:spacing w:before="120"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Kromě toho má tato iniciativa zvýšit účinnost, účelnost a soudržnost činností EIT tím, že se zaměří na tyto otázky: otevřenost a transparentnost znalostních a inovačních společenství, správa a řízení EIT a smlouvy pracovníků EIT a kontinuita jejich služby.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Jakou přidanou hodnotu budou mít tato opatření na úrovni EU?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EIT přestavuje jedinečný způsob, jak vybudovat inovační ekosystémy v celé EU, které propojí vzdělávání, výzkum, podnikání a další zúčastněné strany. Vyplňuje mezery v systému podpory inovací, kterou poskytují členské státy. Činnosti znalostních a inovačních společenství vedou k vyšší kvalitě inovací, k vytváření přeshraničních víceoborových sítí, k větší meziodvětvové spolupráci a k širšímu zeměpisnému dosahu. Vzdělávací programy EIT představují přidanou hodnotu pro jiné stávající programy, zejména díky jejich podnikatelskému a inovačnímu rozměru. 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</w:pPr>
    </w:p>
    <w:tbl>
      <w:tblPr>
        <w:tblStyle w:val="TableGrid"/>
        <w:tblW w:w="10188" w:type="dxa"/>
        <w:tblInd w:w="-31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B. Řešení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Jaké legislativní a nelegislativní možnosti byly zvažovány? Je některá možnost upřednostňována? Proč?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Při řešení zjištěných problémů byly zvažovány tři možnosti: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Možnost 1 (základní scénář) představuje pokračování činností EIT jako dosud s úpravami, které jsou nezbytné pro jeho sladění s návrhem programu Horizont Evropa. EIT by splňoval kritéria pro realizaci, sledování a hodnocení evropských partnerství. Vytvořila by se součinnost s Evropskou radou pro inovace. Vznikla by dvě nová znalostní a inovační společenství.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Možnost 2 vychází ze základního scénáře a navíc doplňuje řadu opatření ke zvýšení účinnosti fungování EIT, včetně přizpůsobení jeho modelu financování. Zavádí novou akci EIT na podporu rozvoje podnikatelských a inovačních kapacit vysokoškolských institucí a posiluje jeho regionální inovační program. Vznikla by dvě nová znalostní a inovační společenství.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spacing w:after="120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Možnost 3 vychází ze základního scénáře a řady opatření ke zvýšení účinnosti fungování EIT jako u možnosti 2. Navíc zavádí novou činnost, a sice zřizování center EIT v každém členském státě s cílem zvýšit celkový dopad EIT. EIT by tato centra přímo zaváděl, aby se podpořilo začlenění znalostního trojúhelníku, a to prostřednictvím podpory projektů založených na spolupráci v menším měřítku, než jsou znalostní a inovační společenství. </w:t>
            </w:r>
          </w:p>
          <w:p>
            <w:pPr>
              <w:spacing w:before="240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Vzniklo by jedno nové znalostní a inovační společenství.</w:t>
            </w:r>
          </w:p>
          <w:p>
            <w:pPr>
              <w:rPr>
                <w:noProof/>
                <w:sz w:val="24"/>
                <w:szCs w:val="24"/>
                <w:lang w:val="cs-CZ"/>
              </w:rPr>
            </w:pP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Všechny tři možnosti by měly legislativní dopad na změnu nařízení o EIT a na nový strategický program inovací EIT. </w:t>
            </w:r>
          </w:p>
          <w:p>
            <w:pPr>
              <w:jc w:val="both"/>
              <w:rPr>
                <w:noProof/>
                <w:sz w:val="24"/>
                <w:szCs w:val="24"/>
                <w:lang w:val="cs-CZ"/>
              </w:rPr>
            </w:pPr>
          </w:p>
          <w:p>
            <w:pPr>
              <w:spacing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Upřednostňovanou možností je možnost 2, která dosahuje té nejlepší rovnováhy mezi splněním cílů iniciativy s ohledem na dostupné zdroje a zajištěním co největších hospodářských a společenských dopadů. 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Kdo podporuje kterou možnost?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Jednotlivá opatření plánovaná v rámci možnosti 2 dosáhla vysoké míry podpory mezi různými konzultovanými zúčastněnými stranami, tj. společnostmi / obchodními organizacemi, akademickými/výzkumnými institucemi a občany EU. Zúčastněné strany se zejména do značné míry shodly na tom, že je třeba podporovat rozvoj podnikatelských a inovačních kapacit vysokoškolských institucí v Evropě a více propojit činnosti EIT a znalostních a inovačních společenství s regionálním a místním prostředím a strategiemi. 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</w:pPr>
    </w:p>
    <w:tbl>
      <w:tblPr>
        <w:tblStyle w:val="TableGrid"/>
        <w:tblW w:w="10188" w:type="dxa"/>
        <w:tblInd w:w="-318" w:type="dxa"/>
        <w:tblLook w:val="01E0" w:firstRow="1" w:lastRow="1" w:firstColumn="1" w:lastColumn="1" w:noHBand="0" w:noVBand="0"/>
      </w:tblPr>
      <w:tblGrid>
        <w:gridCol w:w="10047"/>
        <w:gridCol w:w="141"/>
      </w:tblGrid>
      <w:t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b/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C. Dopady upřednostňované možnosti</w:t>
            </w:r>
          </w:p>
        </w:tc>
      </w:tr>
      <w:t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Jaké jsou výhody upřednostňované možnosti (je-li nějaká doporučena, jinak uveďte výhody hlavních možností)?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i/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Upřednostňovaná možnost by zajistila podstatné zdokonalení EIT v příštím programovém období. Prohloubila by začlenění znalostního trojúhelníku, přispěla by k posílení inovačních ekosystémů a zvýšení inovační a podnikatelské kapacity odvětví vysokoškolského vzdělávání. Přispěla by k odstranění nedostatku dovedností v zásadních odvětvích hospodářství, k lepšímu sdílení znalostí a vytváření sítí v inovačních ekosystémech, k podpoře účinného a efektivního zakládání nových podniků a ke zlepšení kvality vysokoškolského vzdělávání orientovaného na podnikání. Rovněž by zvýšila objem soukromých investic do znalostních a inovačních společenství ve střednědobém až dlouhodobém horizontu a účinněji by tato společenství podporovala při dosahování cílů finanční udržitelnosti EIT. V neposlední řadě by umožnila EIT postupně zlepšovat a posilovat jeho regionální dosah vůči zemím s nízkou a mírnou výkonností v oblasti inovací.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Jaké jsou náklady na upřednostňovanou možnost (je-li nějaká doporučena, jinak uveďte náklady na hlavní možnosti)?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bCs/>
                <w:noProof/>
                <w:sz w:val="24"/>
                <w:szCs w:val="24"/>
                <w:lang w:val="cs-CZ"/>
              </w:rPr>
            </w:pPr>
            <w:r>
              <w:rPr>
                <w:noProof/>
                <w:color w:val="000000" w:themeColor="text1"/>
                <w:sz w:val="24"/>
                <w:lang w:val="cs-CZ"/>
              </w:rPr>
              <w:t>V porovnání se základním scénářem by možnost 2 znamenala zvýšení administrativních nákladů EIT v souladu s celkovým navýšením rozpočtu EIT v průběhu programového období, které by vyplývalo z personálních potřeb a vytvoření silnější kapacity a odborných znalostí v EIT. Očekává se, že náklady na dosažení souladu a provádění vyplývající z přizpůsobení modelu financování budou vyšší u těch znalostních a inovačních společenství, která byla zřízena v počátečních letech fungování EIT, jelikož tato společenství budou muset upravit postupy a systémy provozu, které již zavedla. Předpokládá se, že náklady pro znalostní a inovační společenství, která jsou ještě v počáteční fázi svého fungování, budou poměrně nízké.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 xml:space="preserve">Jaký bude dopad na podniky, včetně malých a středních podniků a mikropodniků?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i/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Upřednostňovaná možnost 2 přispěje k vytvoření skupiny vysoce kvalifikovaných osob, z čehož budou mít prospěch podniky, malé a střední podniky a mikropodniky. Díky větší otevřenosti, transparentnosti a zjednodušení postupů ve znalostních a inovačních společenstvích budou stimulovány činnosti v oblasti zakládání nových podniků, což povede ke zvýšení počtu začínajících podniků.</w:t>
            </w:r>
            <w:r>
              <w:rPr>
                <w:noProof/>
                <w:color w:val="000000" w:themeColor="text1"/>
                <w:sz w:val="24"/>
                <w:lang w:val="cs-CZ"/>
              </w:rPr>
              <w:t xml:space="preserve">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b/>
                <w:i/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Očekávají se významné dopady na vnitrostátní rozpočty a správní orgány?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shd w:val="clear" w:color="auto" w:fill="auto"/>
          </w:tcPr>
          <w:p>
            <w:pPr>
              <w:spacing w:before="80" w:after="8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Ne.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Očekávají se jiné významné dopady?</w:t>
            </w:r>
            <w:r>
              <w:rPr>
                <w:noProof/>
                <w:sz w:val="24"/>
                <w:lang w:val="cs-CZ"/>
              </w:rPr>
              <w:t xml:space="preserve">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80" w:after="8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>Ne.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b/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>D. Návazná opatření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b/>
                <w:noProof/>
                <w:sz w:val="24"/>
                <w:lang w:val="cs-CZ"/>
              </w:rPr>
              <w:t xml:space="preserve">Kdy bude tato politika přezkoumána? </w:t>
            </w:r>
          </w:p>
        </w:tc>
      </w:tr>
      <w:tr>
        <w:trPr>
          <w:gridAfter w:val="1"/>
          <w:wAfter w:w="141" w:type="dxa"/>
        </w:trPr>
        <w:tc>
          <w:tcPr>
            <w:tcW w:w="1004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/>
              <w:jc w:val="both"/>
              <w:rPr>
                <w:noProof/>
                <w:sz w:val="24"/>
                <w:szCs w:val="24"/>
                <w:lang w:val="cs-CZ"/>
              </w:rPr>
            </w:pPr>
            <w:r>
              <w:rPr>
                <w:noProof/>
                <w:sz w:val="24"/>
                <w:lang w:val="cs-CZ"/>
              </w:rPr>
              <w:t xml:space="preserve">Provádění upřednostňované možnosti politiky bude pravidelně monitorováno a vyhodnocováno. Průběžný dohled nad provozní výkonností a výsledky znalostních a inovačních společenství bude EIT provádět každoročně na základě konkrétního rámce pro ukazatele dopadů. Komise provede nezávislé hodnocení hospodářských a společenských dopadů EIT v polovině období v roce 2024 společně s hodnocením programu Horizont Evropa v polovině období. </w:t>
            </w:r>
          </w:p>
        </w:tc>
      </w:tr>
    </w:tbl>
    <w:p>
      <w:pPr>
        <w:rPr>
          <w:noProof/>
          <w:lang w:val="cs-CZ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993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9899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78876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cs="Times New Roman"/>
          <w:sz w:val="18"/>
          <w:szCs w:val="18"/>
          <w:lang w:val="cs-CZ"/>
        </w:rPr>
      </w:pPr>
      <w:r>
        <w:rPr>
          <w:rFonts w:cs="Times New Roman"/>
          <w:sz w:val="18"/>
          <w:lang w:val="cs-CZ"/>
        </w:rPr>
        <w:footnoteRef/>
      </w:r>
      <w:r>
        <w:rPr>
          <w:rFonts w:cs="Times New Roman"/>
          <w:sz w:val="18"/>
          <w:lang w:val="cs-CZ"/>
        </w:rPr>
        <w:t xml:space="preserve"> Nařízení Evropského parlamentu a Rady (EU) č. 1292/2013 ze dne 11. prosince 2013; </w:t>
      </w:r>
      <w:hyperlink r:id="rId1">
        <w:r>
          <w:rPr>
            <w:rFonts w:cs="Times New Roman"/>
            <w:color w:val="000000"/>
            <w:sz w:val="18"/>
            <w:lang w:val="cs-CZ"/>
          </w:rPr>
          <w:t>https://eit.europa.eu/sites/default/files/Consolidated%20EIT%20Regulation.pdf</w:t>
        </w:r>
      </w:hyperlink>
      <w:r>
        <w:rPr>
          <w:rFonts w:cs="Times New Roman"/>
          <w:sz w:val="18"/>
          <w:lang w:val="cs-CZ"/>
        </w:rPr>
        <w:t xml:space="preserve"> </w:t>
      </w:r>
    </w:p>
  </w:footnote>
  <w:footnote w:id="2"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cs-CZ"/>
        </w:rPr>
      </w:pPr>
      <w:r>
        <w:rPr>
          <w:rFonts w:ascii="Times New Roman" w:hAnsi="Times New Roman" w:cs="Times New Roman"/>
          <w:sz w:val="18"/>
          <w:lang w:val="cs-CZ"/>
        </w:rPr>
        <w:footnoteRef/>
      </w:r>
      <w:r>
        <w:rPr>
          <w:rFonts w:ascii="Times New Roman" w:hAnsi="Times New Roman" w:cs="Times New Roman"/>
          <w:sz w:val="18"/>
          <w:lang w:val="cs-CZ"/>
        </w:rPr>
        <w:t xml:space="preserve"> Rozhodnutí Evropského parlamentu a Rady č. 1312/2013/EU ze dne 11. prosince 2013 o strategickém programu inovací Evropského inovačního a technologického institutu (EIT): přínos EIT pro inovativnější Evropu.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FB0"/>
    <w:multiLevelType w:val="hybridMultilevel"/>
    <w:tmpl w:val="04F8107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ocStatus" w:val="Green"/>
    <w:docVar w:name="LW_ACCOMPAGNANT.CP" w:val="Pr\u367?vodní dokument k"/>
    <w:docVar w:name="LW_CORRIGENDUM" w:val="&lt;UNUSED&gt;"/>
    <w:docVar w:name="LW_COVERPAGE_EXISTS" w:val="True"/>
    <w:docVar w:name="LW_COVERPAGE_GUID" w:val="12667FA1-9161-4016-BC88-E29EE0BEFF88"/>
    <w:docVar w:name="LW_COVERPAGE_TYPE" w:val="1"/>
    <w:docVar w:name="LW_CROSSREFERENCE" w:val="{COM(2019) 330 final} - {COM(2019) 331 final} - {SEC(2019) 275 final} - {SWD(2019) 330 final}"/>
    <w:docVar w:name="LW_DocType" w:val="NORMAL"/>
    <w:docVar w:name="LW_EMISSION" w:val="11.7.2019"/>
    <w:docVar w:name="LW_EMISSION_ISODATE" w:val="2019-07-11"/>
    <w:docVar w:name="LW_EMISSION_LOCATION" w:val="BRX"/>
    <w:docVar w:name="LW_EMISSION_PREFIX" w:val="V Bruselu dne "/>
    <w:docVar w:name="LW_EMISSION_SUFFIX" w:val=" "/>
    <w:docVar w:name="LW_ID_DOCTYPE_NONLW" w:val="CP-02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návrhu rozhodnutí Evropského parlamentu a Rady_x000b_o strategickém programu inovací Evropského inova\u269?ního a technologického institutu (EIT) na období 2021-2027: Podpora talentu a kapacity pro inovace v Evrop\u283?_x000b_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19) 3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ACOVNÍ DOKUMENT ÚTVAR\u366? KOMISE_x000b__x000b_SOUHRN POSOUZENÍ DOPAD\u366?_x000b_"/>
    <w:docVar w:name="LW_TYPEACTEPRINCIPAL.CP" w:val="návrhu na\u345?ízení Evropského parlamentu a Rady  _x000b_o Evropském inova\u269?ním a technologickém institutu (p\u345?epracované zn\u283?ní)_x000b__x000b_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• Isnasos,Footnote,f"/>
    <w:basedOn w:val="Normal"/>
    <w:link w:val="FootnoteTextChar"/>
    <w:uiPriority w:val="99"/>
    <w:unhideWhenUsed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qFormat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• Isnasos,Footnote,f"/>
    <w:basedOn w:val="Normal"/>
    <w:link w:val="FootnoteTextChar"/>
    <w:uiPriority w:val="99"/>
    <w:unhideWhenUsed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qFormat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t.europa.eu/sites/default/files/Consolidated%20EIT%20Regul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1412</Words>
  <Characters>8774</Characters>
  <Application>Microsoft Office Word</Application>
  <DocSecurity>0</DocSecurity>
  <Lines>151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23</cp:revision>
  <cp:lastPrinted>2019-04-08T09:40:00Z</cp:lastPrinted>
  <dcterms:created xsi:type="dcterms:W3CDTF">2019-07-02T07:00:00Z</dcterms:created>
  <dcterms:modified xsi:type="dcterms:W3CDTF">2019-07-10T11:18:00Z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