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7AEFA18-F1D0-4BEC-A84A-43BA07535516" style="width:450.8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ΕΚΘΕΣΗ ΤΗΣ ΕΠΙΤΡΟΠΗΣ</w:t>
      </w:r>
    </w:p>
    <w:p>
      <w:pPr>
        <w:pStyle w:val="Titreobjet"/>
        <w:rPr>
          <w:noProof/>
        </w:rPr>
      </w:pPr>
      <w:r>
        <w:rPr>
          <w:noProof/>
        </w:rPr>
        <w:t>Βέλγιο</w:t>
      </w:r>
      <w:r>
        <w:rPr>
          <w:noProof/>
        </w:rPr>
        <w:br/>
      </w:r>
      <w:r>
        <w:rPr>
          <w:noProof/>
        </w:rPr>
        <w:br/>
        <w:t>Έκθεση που συντάχθηκε σύμφωνα με το άρθρο 126 παράγραφος 3 της Συνθήκης για τη λειτουργία της Ευρωπαϊκής Ένωσης</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Εισαγωγή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Στο άρθρο 126 της Συνθήκης για τη λειτουργία της Ευρωπαϊκής Ένωσης (ΣΛΕΕ ή η Συνθήκη) θεσπίζεται η διαδικασία υπερβολικού ελλείμματος (ΔΥΕ). Η διαδικασία αυτή καθορίζεται περαιτέρω στον κανονισμό (ΕΚ) αριθ. 1467/97 του Συμβουλίου για την επιτάχυνση και τη διασαφήνιση της εφαρμογής της διαδικασίας υπερβολικού ελλείμματος</w:t>
      </w:r>
      <w:r>
        <w:rPr>
          <w:rFonts w:ascii="Times New Roman" w:hAnsi="Times New Roman"/>
          <w:noProof/>
          <w:sz w:val="20"/>
          <w:vertAlign w:val="superscript"/>
        </w:rPr>
        <w:footnoteReference w:id="2"/>
      </w:r>
      <w:r>
        <w:rPr>
          <w:rFonts w:ascii="Times New Roman" w:hAnsi="Times New Roman"/>
          <w:noProof/>
          <w:sz w:val="24"/>
        </w:rPr>
        <w:t>, που αποτελεί μέρος του Συμφώνου Σταθερότητας και Ανάπτυξης (ΣΣΑ). Ειδικές διατάξεις για τα κράτη μέλη της ζώνης του ευρώ που υπάγονται στη ΔΥΕ θεσπίζονται στον κανονισμό (ΕΕ) αριθ. 473/2013</w:t>
      </w:r>
      <w:r>
        <w:rPr>
          <w:rFonts w:ascii="Times New Roman" w:hAnsi="Times New Roman"/>
          <w:noProof/>
          <w:sz w:val="20"/>
          <w:vertAlign w:val="superscript"/>
        </w:rPr>
        <w:footnoteReference w:id="3"/>
      </w:r>
      <w:r>
        <w:rPr>
          <w:rFonts w:ascii="Times New Roman" w:hAnsi="Times New Roman"/>
          <w:noProof/>
          <w:sz w:val="24"/>
        </w:rPr>
        <w:t>.</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Σύμφωνα με το άρθρο 126 παράγραφος 2 της ΣΛΕΕ, η Επιτροπή παρακολουθεί την τήρηση της δημοσιονομικής πειθαρχίας με βάση δύο κριτήρια, και συγκεκριμένα: α) κατά πόσον ο λόγος του προβλεπομένου ή υφισταμένου δημοσιονομικού ελλείμματος προς το ακαθάριστο εγχώριο προϊόν (ΑΕΠ) υπερβαίνει την τιμή αναφοράς του 3 %· και β) κατά πόσον ο λόγος του δημόσιου χρέους προς το ΑΕΠ υπερβαίνει την τιμή αναφοράς του 60 %, εκτός εάν μειώνεται επαρκώς και πλησιάζει την τιμή αναφοράς με ικανοποιητικό ρυθμό.</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Το άρθρο 126 παράγραφος 3 της ΣΛΕΕ ορίζει ότι, εάν ένα κράτος μέλος δεν πληροί τους όρους ενός ή αμφοτέρων των κριτηρίων αυτών, η Επιτροπή οφείλει να συντάξει έκθεση. Η εν λόγω έκθεση πρέπει να «</w:t>
      </w:r>
      <w:r>
        <w:rPr>
          <w:rFonts w:ascii="Times New Roman" w:hAnsi="Times New Roman"/>
          <w:i/>
          <w:noProof/>
          <w:sz w:val="24"/>
        </w:rPr>
        <w:t>λαμβάνει επίσης υπόψη το κατά πόσον το δημόσιο έλλειμμα υπερβαίνει τις δαπάνες δημοσίων επενδύσεων, καθώς και όλους τους άλλους σχετικούς παράγοντες, συμπεριλαμβανομένης της μεσοπρόθεσμης οικονομικής και δημοσιονομικής κατάστασης του κράτους μέλους.</w:t>
      </w:r>
      <w:r>
        <w:rPr>
          <w:rFonts w:ascii="Times New Roman" w:hAnsi="Times New Roman"/>
          <w:noProof/>
          <w:sz w:val="24"/>
        </w:rPr>
        <w:t>»</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 xml:space="preserve">Η παρούσα έκθεση, η οποία αποτελεί το πρώτο βήμα της ΔΥΕ, αναλύει τη συμμόρφωση του Βελγίου με το κριτήριο του ελλείμματος και του χρέους της Συνθήκης, λαμβανομένου δεόντως υπόψη του οικονομικού υπόβαθρου και άλλων σχετικών παραγόντων. </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Τα στοιχεία που κοινοποίησαν οι βελγικές αρχές στις 29 Μαρτίου 2019</w:t>
      </w:r>
      <w:r>
        <w:rPr>
          <w:rFonts w:ascii="Times New Roman" w:hAnsi="Times New Roman"/>
          <w:noProof/>
          <w:sz w:val="20"/>
          <w:vertAlign w:val="superscript"/>
        </w:rPr>
        <w:footnoteReference w:id="4"/>
      </w:r>
      <w:r>
        <w:rPr>
          <w:rFonts w:ascii="Times New Roman" w:hAnsi="Times New Roman"/>
          <w:noProof/>
          <w:sz w:val="24"/>
        </w:rPr>
        <w:t xml:space="preserve"> και στη συνέχεια επικυρώθηκαν από την Eurostat</w:t>
      </w:r>
      <w:r>
        <w:rPr>
          <w:rFonts w:ascii="Times New Roman" w:hAnsi="Times New Roman"/>
          <w:noProof/>
          <w:sz w:val="20"/>
          <w:vertAlign w:val="superscript"/>
        </w:rPr>
        <w:footnoteReference w:id="5"/>
      </w:r>
      <w:r>
        <w:rPr>
          <w:rFonts w:ascii="Times New Roman" w:hAnsi="Times New Roman"/>
          <w:noProof/>
          <w:sz w:val="24"/>
        </w:rPr>
        <w:t xml:space="preserve"> δείχνουν ότι το έλλειμμα της γενικής κυβέρνησης στο Βέλγιο ανήλθε στο 0,7 % του ΑΕΠ το 2018, ενώ το χρέος ανήλθε σε 102,0 % του ΑΕΠ, δηλαδή υπερέβη την τιμή αναφοράς του 60 % του ΑΕΠ. Για το 2019, το σχέδιο δημοσιονομικού προγράμματος (ΣΔΠ) προέβλεπε έλλειμμα 1,0 % του ΑΕΠ και δείκτη χρέους 100,2 % του ΑΕΠ, ενώ το πρόγραμμα σταθερότητας του Βελγίου του 2019, το οποίο παρελήφθη από την Επιτροπή στις 26 Απριλίου 2019, προβλέπει έλλειμμα 0,8 % του ΑΕΠ και δείκτη χρέους 100,6 % του ΑΕΠ.</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Από τα κοινοποιηθέντα στοιχεία προκύπτει ότι το Βέλγιο δεν συμμορφώθηκε με την τιμή αναφοράς για τη μείωση του χρέους</w:t>
      </w:r>
      <w:r>
        <w:rPr>
          <w:rStyle w:val="FootnoteReference"/>
          <w:rFonts w:eastAsiaTheme="minorHAnsi"/>
          <w:noProof/>
        </w:rPr>
        <w:footnoteReference w:id="6"/>
      </w:r>
      <w:r>
        <w:rPr>
          <w:rFonts w:ascii="Times New Roman" w:hAnsi="Times New Roman"/>
          <w:noProof/>
          <w:sz w:val="24"/>
        </w:rPr>
        <w:t xml:space="preserve"> το 2018 (βλ. πίνακα 1), δεδομένου ότι η απόκλιση από την τιμή αναφοράς ανέρχεται σε 1,1 εκατοστιαίες μονάδες του ΑΕΠ. Επιπλέον, το 2019 και το 2020 προβλέπεται επίσης ότι το Βέλγιο δεν θα συμμορφώνεται με την τιμή αναφοράς για τη μείωση του χρέους, δεδομένου ότι ο δείκτης χρέους ως προς το ΑΕΠ αναμένεται να παραμείνει 1,7 ε.μ. του ΑΕΠ υψηλότερος από την αναδρομική τιμή αναφοράς για τη μείωση του χρέους το 2019 και 1,9 ε.μ. του ΑΕΠ υψηλότερος από τη μελλοντοστραφή τιμή αναφοράς για τη μείωση του χρέους το 2020, σύμφωνα με τις εαρινές προβλέψεις της Επιτροπής του 2019. Στο σενάριο που περιλαμβάνεται στο πρόγραμμα σταθερότητας του 2019 σχεδιάζεται συμμόρφωση με το κριτήριο του χρέους από το 2019, με υπέρβαση της μελλοντοστραφούς τιμής αναφοράς για τη μείωση του χρέους κατά 0,2 ε.μ. το 2019 και 0,6 ε.μ. το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Η μη συμμόρφωση του Βελγίου με την τιμή αναφοράς για τη μείωση του χρέους το 2018 παρέχει ενδείξεις για την, εκ πρώτης όψεως, ύπαρξη υπερβολικού ελλείμματος για τους σκοπούς του Συμφώνου Σταθερότητας και Ανάπτυξης προτού, ωστόσο, εξεταστούν όλοι οι παράγοντες που παρατίθενται κατωτέρω. </w:t>
      </w:r>
    </w:p>
    <w:p>
      <w:pPr>
        <w:spacing w:before="120" w:after="120" w:line="240" w:lineRule="auto"/>
        <w:jc w:val="both"/>
        <w:rPr>
          <w:rFonts w:ascii="Times New Roman" w:eastAsia="Times New Roman" w:hAnsi="Times New Roman" w:cs="Calibri"/>
          <w:noProof/>
          <w:sz w:val="24"/>
        </w:rPr>
      </w:pPr>
      <w:r>
        <w:rPr>
          <w:rFonts w:ascii="Times New Roman" w:hAnsi="Times New Roman"/>
          <w:noProof/>
          <w:sz w:val="24"/>
        </w:rPr>
        <w:t>Ως εκ τούτου, η Επιτροπή συνέταξε την παρούσα έκθεση για να αξιολογήσει συνολικά την απόκλιση από την τιμή αναφοράς για τη μείωση του χρέους και την υπέρβαση της τιμής αναφοράς της Συνθήκης, προκειμένου να εξετάσει εάν δικαιολογείται η κίνηση διαδικασίας υπερβολικού ελλείμματος αφού ληφθούν υπόψη όλοι οι σχετικοί παράγοντες. Στο τμήμα 2 της έκθεσης εξετάζεται το κριτήριο του ελλείμματος. Στο τμήμα 3 εξετάζεται το κριτήριο του χρέους. Το τμήμα 4 πραγματεύεται τις δημόσιες επενδύσεις και άλλους σχετικούς παράγοντες, συμπεριλαμβανομένης της αξιολόγησης της συμμόρφωσης με την απαιτούμενη πορεία προσαρμογής για την επίτευξη του μεσοπρόθεσμου στόχου (ΜΔΣ). Στην έκθεση λαμβάνονται υπόψη οι εαρινές προβλέψεις της Επιτροπής του 2019, που δημοσιεύτηκαν στις 7 Μαΐου 2019, καθώς και η αξιολόγηση των επακόλουθων μακροοικονομικών και δημοσιονομικών εξελίξεων από την Επιτροπή.</w:t>
      </w:r>
    </w:p>
    <w:p>
      <w:pPr>
        <w:keepNext/>
        <w:spacing w:before="240" w:after="120" w:line="240" w:lineRule="auto"/>
        <w:jc w:val="center"/>
        <w:rPr>
          <w:rFonts w:ascii="Times New Roman" w:eastAsia="Times New Roman" w:hAnsi="Times New Roman" w:cs="Times New Roman"/>
          <w:b/>
          <w:noProof/>
          <w:sz w:val="24"/>
        </w:rPr>
      </w:pPr>
      <w:r>
        <w:rPr>
          <w:rFonts w:ascii="Times New Roman" w:hAnsi="Times New Roman"/>
          <w:b/>
          <w:noProof/>
          <w:sz w:val="24"/>
        </w:rPr>
        <w:t xml:space="preserve">Πίνακας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Έλλειμμα και χρέος γενικής κυβέρνησης (% του ΑΕΠ)</w:t>
      </w:r>
    </w:p>
    <w:p>
      <w:pPr>
        <w:spacing w:after="0" w:line="240" w:lineRule="auto"/>
        <w:jc w:val="both"/>
        <w:rPr>
          <w:rFonts w:ascii="Times New Roman" w:eastAsia="Times New Roman" w:hAnsi="Times New Roman" w:cs="Calibri"/>
          <w:noProof/>
          <w:sz w:val="24"/>
        </w:rPr>
      </w:pPr>
      <w:r>
        <w:rPr>
          <w:noProof/>
          <w:lang w:val="en-GB" w:eastAsia="en-GB" w:bidi="ar-SA"/>
        </w:rPr>
        <w:drawing>
          <wp:inline distT="0" distB="0" distL="0" distR="0">
            <wp:extent cx="5731510" cy="235460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354600"/>
                    </a:xfrm>
                    <a:prstGeom prst="rect">
                      <a:avLst/>
                    </a:prstGeom>
                    <a:noFill/>
                    <a:ln>
                      <a:noFill/>
                    </a:ln>
                  </pic:spPr>
                </pic:pic>
              </a:graphicData>
            </a:graphic>
          </wp:inline>
        </w:drawing>
      </w:r>
      <w:r>
        <w:rPr>
          <w:rFonts w:ascii="Times New Roman" w:hAnsi="Times New Roman"/>
          <w:noProof/>
          <w:sz w:val="2"/>
        </w:rPr>
        <w:t xml:space="preserve"> </w:t>
      </w:r>
    </w:p>
    <w:p>
      <w:pPr>
        <w:pStyle w:val="ManualHeading1"/>
        <w:rPr>
          <w:noProof/>
        </w:rPr>
      </w:pPr>
      <w:r>
        <w:rPr>
          <w:noProof/>
        </w:rPr>
        <w:t>2.</w:t>
      </w:r>
      <w:r>
        <w:rPr>
          <w:noProof/>
        </w:rPr>
        <w:tab/>
        <w:t>Κριτήριο ελλείμματος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έλλειμμα της γενικής κυβέρνησης του Βελγίου μειώθηκε από 0,8 % του ΑΕΠ το 2017 σε 0,7 % το 2018. Σύμφωνα με τις εαρινές προβλέψεις της Επιτροπής του 2019, το έλλειμμα θα αυξηθεί σε 1,3 % το 2019, αλλά θα παραμείνει κάτω από την τιμή αναφοράς του 3 % του ΑΕΠ που ορίζει η Συνθήκη. Το 2020, οι προβλέψεις της Επιτροπής αναφέρουν περαιτέρω αύξηση του ελλείμματος στο 1,5 % του ΑΕΠ με βάση την παραδοχή αμετάβλητης πολιτικής.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πολυετής πορεία που περιλαμβάνεται στο πρόγραμμα σταθερότητας του 2019 προβλέπει σταθεροποίηση του ελλείμματος σε 0,8 % το 2019 και μείωσή του σε 0,2 % το 2020. Στις 18 Δεκεμβρίου 2018 ο πρωθυπουργός του Βελγίου υπέβαλε την παραίτησή του. Έκτοτε, η υπηρεσιακή κυβέρνηση ενέκρινε προϋπολογισμούς που καταρτίστηκαν με βάση την παραδοχή αμετάβλητης πολιτικής. Κατά συνέπεια, η κυβέρνηση δεν είχε πλήρεις δημοσιονομικές εξουσίες σύμφωνα με τους εθνικούς συνταγματικούς κανόνες και/ή τις συνταγματικές πρακτικές κατά την υποβολή του προγράμματος σταθερότητας. Λόγω αυτού του γεγονότος, στο πρόγραμμα σταθερότητας παρουσιάζεται μια δημοσιονομική πορεία που δεν υποστηρίζεται από ψηφισμένα ή επαρκώς λεπτομερή μέτρα για την επίτευξη του ΜΔΣ για ισοσκελισμένο προϋπολογισμό σε διαρθρωτικούς όρους το 2021. Για το 2019, η διαφορά μεταξύ των προβλέψεων της Επιτροπής και του προγράμματος σταθερότητας οφείλεται σε ορισμένα μέτρα που δεν έχουν συμπεριληφθεί στις προβλέψεις της Επιτροπής επειδή δεν έχουν ψηφιστεί ή δεν έχουν προσδιοριστεί επαρκώς ή επειδή θεωρούνται προσωρινά (έληξαν το 2018 και δεν υφίστανται πλέον το 2019)</w:t>
      </w:r>
      <w:r>
        <w:rPr>
          <w:rStyle w:val="FootnoteReference"/>
          <w:rFonts w:eastAsiaTheme="minorHAnsi"/>
          <w:noProof/>
        </w:rPr>
        <w:footnoteReference w:id="7"/>
      </w:r>
      <w:r>
        <w:rPr>
          <w:rFonts w:ascii="Times New Roman" w:hAnsi="Times New Roman"/>
          <w:noProof/>
          <w:sz w:val="24"/>
        </w:rPr>
        <w:t>. Για το 2020, η διαφορά οφείλεται κυρίως στη μείωση των δαπανών (-0,6 ε.μ. του ΑΕΠ) και στην αύξηση των εσόδων (+ 0,2 ε.μ. του ΑΕΠ), που δεν υποστηρίζονται από συγκεκριμένα πρόσθετα μέτρα.</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Ως εκ τούτου, το Βέλγιο συμμορφώνεται με το κριτήριο του ελλείμματος όπως ορίζεται στη Συνθήκη και στον κανονισμό (ΕΚ) αριθ. 1467/97.</w:t>
      </w:r>
    </w:p>
    <w:p>
      <w:pPr>
        <w:pStyle w:val="ManualHeading1"/>
        <w:rPr>
          <w:noProof/>
        </w:rPr>
      </w:pPr>
      <w:r>
        <w:rPr>
          <w:noProof/>
        </w:rPr>
        <w:t>3.</w:t>
      </w:r>
      <w:r>
        <w:rPr>
          <w:noProof/>
        </w:rPr>
        <w:tab/>
        <w:t xml:space="preserve">Κριτήριο χρέους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δημόσιο χρέος κορυφώθηκε στο 107,5 % του ΑΕΠ το 2014 και στη συνέχεια υποχώρησε στο 103,4 % το 2017. Το 2018, το χρέος μειώθηκε περαιτέρω στο 102,0 % του ΑΕΠ, κυρίως λόγω του πρωτογενούς πλεονάσματος και της φθίνουσας συμβολής του αρνητικού αποτελέσματος χιονοστιβάδας (χαμηλότερες πληρωμές τόκων σε συνδυασμό με μεγαλύτερη αύξηση του ονομαστικού ΑΕΠ), που αντισταθμίστηκε μόνον εν μέρει από την ανοδική προσαρμογή αποθεμάτων-ροών. Η δυναμική του χρέους εξετάζεται αναλυτικότερα στο τμήμα 4.2.</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Σύμφωνα με τις προβλέψεις της Επιτροπής αναμένεται ελαφρά μείωση του χρέους κατά τα επόμενα έτη, σε 101,3 % του ΑΕΠ το 2019 και σε 100,7 % το 2020. Η ετήσια καθοδική επίδραση των πρωτογενών πλεονασμάτων και του αποτελέσματος χιονοστιβάδας, ίση με 1,3 ε.μ. του ΑΕΠ κατά μέσο όρο, προβλέπεται ότι θα αντισταθμιστεί εν μέρει από την ανοδική προσαρμογή αποθεμάτων-ροών την περίοδο 2019-2020. Στις προβολές αυτές δεν λαμβάνεται υπόψη ο αντίκτυπος πιθανών πωλήσεων περιουσιακών στοιχείων του χρηματοπιστωτικού τομέα.</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Το πρόγραμμα σταθερότητας του Βελγίου του 2019 προβλέπει πτώση του δείκτη χρέους στο 100,6 % του ΑΕΠ στα τέλη του 2019 και στο 98,5 % του ΑΕΠ το 2020. Η διαφορά από την προβολή της Επιτροπής με αμετάβλητες πολιτικές απορρέει κυρίως από το χαμηλότερο ονομαστικό έλλειμμα που προβλέπεται στο πρόγραμμα σταθερότητας με γενικά παρόμοιες παραδοχές όσον αφορά την ονομαστική ανάπτυξη και από τις ελαφρώς χαμηλότερες προσαρμογές αποθεμάτων-ροών.</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Μετά την κατάργηση της διαδικασίας υπερβολικού ελλείμματος τον Ιούνιο του 2014, το Βέλγιο υπάχθηκε σε τριετή μεταβατική περίοδο για να συμμορφωθεί με την τιμή αναφοράς για τη μείωση του χρέους. Αυτή η μεταβατική περίοδος διήρκεσε από το 2014 μέχρι το 2016. Από το 2017, μετά τη λήξη της μεταβατικής περιόδου, ισχύει η συνήθης τιμή αναφοράς για τη μείωση του χρέους.</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 xml:space="preserve">Από τα κοινοποιηθέντα στοιχεία προκύπτει ότι το Βέλγιο δεν συμμορφώθηκε με την τιμή αναφοράς για τη μείωση του χρέους το 2018 (βλ. πίνακα 1), δεδομένου ότι η απόκλιση από την τιμή αναφοράς είναι 1,1 % του ΑΕΠ. Το Βέλγιο δεν προβλέπεται να συμμορφωθεί με την τιμή αναφοράς για τη μείωση του χρέους το 2019 και το 2020, δεδομένου ότι ο δείκτης χρέους ως προς το ΑΕΠ αναμένεται να υπερβεί την τιμή αναφοράς για τη μείωση του χρέους κατά 1,7 % του ΑΕΠ το 2019 και κατά 1,9 % του ΑΕΠ το 2020, σύμφωνα με τις εαρινές προβλέψεις της Επιτροπής του 2019.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Με βάση το σενάριο που περιλαμβάνεται στο πρόγραμμα σταθερότητας του 2019, αναμενόταν να επιτευχθεί συμμόρφωση με το κριτήριο του χρέους από το 2019, καθώς προβλεπόταν ότι το Βέλγιο θα υπερκαλύψει την τιμή αναφοράς για τη μείωση του χρέους (σύμφωνα με τη μελλοντοστραφή θεώρηση) κατά 0,7 % του ΑΕΠ το 2019 και ότι θα συμμορφωθεί πλήρως με αυτήν το 2020. Το πρόγραμμα σταθερότητας του 2018 προέβλεπε συμμόρφωση με το κριτήριο του χρέους από το 2018. Η διαφορά από τις προβλέψεις της Επιτροπής οφείλεται στην υψηλότερη μείωση του ελλείμματος, κατά 0,5 % το 2019 και κατά 1,3 % το 2020, δεδομένου ότι οι προβλέψεις της Επιτροπής βασίζονται στην παραδοχή αμετάβλητης πολιτικής, ενώ το πρόγραμμα σταθερότητας αντανακλά την προγραμματισμένη προσπάθεια επίτευξης του ΜΔΣ του Βελγίου (διαρθρωτικό ισοζύγιο της τάξης του 0,0 % του ΑΕΠ) το 2021, η οποία, ωστόσο, δεν υποστηρίζεται από επαρκώς λεπτομερή μέτρα. Ένα μέρος της διαφοράς οφείλεται, επίσης, στην υψηλότερη αναμενόμενη προσαρμογή αποθεμάτων-ροών το 2019, η οποία δεν αντισταθμίζεται από τη χαμηλότερη προσαρμογή το 2020.</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Συνεπώς, από την ανάλυση προκύπτει ότι, εκ πρώτης όψεως, το κριτήριο του χρέους για τους σκοπούς της Συνθήκης και του κανονισμού (ΕΚ) αριθ. 1467/1997 δεν πληρούται με βάση τα απολογιστικά στοιχεία του 2018, τις εαρινές προβλέψεις της Επιτροπής του 2019 και το πρόγραμμα σταθερότητας του 2019, προτού, ωστόσο, ληφθούν υπόψη όλοι οι σχετικοί παράγοντες που παρατίθενται κατωτέρω.</w:t>
      </w:r>
    </w:p>
    <w:p>
      <w:pPr>
        <w:keepNext/>
        <w:spacing w:before="240" w:after="120" w:line="240" w:lineRule="auto"/>
        <w:jc w:val="center"/>
        <w:rPr>
          <w:rFonts w:ascii="Times New Roman" w:eastAsia="Times New Roman" w:hAnsi="Times New Roman" w:cs="Times New Roman"/>
          <w:b/>
          <w:noProof/>
          <w:sz w:val="24"/>
        </w:rPr>
      </w:pPr>
      <w:r>
        <w:rPr>
          <w:rFonts w:ascii="Times New Roman" w:hAnsi="Times New Roman"/>
          <w:b/>
          <w:noProof/>
          <w:sz w:val="24"/>
        </w:rPr>
        <w:t>Πίνακας 2: Δυναμική του χρέους</w:t>
      </w:r>
    </w:p>
    <w:p>
      <w:pPr>
        <w:keepNext/>
        <w:spacing w:before="120" w:after="120" w:line="240" w:lineRule="auto"/>
        <w:jc w:val="center"/>
        <w:rPr>
          <w:rFonts w:ascii="Times New Roman" w:eastAsia="Times New Roman" w:hAnsi="Times New Roman" w:cs="Times New Roman"/>
          <w:b/>
          <w:noProof/>
          <w:sz w:val="24"/>
        </w:rPr>
      </w:pPr>
      <w:r>
        <w:rPr>
          <w:noProof/>
          <w:lang w:val="en-GB" w:eastAsia="en-GB" w:bidi="ar-SA"/>
        </w:rPr>
        <w:drawing>
          <wp:inline distT="0" distB="0" distL="0" distR="0">
            <wp:extent cx="5731510" cy="40008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000836"/>
                    </a:xfrm>
                    <a:prstGeom prst="rect">
                      <a:avLst/>
                    </a:prstGeom>
                    <a:noFill/>
                    <a:ln>
                      <a:noFill/>
                    </a:ln>
                  </pic:spPr>
                </pic:pic>
              </a:graphicData>
            </a:graphic>
          </wp:inline>
        </w:drawing>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Σχετικοί παράγοντες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άρθρο 126 παράγραφος 3 της ΣΛΕΕ προβλέπει ότι η έκθεση της Επιτροπής «</w:t>
      </w:r>
      <w:r>
        <w:rPr>
          <w:rFonts w:ascii="Times New Roman" w:hAnsi="Times New Roman"/>
          <w:i/>
          <w:noProof/>
          <w:sz w:val="24"/>
        </w:rPr>
        <w:t>λαμβάνει επίσης υπόψη το κατά πόσον το δημόσιο έλλειμμα υπερβαίνει τις δαπάνες δημοσίων επενδύσεων, καθώς και όλους τους άλλους σχετικούς παράγοντες, συμπεριλαμβανομένης της μεσοπρόθεσμης οικονομικής και δημοσιονομικής κατάστασης του κράτους μέλους</w:t>
      </w:r>
      <w:r>
        <w:rPr>
          <w:rFonts w:ascii="Times New Roman" w:hAnsi="Times New Roman"/>
          <w:noProof/>
          <w:sz w:val="24"/>
        </w:rPr>
        <w:t>». Οι παράγοντες αυτοί διευκρινίζονται περαιτέρω στο άρθρο 2 παράγραφος 3 του κανονισμού (ΕΚ) αριθ. 1467/97, το οποίο προβλέπει επίσης ότι η Επιτροπή πρέπει να λαμβάνει δεόντως υπόψη «</w:t>
      </w:r>
      <w:r>
        <w:rPr>
          <w:rFonts w:ascii="Times New Roman" w:hAnsi="Times New Roman"/>
          <w:i/>
          <w:noProof/>
          <w:sz w:val="24"/>
        </w:rPr>
        <w:t>οποιονδήποτε άλλο παράγοντα ο οποίος, κατά τη γνώμη του οικείου κράτους μέλους, συμβάλλει στην ολοκληρωμένη ποιοτική αξιολόγηση της συμμόρφωσης με τα κριτήρια του ελλείμματος και του χρέους και τον οποίον το κράτος μέλος έχει προτείνει στο Συμβούλιο και στην Επιτροπή</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Σε περίπτωση προφανούς παραβίασης του κριτηρίου του χρέους, η ανάλυση των σχετικών παραγόντων δικαιολογείται ιδιαίτερα δεδομένου ότι η δυναμική του χρέους επηρεάζεται σε μεγαλύτερο βαθμό από παράγοντες εκτός του ελέγχου της κυβέρνησης από ό,τι το έλλειμμα. Το γεγονός αυτό αναγνωρίζεται στο άρθρο 2 παράγραφος 4 του κανονισμού (ΕΚ) αριθ. 1467/97, το οποίο ορίζει ότι οι σχετικοί παράγοντες λαμβάνονται υπόψη προκειμένου να εκτιμηθεί η συμμόρφωση με βάση το κριτήριο του χρέους ανεξάρτητα από το μέγεθος της παραβίασης. Εν προκειμένω, κατά την αξιολόγηση της συμμόρφωσης με το κριτήριο του χρέους πρέπει να λαμβάνονται υπόψη (και έχουν ληφθεί υπόψη στο παρελθόν) τουλάχιστον οι ακόλουθες τρεις κύριες πτυχές, λόγω του αντικτύπου τους στη δυναμική και τη βιωσιμότητα του χρέους:</w:t>
      </w:r>
    </w:p>
    <w:p>
      <w:pPr>
        <w:spacing w:before="120" w:after="120" w:line="240" w:lineRule="auto"/>
        <w:ind w:left="709" w:hanging="283"/>
        <w:jc w:val="both"/>
        <w:rPr>
          <w:rFonts w:ascii="Times New Roman" w:eastAsia="Times New Roman" w:hAnsi="Times New Roman" w:cs="Times New Roman"/>
          <w:noProof/>
          <w:sz w:val="24"/>
        </w:rPr>
      </w:pPr>
      <w:r>
        <w:rPr>
          <w:rFonts w:ascii="Times New Roman" w:hAnsi="Times New Roman"/>
          <w:noProof/>
          <w:sz w:val="24"/>
        </w:rPr>
        <w:t>1.</w:t>
      </w:r>
      <w:r>
        <w:rPr>
          <w:noProof/>
        </w:rPr>
        <w:tab/>
      </w:r>
      <w:r>
        <w:rPr>
          <w:rFonts w:ascii="Times New Roman" w:hAnsi="Times New Roman"/>
          <w:noProof/>
          <w:sz w:val="24"/>
        </w:rPr>
        <w:t>Η συμμόρφωση με τον ΜΔΣ ή με την πορεία προσαρμογής για την επίτευξή του, η οποία υποτίθεται ότι διασφαλίζει τη βιωσιμότητα ή την ταχεία πρόοδο προς τη βιωσιμότητα υπό συνήθεις μακροοικονομικές συνθήκες. Δεδομένου ότι, από την εκπόνησή τους, οι ΜΔΣ ανά χώρα λαμβάνουν υπόψη το επίπεδο του χρέους και τις έμμεσες υποχρεώσεις, η συμμόρφωση με τον ΜΔΣ ή την πορεία προσαρμογής για την επίτευξή του θα πρέπει να εξασφαλίζει τη σύγκλιση των δεικτών χρέους προς συνετά επίπεδα, τουλάχιστον μεσοπρόθεσμα·</w:t>
      </w:r>
    </w:p>
    <w:p>
      <w:pPr>
        <w:spacing w:before="120" w:after="120" w:line="240" w:lineRule="auto"/>
        <w:ind w:left="709" w:hanging="283"/>
        <w:jc w:val="both"/>
        <w:rPr>
          <w:rFonts w:ascii="Times New Roman" w:eastAsia="Times New Roman" w:hAnsi="Times New Roman" w:cs="Times New Roman"/>
          <w:noProof/>
          <w:sz w:val="24"/>
        </w:rPr>
      </w:pPr>
      <w:r>
        <w:rPr>
          <w:rFonts w:ascii="Times New Roman" w:hAnsi="Times New Roman"/>
          <w:noProof/>
          <w:sz w:val="24"/>
        </w:rPr>
        <w:t>2.</w:t>
      </w:r>
      <w:r>
        <w:rPr>
          <w:noProof/>
        </w:rPr>
        <w:tab/>
      </w:r>
      <w:r>
        <w:rPr>
          <w:rFonts w:ascii="Times New Roman" w:hAnsi="Times New Roman"/>
          <w:noProof/>
          <w:sz w:val="24"/>
        </w:rPr>
        <w:t>Οι διαρθρωτικές μεταρρυθμίσεις που έχουν ήδη εφαρμοστεί ή που αναφέρονται λεπτομερώς σε σχέδιο διαρθρωτικών μεταρρυθμίσεων, οι οποίες αναμένεται να ενισχύσουν τη βιωσιμότητα σε μεσοπρόθεσμο επίπεδο μέσω του αντικτύπου τους στην ανάπτυξη και να συμβάλλουν έτσι στη σταδιακή μείωση, με ικανοποιητικούς ρυθμούς, του δείκτη χρέους ως προς το ΑΕΠ. Συνολικά, η συμμόρφωση με τον ΜΔΣ (ή την πορεία προσαρμογής για την επίτευξή του) παράλληλα με την εφαρμογή διαρθρωτικών μεταρρυθμίσεων (στο πλαίσιο του Ευρωπαϊκού Εξαμήνου) αναμένεται υπό φυσιολογικές οικονομικές συνθήκες να επαναφέρει τη δυναμική του χρέους σε βιώσιμη τροχιά μέσω του συνδυασμένου αντικτύπου στο ίδιο το επίπεδο του χρέους (με την επίτευξη υγιούς δημοσιονομικής θέσης στον ΜΔΣ) και στην οικονομική ανάπτυξη (μέσω των μεταρρυθμίσεων).</w:t>
      </w:r>
    </w:p>
    <w:p>
      <w:pPr>
        <w:numPr>
          <w:ilvl w:val="0"/>
          <w:numId w:val="30"/>
        </w:num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Οι δυσμενείς μακροοικονομικές συνθήκες, και ιδίως ο χαμηλός πληθωρισμός, οι οποίες ενδέχεται να παρεμποδίσουν τη μείωση του δείκτη χρέους ως προς το ΑΕΠ και να καταστήσουν ιδιαίτερα δύσκολη τη συμμόρφωση με τις διατάξεις του ΣΣΑ. Ένα περιβάλλον χαμηλού πληθωρισμού δυσχεραίνει τη συμμόρφωση των κρατών μελών με την τιμή αναφοράς για τη μείωση του χρέους. Υπό αυτές τις συνθήκες, η τήρηση του ΜΔΣ ή της πορεία προσαρμογής για την επίτευξή του αποτελεί καθοριστικό σχετικό παράγοντα για την αξιολόγηση της συμμόρφωσης με το κριτήριο του χρέους.</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Δυνάμει των ανωτέρω διατάξεων, στα ακόλουθα υποτμήματα εξετάζονται κατά σειρά 1) η μεσοπρόθεσμη δημοσιονομική θέση, συμπεριλαμβανομένης αξιολόγησης της συμμόρφωσης με την απαιτούμενη προσαρμογή για την επίτευξη του ΜΔΣ και την ανάπτυξη δημόσιων επενδύσεων· 2) οι εξελίξεις στη μεσοπρόθεσμη θέση του δημόσιου χρέους, η δυναμική και η βιωσιμότητά της· 3) η μεσοπρόθεσμη οικονομική θέση, συμπεριλαμβανομένης της τρέχουσας κατάστασης όσον αφορά την εφαρμογή των διαρθρωτικών μεταρρυθμίσεων· 4) άλλοι παράγοντες που θεωρούνται σχετικοί από την Επιτροπή· και 5) άλλοι παράγοντες που έχουν προταθεί από το κράτος μέλος.</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rFonts w:ascii="Times New Roman" w:hAnsi="Times New Roman"/>
          <w:b/>
          <w:noProof/>
          <w:sz w:val="24"/>
        </w:rPr>
        <w:t>Μεσοπρόθεσμος δημοσιονομικός στόχος</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Από την εκ των υστέρων αξιολόγηση της συμμόρφωσης του Βελγίου με το προληπτικό σκέλος διαπιστώνεται ότι δεν υπάρχουν επαρκώς αξιόπιστα στοιχεία που να οδηγούν στο συμπέρασμα ότι υπάρχει σημαντική απόκλιση από την πορεία προσαρμογής του Βελγίου προς την επίτευξη του ΜΔΣ το 2018, καθώς και τα έτη 2017 και 2018 λαμβανόμενα από κοινού. Για το 2019, και το 2018 και το 2019 λαμβανόμενα από κοινού, η δημοσιονομική προσαρμογή ενέχει κίνδυνο σημαντικής απόκλισης από τις απαιτήσεις του προληπτικού σκέλους για το Βέλγιο.</w:t>
      </w:r>
    </w:p>
    <w:p>
      <w:pPr>
        <w:spacing w:before="120" w:after="120" w:line="240" w:lineRule="auto"/>
        <w:jc w:val="both"/>
        <w:rPr>
          <w:rFonts w:ascii="Times New Roman" w:eastAsia="Times New Roman" w:hAnsi="Times New Roman" w:cs="Times New Roman"/>
          <w:i/>
          <w:noProof/>
          <w:sz w:val="24"/>
          <w:szCs w:val="24"/>
        </w:rPr>
      </w:pPr>
    </w:p>
    <w:p>
      <w:pPr>
        <w:spacing w:before="120" w:after="120" w:line="240" w:lineRule="auto"/>
        <w:ind w:left="851" w:hanging="851"/>
        <w:jc w:val="both"/>
        <w:rPr>
          <w:rFonts w:ascii="Times New Roman" w:eastAsia="Times New Roman" w:hAnsi="Times New Roman" w:cs="Times New Roman"/>
          <w:b/>
          <w:noProof/>
          <w:sz w:val="24"/>
          <w:szCs w:val="24"/>
        </w:rPr>
      </w:pPr>
      <w:r>
        <w:rPr>
          <w:rFonts w:ascii="Times New Roman" w:hAnsi="Times New Roman"/>
          <w:b/>
          <w:noProof/>
          <w:sz w:val="24"/>
        </w:rPr>
        <w:t xml:space="preserve">Ονομαστικό ισοζύγιο, διαρθρωτικό ισοζύγιο και προσαρμογή για την επίτευξη του ΜΔΣ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Ονομαστικό ισοζύγιο</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ονομαστικό έλλειμμα του Βελγίου μειώθηκε από 0,8 % του ΑΕΠ το 2017 σε 0,7 % το 2018. Τόσο ο δείκτης εσόδων ως προς το ΑΕΠ όσο και ο δείκτης δαπανών ως προς το ΑΕΠ αυξήθηκαν, κατά 0,4 ε.μ. και κατά 0,2 ε.μ. του ΑΕΠ αντίστοιχα.</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i/>
          <w:noProof/>
          <w:sz w:val="24"/>
        </w:rPr>
        <w:t>ΜΔΣ και διαρθρωτικό ισοζύγιο</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noProof/>
          <w:sz w:val="24"/>
        </w:rPr>
        <w:t>Στο πρόγραμμα σταθερότητας του 2019, οι βελγικές αρχές επιβεβαίωσαν τον ΜΔΣ τους για ισοσκελισμένο προϋπολογισμό σε διαρθρωτικούς όρους. Ο ΜΔΣ φαίνεται αρκετά αυστηρός υπό τις τρέχουσες οικονομικές συνθήκες, οι οποίες μπορούν να θεωρηθούν φυσιολογικές προκειμένου να διασφαλιστεί η συμμόρφωση με τον κανόνα για το χρέος μεσοπρόθεσμα και μακροπρόθεσμα. Στο πρόγραμμα σταθερότητας του 2019, το Βέλγιο ανέβαλε την προβλεπόμενη επίτευξη του ΜΔΣ από το 2020 στο 2021. Σύμφωνα με το πρόγραμμα σταθερότητας, για την επίτευξη του ΜΔΣ θα απαιτηθεί προσπάθεια της τάξης του 0,9 % του ΑΕΠ. Σύμφωνα με τις εαρινές προβλέψεις της Επιτροπής του 2019, η απαιτούμενη προσπάθεια είναι μεγαλύτερη (1,4 % του ΑΕΠ) λόγω της διαφορετικής (υψηλότερης) εκτίμησης του διαρθρωτικού ελλείμματος του 2018. Επιπλέον, σύμφωνα με τις προβλέψεις της Επιτροπής, το διαρθρωτικό ισοζύγιο αναμένεται να παραμείνει σταθερό το 2019 και να επιδεινωθεί κατά 0,3 ε.μ. του ΑΕΠ με αμετάβλητες πολιτικές το 2020, που είναι το τελευταίο έτος των προβολών της Επιτροπής. Σύμφωνα με το Ανώτατο Συμβούλιο Οικονομικών, αναμένεται πρόσθετη επιδείνωση ύψους 0,4 % του ΑΕΠ το 2021 με αμετάβλητες πολιτικές</w:t>
      </w:r>
      <w:r>
        <w:rPr>
          <w:rFonts w:ascii="Times New Roman" w:hAnsi="Times New Roman"/>
          <w:noProof/>
          <w:sz w:val="20"/>
          <w:vertAlign w:val="superscript"/>
        </w:rPr>
        <w:footnoteReference w:id="8"/>
      </w:r>
      <w:r>
        <w:rPr>
          <w:rFonts w:ascii="Times New Roman" w:hAnsi="Times New Roman"/>
          <w:noProof/>
          <w:sz w:val="24"/>
        </w:rPr>
        <w:t>. Ως εκ τούτου, για την επίτευξη του ΜΔΣ το 2021 η επόμενη κυβέρνηση που θα σχηματιστεί μετά τις εκλογές του Μαΐου 2019 θα πρέπει να λάβει σημαντικά πρόσθετα μέτρα.</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i/>
          <w:noProof/>
          <w:sz w:val="24"/>
        </w:rPr>
        <w:t>Συμμόρφωση με τη συνιστώμενη προσαρμογή για την επίτευξη του ΜΔΣ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Στις 11 Ιουλίου 2017, το Συμβούλιο συνέστησε στο Βέλγιο να καταβάλει ουσιαστική δημοσιονομική προσπάθεια το 2018, σύμφωνα με τις απαιτήσεις του προληπτικού σκέλους του Συμφώνου Σταθερότητας και Ανάπτυξης, λαμβάνοντας υπόψη την ανάγκη να ενισχυθεί η συνεχιζόμενη ανάκαμψη και να διασφαλιστεί η βιωσιμότητα των δημόσιων οικονομικών του Βελγίου. Σύμφωνα με τον από κοινού συμφωνηθέντα πίνακα προσαρμογής στο πλαίσιο του Συμφώνου Σταθερότητας και Ανάπτυξης, η εν λόγω προσαρμογή μεταφράστηκε σε απαίτηση για ονομαστικό ρυθμό αύξησης των καθαρών πρωτογενών δημόσιων δαπανών που δεν θα υπερέβαινε το 1,6 % το 2018. Θα αντιστοιχούσε σε διαρθρωτική προσαρμογή της τάξης τουλάχιστον του 0,6 % του ΑΕΠ. Ταυτόχρονα, το Συμβούλιο δήλωσε ότι η αξιολόγηση του σχεδίου δημοσιονομικού προγράμματος του 2018 και η επακόλουθη αξιολόγηση των δημοσιονομικών αποτελεσμάτων του 2018 θα έπρεπε να λάβουν δεόντως υπόψη τον στόχο της επίτευξης δημοσιονομικού προσανατολισμού που συμβάλλει τόσο στην ενίσχυση της συνεχιζόμενης ανάκαμψης όσο και στη διασφάλιση της βιωσιμότητας των δημόσιων οικονομικών. Μετά την αξιολόγηση της ισχύος της ανάκαμψης στο Βέλγιο, στην οποία προέβη η Επιτροπή στο πλαίσιο της γνωμοδότησής της σχετικά με το σχέδιο δημοσιονομικού προγράμματος του Βελγίου του 2018, δίνοντας παράλληλα τη δέουσα προσοχή στις προκλήσεις βιωσιμότητας που αντιμετωπίζει η χώρα, το Συμβούλιο σημείωσε στις 13 Ιουλίου 2018 ότι δεν υπήρχαν πρόσθετα στοιχεία που έπρεπε να ληφθούν υπόψη ως προς το ζήτημα αυτό.</w:t>
      </w:r>
    </w:p>
    <w:p>
      <w:pPr>
        <w:spacing w:before="120" w:after="120" w:line="240" w:lineRule="auto"/>
        <w:jc w:val="both"/>
        <w:rPr>
          <w:rFonts w:ascii="Times New Roman" w:hAnsi="Times New Roman" w:cs="Times New Roman"/>
          <w:noProof/>
          <w:sz w:val="24"/>
        </w:rPr>
      </w:pPr>
      <w:r>
        <w:rPr>
          <w:rFonts w:ascii="Times New Roman" w:hAnsi="Times New Roman"/>
          <w:noProof/>
          <w:sz w:val="24"/>
        </w:rPr>
        <w:t>Το 2018, με βάση τα απολογιστικά στοιχεία και τις προβλέψεις της Επιτροπής, η αύξηση των πρωτογενών δημόσιων δαπανών, εκτός των μέτρων διακριτικής ευχέρειας στο σκέλος των εσόδων και των έκτακτων μέτρων, υπερέβη την τιμή αναφοράς για τις δαπάνες, με αποτέλεσμα να δημιουργηθεί διαφορά της τάξης του 0,7 % του ΑΕΠ, γεγονός που υποδηλώνει σημαντική απόκλιση. Το διαρθρωτικό ισοζύγιο εκτιμάται ότι παρέμεινε σταθερό το 2018, με αποτέλεσμα να προκύψει διαφορά της τάξης του 0,6 % του ΑΕΠ σε σύγκριση με τη συνιστώμενη προσπάθεια, γεγονός που υποδηλώνει επίσης σημαντική απόκλιση.</w:t>
      </w:r>
    </w:p>
    <w:p>
      <w:pPr>
        <w:spacing w:before="120" w:after="120" w:line="240" w:lineRule="auto"/>
        <w:jc w:val="both"/>
        <w:rPr>
          <w:rFonts w:ascii="Times New Roman" w:hAnsi="Times New Roman" w:cs="Times New Roman"/>
          <w:noProof/>
          <w:sz w:val="24"/>
        </w:rPr>
      </w:pPr>
      <w:r>
        <w:rPr>
          <w:rFonts w:ascii="Times New Roman" w:hAnsi="Times New Roman"/>
          <w:noProof/>
          <w:sz w:val="24"/>
        </w:rPr>
        <w:t>Ωστόσο, εξακολουθούν να υπάρχουν αβεβαιότητες, οι οποίες εντούτοις μειώνονται, όσον αφορά την αντιμετώπιση της σημαντικής αύξησης των προκαταβολών φόρου εισοδήματος εταιρειών που εισπράχθηκαν το 2017 και το 2018 (περίπου ½ % του ΑΕΠ ετησίως). Αυτή η αύξηση των εσόδων οφείλεται κυρίως στην εισαγωγή, σε δύο φάσεις, το 2017 και το 2018, σημαντικά υψηλότερων προσαυξήσεων για τη μη πληρωμή προκαταβολών φόρου.  Με το μέτρο αυτό θεσπίζεται μόνιμη αλλαγή της χρονικής στιγμής είσπραξης των περιοδικών εσόδων, καθώς η είσπραξη των φόρων μετατοπίζεται, τουλάχιστον εν μέρει, από τον εκ των υστέρων φορολογικό διακανονισμό στις προκαταβολές φόρου, και, ως εκ τούτου, δημιουργείται έκτακτη και προσωρινή κορύφωση των φορολογικών εσόδων το 2017 και το 2018. Σύμφωνα με το βασικό σενάριο των εαρινών προβλέψεων του 2019 και με βάση την ίδια μεθοδολογία που χρησιμοποιήθηκε το προηγούμενο έτος, η Επιτροπή έκρινε ότι τυχόν εισπραχθέντες φόροι που υπερβαίνουν την τάση έπρεπε να θεωρηθούν ως εφάπαξ, προσωρινά έσοδα, τα οποία τελικά θα αντισταθμίζονταν από τα χαμηλότερα έσοδα του φορολογικού διακανονισμού, αρχής γενομένης από το 2019.  Σύμφωνα με άλλες αναλύσεις, όπως αυτή της Εθνικής Τράπεζας του Βελγίου, το ποσοστό της αύξησης των εσόδων από τον φόρο εισοδήματος εταιρειών το 2017 και το 2018 που θεωρείται προσωρινό είναι υψηλότερο, ενώ η κυβέρνηση εκτιμά ότι το διαρθρωτικό ποσοστό της αύξησης είναι υψηλότερο. Ωστόσο, ακόμη και αφού ληφθούν υπόψη οι εν λόγω αβεβαιότητες και εάν θεωρηθεί διαρθρωτική ολόκληρη η αύξηση τόσο το 2017 όσο και το 2018, φαίνεται να υπάρχει σημαντική απόκλιση το 2017 και το 2018 λαμβανόμενα από κοινού. Ταυτόχρονα, η υπέρβαση του ορίου του 0,25 % του ΑΕΠ που συνιστά σημαντική απόκλιση φαίνεται να είναι πολύ μικρή εάν ληφθούν υπόψη οι εν λόγω αβεβαιότητες. Δεδομένης της αβεβαιότητας που περιβάλλει τα στοιχεία αυτά, η Επιτροπή αναγνωρίζει ότι δεν πρέπει να απορρίπτονται οι πιθανότητες ευνοϊκότερων ή δυσμενέστερων αποτελεσμάτων, και ότι μια σταθερή εκτίμηση του μόνιμου αντικτύπου θα είναι μετρήσιμη μόνο μετά την πάροδο ορισμένου χρονικού διαστήματος, ενώ τα απολογιστικά στοιχεία για τον φόρο εισοδήματος εταιρειών για το 2019 θα δώσουν την πρώτη σαφή ένδειξη του εύρους του αντικτύπου.</w:t>
      </w:r>
    </w:p>
    <w:p>
      <w:pPr>
        <w:spacing w:before="120" w:after="120" w:line="240" w:lineRule="auto"/>
        <w:jc w:val="both"/>
        <w:rPr>
          <w:rFonts w:ascii="Times New Roman" w:hAnsi="Times New Roman"/>
          <w:noProof/>
          <w:sz w:val="24"/>
        </w:rPr>
      </w:pPr>
      <w:r>
        <w:rPr>
          <w:rFonts w:ascii="Times New Roman" w:hAnsi="Times New Roman"/>
          <w:noProof/>
          <w:sz w:val="24"/>
        </w:rPr>
        <w:t>Εάν τα έτη 2017 και 2018 εξεταστούν από κοινού, προκύπτει διαφορά μεταξύ της τιμής αναφοράς για τις δαπάνες και του διαρθρωτικού ισοζυγίου, η οποία οφείλεται στις διαφορετικές ενδείξεις για το 2017. Όσον αφορά την τιμή αναφοράς για τις δαπάνες, παρατηρείται διαφορά ύψους 0,6 % του ΑΕΠ, η οποία υποδηλώνει σημαντική απόκλιση. Όσον αφορά την προσπάθεια στο διαρθρωτικό ισοζύγιο, υπάρχει διαφορά ύψους 0,1 % του ΑΕΠ, η οποία υποδηλώνει κάποια απόκλιση. Το συμπέρασμα της εξέτασης των ετών 2017 και 2018 από κοινού βασίζεται στις επιμέρους τιμές για το 2018 και το 2017. Οι πρώτες εξετάστηκαν ήδη ανωτέρω. Το 2017 η αύξηση των πρωτογενών δημόσιων δαπανών στο Βέλγιο, εκτός των μέτρων διακριτικής ευχέρειας στο σκέλος των εσόδων και των έκτακτων μέτρων, υπερέβη την τιμή αναφοράς για τις δαπάνες κατά περίπου 0,5 % του ΑΕΠ. Από την άλλη πλευρά, το διαρθρωτικό ισοζύγιο του Βελγίου βελτιώθηκε κατά περισσότερο από 0,8 % του ΑΕΠ, υπερβαίνοντας τη διαρθρωτική προσαρμογή —διορθωμένη ώστε να ληφθεί υπόψη ο αντίκτυπος ασυνήθων περιστάσεων— ύψους τουλάχιστον 0,58 % του ΑΕΠ που συνέστησε το Συμβούλιο για το εν λόγω έτος. Επομένως, με βάση τον πυλώνα του διαρθρωτικού ισοζυγίου, σημειώθηκε θετική απόκλιση της τάξης του 0,3 % του ΑΕΠ. Για να εξηγηθεί η διαφορά περίπου 0,7 % του ΑΕΠ που προκύπτει μεταξύ των δύο πυλώνων του προληπτικού σκέλους το 2017 απαιτείται συνολική αξιολόγηση, στην οποία πρέπει να ληφθούν υπόψη οι ακόλουθοι παράγοντες:</w:t>
      </w:r>
    </w:p>
    <w:p>
      <w:pPr>
        <w:pStyle w:val="ListParagraph"/>
        <w:numPr>
          <w:ilvl w:val="0"/>
          <w:numId w:val="36"/>
        </w:numPr>
        <w:spacing w:before="120" w:after="120"/>
        <w:jc w:val="both"/>
        <w:rPr>
          <w:rFonts w:eastAsia="Times New Roman"/>
          <w:noProof/>
        </w:rPr>
      </w:pPr>
      <w:r>
        <w:rPr>
          <w:noProof/>
        </w:rPr>
        <w:t>Ο θετικός αντίκτυπος της χαμηλότερης μεταβολής των δαπανών για τόκους στο διαρθρωτικό ισοζύγιο (0,3 ε.μ. του ΑΕΠ), η οποία συμβάλλει στη βελτίωση της τιμής της δημοσιονομικής προσπάθειας με βάση το διαρθρωτικό ισοζύγιο, αλλά δεν επηρεάζει τη συμμόρφωση με την τιμή αναφοράς για τις δαπάνες. Η τελευταία θεωρείται ότι αντικατοπτρίζει καλύτερα την υποκείμενη δημοσιονομική προσπάθεια.</w:t>
      </w:r>
    </w:p>
    <w:p>
      <w:pPr>
        <w:pStyle w:val="ListParagraph"/>
        <w:numPr>
          <w:ilvl w:val="0"/>
          <w:numId w:val="36"/>
        </w:numPr>
        <w:spacing w:before="120" w:after="120"/>
        <w:jc w:val="both"/>
        <w:rPr>
          <w:rFonts w:eastAsia="Times New Roman"/>
          <w:noProof/>
        </w:rPr>
      </w:pPr>
      <w:r>
        <w:rPr>
          <w:noProof/>
        </w:rPr>
        <w:t>Ο αρνητικός αντίκτυπος του υψηλότερου πληθωρισμού (αποπληθωριστής ΑΕΠ 1,9 %) σε σύγκριση με τον αναμενόμενο πληθωρισμό (πρόβλεψη για αποπληθωριστή ΑΕΠ 1,5 %) στην τιμή αναφοράς για τις δαπάνες σε σύγκριση με το διαρθρωτικό ισοζύγιο (0,1 ε.μ. του ΑΕΠ). Οι κοινωνικές παροχές και οι μισθοί του δημόσιου τομέα αναπροσαρμόζονται τιμαριθμικά με βάση τον πραγματικό και όχι τον αναμενόμενο πληθωρισμό. Ωστόσο, ο υψηλότερος πληθωρισμός έχει επίσης θετικό αντίκτυπο στα φορολογικά έσοδα. Η τιμή αναφοράς για τις δαπάνες αποτυπώνει μόνο τον πρώτο, αρνητικό, αντίκτυπο και, ως εκ τούτου, υποτιμά τη συνολική δημοσιονομική θέση.</w:t>
      </w:r>
    </w:p>
    <w:p>
      <w:pPr>
        <w:pStyle w:val="ListParagraph"/>
        <w:numPr>
          <w:ilvl w:val="0"/>
          <w:numId w:val="36"/>
        </w:numPr>
        <w:spacing w:before="120" w:after="120"/>
        <w:jc w:val="both"/>
        <w:rPr>
          <w:rFonts w:eastAsia="Times New Roman"/>
          <w:noProof/>
        </w:rPr>
      </w:pPr>
      <w:r>
        <w:rPr>
          <w:noProof/>
        </w:rPr>
        <w:t>Τα έκτακτα έσοδα, τα οποία επηρεάζουν θετικά το διαρθρωτικό ισοζύγιο, αλλά όχι τον πυλώνα των δαπανών. Από αυτή την άποψη, το 2017 αποτέλεσε την κορυφή του κύκλου οικονομικής δραστηριότητας στο Βέλγιο. Ως εκ τούτου, προέκυψαν έκτακτα έσοδα (που αντιστοιχούν περίπου στο 0,1 % του ΑΕΠ) κυρίως λόγω της αύξησης των εσόδων των άμεσων και έμμεσων φόρων που υπερβαίνει τις τυπικές ελαστικότητες.</w:t>
      </w:r>
    </w:p>
    <w:p>
      <w:pPr>
        <w:pStyle w:val="ListParagraph"/>
        <w:numPr>
          <w:ilvl w:val="0"/>
          <w:numId w:val="36"/>
        </w:numPr>
        <w:spacing w:before="120" w:after="120"/>
        <w:jc w:val="both"/>
        <w:rPr>
          <w:rFonts w:eastAsia="Times New Roman"/>
          <w:noProof/>
        </w:rPr>
      </w:pPr>
      <w:r>
        <w:rPr>
          <w:noProof/>
        </w:rPr>
        <w:t>Τέλος, οι εναπομένουσες αβεβαιότητες όσον αφορά την αντιμετώπιση της σημαντικής αύξησης των πληρωμών φόρου εισοδήματος εταιρειών που εισπράχθηκαν το 2017 και το 2018 (περίπου 0,5 % το 2017 και 0,7 % του ΑΕΠ το 2018). Το 2017 θεσπίστηκαν υψηλότερες προσαυξήσεις για τη μη πληρωμή προκαταβολών φόρου. Έτσι προκύπτει μόνιμη αλλαγή της χρονικής στιγμής είσπραξης των περιοδικών εσόδων, καθώς η είσπραξη των φόρων μετατοπίζεται, τουλάχιστον εν μέρει, από τον εκ των υστέρων φορολογικό διακανονισμό στις προκαταβολές φόρου, με αποτέλεσμα να δημιουργείται έκτακτη και προσωρινή κορύφωση των φορολογικών εσόδων. Εν προκειμένω, στην έκθεση του Μαΐου 2018 βάσει του άρθρου 126  παράγραφος 3, η Επιτροπή διατύπωσε επιφύλαξη σχετικά με τη φύση της αύξησης των φόρων εισοδήματος εταιρειών που παρατηρήθηκε. Στις εαρινές προβλέψεις του 2019, η Επιτροπή θεωρεί ότι το 2017 και το 2018 σημειώθηκε έκτακτη αύξηση των εσόδων ύψους 0,5 % του ΑΕΠ, η οποία θα αντισταθμιστεί τελικά από τα χαμηλότερα έσοδα του φορολογικού διακανονισμού τα επόμενα έτη. Από το 2018 έχει σημειωθεί πρόσθετη διαρθρωτική αύξηση της τάξης του 0,2 % του ΑΕΠ στην είσπραξη των φόρων.</w:t>
      </w:r>
    </w:p>
    <w:p>
      <w:pPr>
        <w:pStyle w:val="ListParagraph"/>
        <w:spacing w:before="120" w:after="120"/>
        <w:jc w:val="both"/>
        <w:rPr>
          <w:rFonts w:eastAsia="Times New Roman"/>
          <w:noProof/>
        </w:rPr>
      </w:pPr>
      <w:r>
        <w:rPr>
          <w:noProof/>
        </w:rPr>
        <w:t>Από αυτή την άποψη, το ποσοστό των εσόδων από τον φόρο εισοδήματος των εταιρειών που θεωρείται διαρθρωτικό στο πρόγραμμα σταθερότητας του 2019 είναι υψηλότερο. Η Επιτροπή αναγνωρίζει ότι το ενδεχόμενο αυτό εξακολουθεί να υπάρχει. Η εκ των υστέρων αναθεώρηση προς τα πάνω των μόνιμων επιπτώσεων του μέτρου θα βελτίωνε την αξιολόγηση της υποκείμενης δημοσιονομικής θέσης. Ως εκ τούτου, ο σχετικά συντηρητικός προσανατολισμός των εαρινών προβλέψεων της Επιτροπής του 2019 αποτελεί σχετικό παράγοντα που πρέπει να ληφθεί υπόψη στη συνολική αξιολόγηση, δεδομένου του ύψους των πρόσθετων εσόδων (περίπου 0,5 % του ΑΕΠ το 2017 και 0,7 % του ΑΕΠ το 2018), καθώς και του υψηλού επιπέδου αβεβαιότητας που συνδέεται με αυτά.</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Εν μέσω αυτής της αβεβαιότητας, σύμφωνα και με την ανάλυση του προηγούμενου έτους, στο πλαίσιο της παρούσας έκθεσης, αυτός ο κρίσιμος παράγοντας για τη συνολική αξιολόγηση, δεδομένου τόσο του ύψους των πρόσθετων εσόδων όσο και του υψηλού επιπέδου αβεβαιότητας όσον αφορά την έκταση του προσωρινού χαρακτήρα τους, καθιστά δύσκολη τη συναγωγή συμπεράσματος σχετικά με τη σημασία της απόκλισης από την πορεία προσαρμογής για την επίτευξη του ΜΔΣ το 2018, καθώς και το 2017 και το 2018 λαμβανόμενα από κοινού.</w:t>
      </w:r>
    </w:p>
    <w:p>
      <w:pPr>
        <w:spacing w:before="120" w:after="120" w:line="240" w:lineRule="auto"/>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Το σχέδιο δημοσιονομικού προγράμματος του Βελγίου του 2019 συνοδευόταν από επίσημο αίτημα για χρήση της διαθέσιμης ευελιξίας στο πλαίσιο του προληπτικού σκέλους σύμφωνα με την «από κοινού συμφωνηθείσα θέση σχετικά με την ευελιξία στο πλαίσιο του Συμφώνου Σταθερότητας και Ανάπτυξης» που εγκρίθηκε από το Συμβούλιο Οικονομικών και Δημοσιονομικών Θεμάτων (ECOFIN) τον Φεβρουάριο του 2016. Το Βέλγιο ζήτησε προσωρινή απόκλιση από την πορεία προσαρμογής για την επίτευξη του ΜΔΣ ενόψει της υλοποίησης μειζόνων διαρθρωτικών μεταρρυθμίσεων με θετική επίπτωση στη μακροπρόθεσμη βιωσιμότητα των δημόσιων οικονομικών. Όλα τα σχετικά μέρη έχουν ήδη νομοθετηθεί, και στο πρόγραμμα σταθερότητας του 2019 παρέχεται λεπτομερές και αξιόπιστο χρονοδιάγραμμα εφαρμογής τους. Το αίτημα για ευελιξία λόγω διαρθρωτικών μεταρρυθμίσεων αφορά τη μεταρρύθμιση του συνταξιοδοτικού συστήματος, τη «μετατόπιση της φορολογίας», τη μεταρρύθμιση της φορολόγησης του εισοδήματος των εταιρειών, τη μεταρρύθμιση της αγοράς εργασίας, καθώς και τη μεταρρύθμιση της δημόσιας διοίκησης. Καθώς το αίτημα για προσωρινή απόκλιση θα πρέπει να υποβάλλεται το έτος πριν από την εφαρμογή της ρήτρας, η Επιτροπή εξέτασε κατά πόσον πληρούνται τα κριτήρια επιλεξιμότητας για τη ρήτρα διαρθρωτικών μεταρρυθμίσεων το 2019. Η Επιτροπή, στις εαρινές προβλέψεις του 2019, αναφέρει ότι το Βέλγιο θα συνεχίσει να τηρεί την ελάχιστη τιμή αναφοράς το 2019, γεγονός το οποίο παρέχει ένα περιθώριο ασφαλείας έναντι του ορίου ελλείμματος 3 % του ΑΕΠ. Σε αυτή τη βάση, η Επιτροπή κρίνει ότι το Βέλγιο πληροί τις προϋποθέσεις για την αιτούμενη προσωρινή απόκλιση ύψους 0,5 % του ΑΕΠ το 2019 για διαρθρωτικές μεταρρυθμίσεις. Επομένως, λαμβανομένης υπόψη της εν λόγω ευελιξίας, το Βέλγιο αναμένεται να επιδιώξει ετήσια διαρθρωτική προσαρμογή ίση με 0,1 % του ΑΕΠ για την επίτευξη του ΜΔΣ το 2019, η οποία αντιστοιχεί σε ονομαστικό ρυθμό αύξησης των καθαρών πρωτογενών δημόσιων δαπανών που δεν υπερβαίνει το 2,8 %.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Για το 2019, στις εαρινές προβλέψεις της Επιτροπής προβλέπεται ρυθμός αύξησης των δαπανών που υπερβαίνει την τιμή αναφοράς κατά 0,4 % του ΑΕΠ, γεγονός που υποδηλώνει κάποια απόκλιση. Αντίστοιχα, προβλέπεται ότι το διαρθρωτικό ισοζύγιο θα παραμείνει σταθερό, γεγονός που υποδηλώνει κάποια απόκλιση (-0,1 % του ΑΕΠ) από τη συνιστώμενη διαρθρωτική προσαρμογή. Το 2018 και το 2019 λαμβανόμενα από κοινού, η τιμή αναφοράς για τις δαπάνες υποδηλώνει κίνδυνο σημαντικής απόκλισης, με μέση απόκλιση 0,6 % του ΑΕΠ. Η προβλεπόμενη μέση απόκλιση όσον αφορά το διαρθρωτικό ισοζύγιο κατά την ίδια περίοδο ανέρχεται σε -0,3 % του ΑΕΠ σύμφωνα με την πρόβλεψη της Επιτροπής, γεγονός που υποδεικνύει επίσης κίνδυνο σημαντικής απόκλισης. Επομένως, από τη συνολική αξιολόγηση επιβεβαιώνεται ο κίνδυνος σημαντικής απόκλισης για τα έτη 2018 και 2019 από κοινού.</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Το 2020 το Βέλγιο υποχρεούται να επιδιώξει ετήσια διαρθρωτική προσαρμογή για την επίτευξη του ΜΔΣ η οποία μεταφράζεται σε ονομαστικό ρυθμό αύξησης των καθαρών πρωτογενών δημόσιων δαπανών που δεν υπερβαίνει το 1,6 %, ποσοστό που αντιστοιχεί σε διαρθρωτική προσαρμογή της τάξης του 0,6 % του ΑΕΠ. Σύμφωνα με τις εαρινές προβλέψεις της Επιτροπής του 2019, η αύξηση των ονομαστικών πρωτογενών δημόσιων δαπανών το 2020, εκτός των μέτρων διακριτικής ευχέρειας στο σκέλος των εσόδων και των έκτακτων μέτρων, αναμένεται να υπερβεί την εφαρμοστέα τιμή αναφοράς για τις δαπάνες κατά 1,3 % του ΑΕΠ, γεγονός που υποδεικνύει κίνδυνο σημαντικής απόκλισης. Το διαρθρωτικό ισοζύγιο αναμένεται να επιδεινωθεί κατά 0,3 εκατοστιαίες μονάδες του ΑΕΠ το 2020, γεγονός που υποδεικνύει επίσης κίνδυνο σημαντικής απόκλισης κατά 0,9 % του ΑΕΠ. </w:t>
      </w:r>
    </w:p>
    <w:p>
      <w:pPr>
        <w:spacing w:before="120" w:after="240" w:line="240" w:lineRule="auto"/>
        <w:jc w:val="both"/>
        <w:rPr>
          <w:rFonts w:ascii="Times New Roman" w:eastAsia="Times New Roman" w:hAnsi="Times New Roman" w:cs="Times New Roman"/>
          <w:noProof/>
          <w:sz w:val="24"/>
        </w:rPr>
      </w:pPr>
      <w:r>
        <w:rPr>
          <w:rFonts w:ascii="Times New Roman" w:hAnsi="Times New Roman"/>
          <w:noProof/>
          <w:sz w:val="24"/>
        </w:rPr>
        <w:t>Κατόπιν συνολικής αξιολόγησης, επί του παρόντος αναμένεται σημαντική απόκλιση από την πορεία προσαρμογής για την επίτευξη του ΜΔΣ το 2019 και το 2020, η οποία θέτει σε κίνδυνο τη συμμόρφωση με τις απαιτήσεις του προληπτικού σκέλους του Συμφώνου.</w:t>
      </w:r>
    </w:p>
    <w:tbl>
      <w:tblPr>
        <w:tblStyle w:val="TableGrid"/>
        <w:tblW w:w="0" w:type="auto"/>
        <w:tblInd w:w="108" w:type="dxa"/>
        <w:tblCellMar>
          <w:left w:w="108" w:type="dxa"/>
          <w:right w:w="108" w:type="dxa"/>
        </w:tblCellMar>
        <w:tblLook w:val="04A0" w:firstRow="1" w:lastRow="0" w:firstColumn="1" w:lastColumn="0" w:noHBand="0" w:noVBand="1"/>
      </w:tblPr>
      <w:tblGrid>
        <w:gridCol w:w="9134"/>
      </w:tblGrid>
      <w:tr>
        <w:tc>
          <w:tcPr>
            <w:tcW w:w="9134" w:type="dxa"/>
          </w:tcPr>
          <w:p>
            <w:pPr>
              <w:spacing w:before="120" w:after="120"/>
              <w:jc w:val="center"/>
              <w:rPr>
                <w:b/>
                <w:noProof/>
              </w:rPr>
            </w:pPr>
            <w:r>
              <w:rPr>
                <w:rFonts w:ascii="Times New Roman" w:hAnsi="Times New Roman"/>
                <w:b/>
                <w:noProof/>
                <w:sz w:val="24"/>
              </w:rPr>
              <w:t>Πλαίσιο 1: ευελιξία στο πλαίσιο του προληπτικού σκέλους</w:t>
            </w:r>
          </w:p>
          <w:p>
            <w:pPr>
              <w:spacing w:before="120" w:after="120"/>
              <w:jc w:val="both"/>
              <w:rPr>
                <w:rFonts w:ascii="Times New Roman" w:hAnsi="Times New Roman"/>
                <w:noProof/>
                <w:sz w:val="24"/>
                <w:szCs w:val="24"/>
              </w:rPr>
            </w:pPr>
            <w:r>
              <w:rPr>
                <w:rFonts w:ascii="Times New Roman" w:hAnsi="Times New Roman"/>
                <w:noProof/>
                <w:sz w:val="24"/>
              </w:rPr>
              <w:t xml:space="preserve">Στο πλαίσιο της δημοσιονομικής εποπτείας που πραγματοποιήθηκε από την Επιτροπή τα τελευταία έτη, το Βέλγιο έχει επωφεληθεί από τις ρήτρες ευελιξίας και τα περιθώρια ανοχής που προβλέπονται στο Σύμφωνο Σταθερότητας και Ανάπτυξης (ΣΣΑ). Ο κανονισμός (ΕΚ) αριθ. 1466/97 προβλέπει το ενδεχόμενο πρόσθετων δαπανών αν αυτές αποτελούν ασυνήθη περίσταση, ο αντίκτυπος στα δημόσια οικονομικά είναι σημαντικός και δεν θα διακυβευόταν η βιωσιμότητα αν επιτρεπόταν προσωρινή απόκλιση από την πορεία προσαρμογής για την επίτευξη του ΜΔΣ. Στο πλαίσιο αυτό, κατά την περίοδο 2015-2017 το Βέλγιο επωφελήθηκε από συνολικό περιθώριο ανοχής ύψους περίπου 763 εκατ. EUR, ήτοι 0,18 % του ΑΕΠ. Η ευελιξία που παραχωρήθηκε στο Βέλγιο αποτέλεσε σημαντικό παράγοντα για τη διασφάλιση της (ευρείας) συμμόρφωσής του με το προληπτικό σκέλος του ΣΣΑ βάσει των απολογιστικών στοιχείων, ιδίως για τα έτη 2015, 2016 και 2017. Η συμμόρφωση με το προληπτικό σκέλος θεωρήθηκε επίσης από την Επιτροπή ως βασικός ελαφρυντικός παράγοντας για τη μη ενεργοποίηση της διαδικασίας υπερβολικού ελλείμματος παρά τη μη συμμόρφωση της χώρας, εκ πρώτης όψεως, με την τιμή αναφοράς για τη μείωση του χρέους. </w:t>
            </w:r>
          </w:p>
          <w:p>
            <w:pPr>
              <w:spacing w:before="120" w:after="120"/>
              <w:jc w:val="both"/>
              <w:rPr>
                <w:rFonts w:ascii="Times New Roman" w:hAnsi="Times New Roman"/>
                <w:noProof/>
                <w:sz w:val="24"/>
                <w:szCs w:val="24"/>
              </w:rPr>
            </w:pPr>
            <w:r>
              <w:rPr>
                <w:rFonts w:ascii="Times New Roman" w:hAnsi="Times New Roman"/>
                <w:noProof/>
                <w:sz w:val="24"/>
              </w:rPr>
              <w:t>Το 2015, παραχωρήθηκε στο Βέλγιο ευελιξία 0,03 % του ΑΕΠ για πρόσθετες δαπάνες που σχετίζονταν με την έκτακτη εισροή προσφύγων.</w:t>
            </w:r>
          </w:p>
          <w:p>
            <w:pPr>
              <w:spacing w:before="120" w:after="120"/>
              <w:jc w:val="both"/>
              <w:rPr>
                <w:rFonts w:ascii="Times New Roman" w:hAnsi="Times New Roman"/>
                <w:noProof/>
                <w:sz w:val="24"/>
                <w:szCs w:val="24"/>
              </w:rPr>
            </w:pPr>
            <w:r>
              <w:rPr>
                <w:rFonts w:ascii="Times New Roman" w:hAnsi="Times New Roman"/>
                <w:noProof/>
                <w:sz w:val="24"/>
              </w:rPr>
              <w:t>Όσον αφορά το 2016, η ευελιξία που παραχωρήθηκε στο Βέλγιο ανήλθε σε 0,13 % του ΑΕΠ, ενώ οι επιλέξιμες πρόσθετες δαπάνες ανήλθαν σε 0,08 % του ΑΕΠ για την έκτακτη εισροή προσφύγων και σε 0,05 % του ΑΕΠ για μέτρα ασφαλείας λόγω της σοβαρότητας της τρομοκρατικής απειλής.</w:t>
            </w:r>
          </w:p>
          <w:p>
            <w:pPr>
              <w:spacing w:before="120" w:after="120"/>
              <w:jc w:val="both"/>
              <w:rPr>
                <w:rFonts w:ascii="Times New Roman" w:hAnsi="Times New Roman"/>
                <w:noProof/>
                <w:sz w:val="24"/>
                <w:szCs w:val="24"/>
              </w:rPr>
            </w:pPr>
            <w:r>
              <w:rPr>
                <w:rFonts w:ascii="Times New Roman" w:hAnsi="Times New Roman"/>
                <w:noProof/>
                <w:sz w:val="24"/>
              </w:rPr>
              <w:t>Όσον αφορά το 2017, η ευελιξία που παραχωρήθηκε στο Βέλγιο ανήλθε σε 0,02 % του ΑΕΠ για μέτρα ασφαλείας.</w:t>
            </w:r>
          </w:p>
          <w:p>
            <w:pPr>
              <w:spacing w:before="120" w:after="120"/>
              <w:jc w:val="both"/>
              <w:rPr>
                <w:rFonts w:ascii="Times New Roman" w:hAnsi="Times New Roman"/>
                <w:noProof/>
                <w:sz w:val="24"/>
                <w:szCs w:val="24"/>
              </w:rPr>
            </w:pPr>
            <w:r>
              <w:rPr>
                <w:rFonts w:ascii="Times New Roman" w:hAnsi="Times New Roman"/>
                <w:noProof/>
                <w:sz w:val="24"/>
              </w:rPr>
              <w:t>Σχετικά με το 2019, η Επιτροπή εκτίμησε ότι το Βέλγιο πληροί τις προϋποθέσεις για προσωρινή απόκλιση ίση με 0,5 % του ΑΕΠ από την πορεία προσαρμογής για την επίτευξη του ΜΔΣ, ενόψει της εφαρμογής μειζόνων διαρθρωτικών μεταρρυθμίσεων με θετικό αντίκτυπο στη μακροπρόθεσμη βιωσιμότητα των δημόσιων οικονομικών («ρήτρα διαρθρωτικών μεταρρυθμίσεων»).</w:t>
            </w:r>
          </w:p>
        </w:tc>
      </w:tr>
    </w:tbl>
    <w:p>
      <w:pPr>
        <w:spacing w:before="120" w:after="120" w:line="240" w:lineRule="auto"/>
        <w:ind w:left="851" w:hanging="851"/>
        <w:jc w:val="both"/>
        <w:rPr>
          <w:rFonts w:ascii="Times New Roman" w:eastAsia="Times New Roman" w:hAnsi="Times New Roman" w:cs="Times New Roman"/>
          <w:b/>
          <w:noProof/>
          <w:sz w:val="24"/>
          <w:szCs w:val="24"/>
        </w:rPr>
      </w:pPr>
      <w:r>
        <w:rPr>
          <w:rFonts w:ascii="Times New Roman" w:hAnsi="Times New Roman"/>
          <w:b/>
          <w:noProof/>
          <w:sz w:val="24"/>
        </w:rPr>
        <w:t>Δημόσιες επενδύσεις</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noProof/>
          <w:sz w:val="24"/>
        </w:rPr>
        <w:t>Εντός του χρονικού ορίζοντα των προβλέψεων, οι δημόσιες επενδύσεις προβλέπεται να παραμείνουν σταθερές στο 2,4 % του ΑΕΠ. Από το 2009 έως το 2016, οι δημόσιες επενδύσεις ήταν χαμηλότερες από το έλλειμμα της γενικής κυβέρνησης. Το 2017, το έλλειμμα της γενικής κυβέρνησης ήταν χαμηλότερο από τον δείκτη των επενδύσεων και παρέμεινε χαμηλότερο έκτοτε.</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noProof/>
          <w:sz w:val="24"/>
        </w:rPr>
        <w:t>Η ομοσπονδιακή κυβέρνηση εφαρμόζει το «εθνικό σύμφωνο για τις στρατηγικές επενδύσεις», στο οποίο προβλέπεται σημαντική αύξηση των επενδύσεων σε υποδομές. Στόχος του είναι να προσδιοριστούν τα εμπόδια για τις ιδιωτικές επενδύσεις και να επιταχυνθούν οι ιδιωτικές επενδύσεις σε βασικούς τομείς με την κινητοποίηση ιδιωτικών (55 %) και δημόσιων (45 %) πόρων. Οι περιφέρειες και οι κοινότητες μπορούν να συμμετάσχουν στην πρωτοβουλία.</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Μεσοπρόθεσμη θέση του δημόσιου χρέους</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Δυναμική του χρέους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Μεταξύ του 1997 και του 2007, ο δείκτης του δημόσιου χρέους ως προς το ΑΕΠ του Βελγίου μειώθηκε κατά 36 ε.μ., χάρη σε σημαντικά (αν και σταδιακά μειούμενα) πρωτογενή πλεονάσματα. Αυτή η τάση συνεχούς μείωσης του χρέους ανακόπηκε από τη χρηματοπιστωτική και οικονομική κρίση του 2008. Στα τέλη του 2007, το χρέος της γενικής κυβέρνησης του Βελγίου ανερχόταν στο 87 % του ΑΕΠ. Το 2014, το χρέος ανήλθε στο 107 % του ΑΕΠ, σημειώνοντας αύξηση 20 ε.μ. έναντι αύξησης 27 ε.μ. στη ζώνη του ευρώ.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Οι κύριοι παράγοντες της αύξησης μεταξύ του 2007 και του 2014 ήταν το ανοδικό αποτέλεσμα χιονοστιβάδας (+10,5 ε.μ.) και οι προσαρμογές αποθεμάτων-ροών (+9,4 ε.μ.), ενώ τα προηγούμενα πρωτογενή πλεονάσματα αποτελούσαν παρελθόν (βλ. διάγραμμα 1). Το αποτέλεσμα χιονοστιβάδας αντικατοπτρίζει τον τρόπο με τον οποίο οι δαπάνες για τόκους υπερέβαιναν γενικά την ονομαστική ανάπτυξη από το 2008. Ωστόσο, στις 1,4 ε.μ. κατά μέσο όρο, ο ετήσιος ανοδικός αντίκτυπος της εν λόγω δυναμικής κατά την περίοδο 2008-2015 ήταν παρόμοιος με εκείνον της περιόδου 1997-2007, καθώς η επίδραση παρονομαστή της χαμηλότερης ονομαστικής ανάπτυξης αντισταθμίστηκε από την επίδραση αριθμητή που απορρέει από τη μείωση των δαπανών για τόκους ως προς το ΑΕΠ. Ο τελευταίος δείκτης συνέχισε να μειώνεται μετά το 2007, καθώς τα συνεχώς μειούμενα επιτόκια αντιστάθμιζαν την αύξηση του δείκτη χρέους. Η περαιτέρω μείωση των δαπανών για τόκους είχε ως αποτέλεσμα, για πρώτη φορά από το 2011, ελαφρά καθοδικό αποτέλεσμα χιονοστιβάδας το 2016.</w:t>
      </w:r>
    </w:p>
    <w:p>
      <w:pPr>
        <w:keepNext/>
        <w:spacing w:before="240" w:after="120" w:line="240" w:lineRule="auto"/>
        <w:rPr>
          <w:rFonts w:ascii="Times New Roman" w:eastAsia="Times New Roman" w:hAnsi="Times New Roman" w:cs="Times New Roman"/>
          <w:b/>
          <w:noProof/>
          <w:sz w:val="24"/>
        </w:rPr>
      </w:pPr>
      <w:r>
        <w:rPr>
          <w:rFonts w:ascii="Times New Roman" w:hAnsi="Times New Roman"/>
          <w:b/>
          <w:noProof/>
          <w:sz w:val="24"/>
        </w:rPr>
        <w:t>Διάγραμμα 1. Παράγοντες που συνετέλεσαν στο «αποτέλεσμα χιονοστιβάδας» στο δημόσιο χρέος</w:t>
      </w:r>
    </w:p>
    <w:p>
      <w:pPr>
        <w:spacing w:before="120" w:after="120" w:line="240" w:lineRule="auto"/>
        <w:jc w:val="center"/>
        <w:rPr>
          <w:rFonts w:ascii="Times New Roman" w:eastAsia="Times New Roman" w:hAnsi="Times New Roman" w:cs="Times New Roman"/>
          <w:noProof/>
          <w:sz w:val="24"/>
        </w:rPr>
      </w:pPr>
      <w:r>
        <w:rPr>
          <w:noProof/>
          <w:lang w:val="en-GB" w:eastAsia="en-GB" w:bidi="ar-SA"/>
        </w:rPr>
        <w:drawing>
          <wp:inline distT="0" distB="0" distL="0" distR="0">
            <wp:extent cx="4707255" cy="3283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7255" cy="3283585"/>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Η σημαντική αύξηση του χρέους λόγω των προσαρμογών αποθεμάτων-ροών σημειώθηκε κυρίως το 2008 και το 2011, όταν το βελγικό κράτος χρειάστηκε να παρέμβει στο χρηματοπιστωτικό σύστημα. Το 2008, οι αρχές παρείχαν στήριξη στη Fortis, την KBC, την Dexia και την Ethias. Το 2011, το βελγικό κράτος απέκτησε την Dexia Belgium, νυν τράπεζα Belfius. Η ανάκτηση μέρους του κόστους διάσωσης του χρηματοπιστωτικού τομέα είχε ως αποτέλεσμα καθοδικές προσαρμογές αποθεμάτων-ροών, οι οποίες αντιστοιχούσαν στο 3,9 % του ΑΕΠ κατά την περίοδο 2012-2017. Οι υπόλοιπες συμμετοχές περιλαμβάνουν μερίδιο 7,8 % στην BNP Paribas, το 100 % της Belfius, το 100 % της ασφαλιστικής Ethias (συμπεριλαμβανομένων των μεριδίων των περιφερειακών και τοπικών αρχών) και το 51,4 % της τράπεζας Dexia. Τα μερίσματα που κατέβαλαν τα χρηματοπιστωτικά ιδρύματα αντιπροσώπευαν περίπου το 0,2 % του ΑΕΠ το 2018.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Από το 2017, η επιτάχυνση των θετικών πρωτογενών πλεονασμάτων έχει καταστεί η κύρια κινητήρια δύναμη πίσω από τη μείωση του δείκτη χρέους. Το γεγονός αυτό υπογραμμίζει ότι η επιστροφή σε σημαντικά πρωτογενή πλεονάσματα αποτελεί προϋπόθεση για να τεθεί το χρέος σε σαφώς πτωτική τροχιά και για να υπάρχει συμμόρφωση με την τιμή αναφοράς για τη μείωση του χρέους.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2018, η αυξητική για το χρέος προσαρμογή αποθεμάτων-ροών της τάξης του 0,5 % του ΑΕΠ αντικατοπτρίζει κυρίως τη διαφορά μεταξύ δεδουλευμένων και καταβληθέντων τόκων.</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Σύμφωνα με τις εαρινές προβλέψεις της Επιτροπής του 2019, ο δείκτης χρέους ως προς το ΑΕΠ θα μειωθεί κατά 0,7 ε.μ. το 2019 στο 101,3 % του ΑΕΠ. Το πρωτογενές πλεόνασμα ύψους 0,8 % του ΑΕΠ και το καθοδικό αποτέλεσμα χιονοστιβάδας ύψους 0,6 % του ΑΕΠ λόγω αύξησης του αποπληθωριστή ΑΕΠ και μείωσης των δαπανών για τόκους αντισταθμίζονται εν μέρει από τις ανοδικές προσαρμογές αποθεμάτων-ροών. Παρόμοια τάση αναμένεται το 2020, όταν το χρέος θα μειωθεί στο 100,7 % του ΑΕΠ με αμετάβλητες πολιτικές.</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Δαπάνες για τόκους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Σύμφωνα με τη γενική τάση στη ζώνη του ευρώ, τα επιτόκια των βελγικών χρεωστικών τίτλων βρίσκονται σε ιστορικά χαμηλά επίπεδα. Η απόδοση του δεκαετούς ομολόγου ανήλθε κατά μέσο όρο σε 0,57 % κατά το πρώτο τρίμηνο του 2019. Η διαφορά απόδοσης ανάμεσα στο βελγικό και το γερμανικό ομόλογο έχει διατηρηθεί σε γενικές γραμμές σταθερή εδώ και αρκετά χρόνια. Ανήλθε κατά μέσο όρο σε 37, 41, 35 και 53 μονάδες βάσης το 2016, το 2017, το 2018 και το πρώτο τρίμηνο του 2019 αντίστοιχα, σε σύγκριση με το μέγιστο των 366 μονάδων βάσης στα τέλη Νοεμβρίου του 2011. Το τεκμαρτό επιτόκιο επί του αποθέματος ανεξόφλητου χρέους μειωνόταν σταθερά τα τελευταία χρόνια, από 4,6 % το 2007 σε 2,4 % το 2018. Προβλέπεται να μειωθεί περαιτέρω στο 2,2 % το 2020.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Βιωσιμότητα του χρέους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Οι βελγικές αρχές αξιοποιούν τις ευνοϊκές συνθήκες της αγοράς για την αναχρηματοδότηση του ανεξόφλητου χρέους με πολύ χαμηλότερα επιτόκια και σημαντικά μεγαλύτερες ληκτότητες. Η μέση ληκτότητα των μακροπρόθεσμων εκδόσεων παρέμεινε σε υψηλό επίπεδο στα 14,8 έτη το 2018 (15,0 έτη το 2017 και 17,5 έτη το 2016) με μέση σταθμισμένη απόδοση 0,95 % (0,9 % το 2017 και 0,8 % το 2016). Ως εκ τούτου, η μέση ληκτότητα του συνολικού ομοσπονδιακού χαρτοφυλακίου χρέους</w:t>
      </w:r>
      <w:r>
        <w:rPr>
          <w:rFonts w:ascii="Times New Roman" w:hAnsi="Times New Roman"/>
          <w:noProof/>
          <w:sz w:val="20"/>
          <w:vertAlign w:val="superscript"/>
        </w:rPr>
        <w:footnoteReference w:id="9"/>
      </w:r>
      <w:r>
        <w:rPr>
          <w:rFonts w:ascii="Times New Roman" w:hAnsi="Times New Roman"/>
          <w:noProof/>
          <w:sz w:val="24"/>
        </w:rPr>
        <w:t xml:space="preserve"> αυξήθηκε σε 9,6 έτη στα τέλη του 2018</w:t>
      </w:r>
      <w:r>
        <w:rPr>
          <w:rFonts w:ascii="Times New Roman" w:hAnsi="Times New Roman"/>
          <w:noProof/>
          <w:sz w:val="20"/>
          <w:vertAlign w:val="superscript"/>
        </w:rPr>
        <w:footnoteReference w:id="10"/>
      </w:r>
      <w:r>
        <w:rPr>
          <w:rFonts w:ascii="Times New Roman" w:hAnsi="Times New Roman"/>
          <w:noProof/>
          <w:sz w:val="24"/>
        </w:rPr>
        <w:t>. Είναι μεγαλύτερη από ποτέ, σε σύγκριση με περίπου 6 έτη έως το 2009 και 8 έτη στα τέλη του 2015</w:t>
      </w:r>
      <w:r>
        <w:rPr>
          <w:rFonts w:ascii="Times New Roman" w:hAnsi="Times New Roman"/>
          <w:noProof/>
          <w:sz w:val="20"/>
          <w:vertAlign w:val="superscript"/>
        </w:rPr>
        <w:footnoteReference w:id="11"/>
      </w:r>
      <w:r>
        <w:rPr>
          <w:rFonts w:ascii="Times New Roman" w:hAnsi="Times New Roman"/>
          <w:noProof/>
          <w:sz w:val="24"/>
        </w:rPr>
        <w:t>. Ο κίνδυνος επανακαθορισμού</w:t>
      </w:r>
      <w:r>
        <w:rPr>
          <w:rFonts w:ascii="Times New Roman" w:hAnsi="Times New Roman"/>
          <w:noProof/>
          <w:sz w:val="20"/>
          <w:vertAlign w:val="superscript"/>
        </w:rPr>
        <w:footnoteReference w:id="12"/>
      </w:r>
      <w:r>
        <w:rPr>
          <w:rFonts w:ascii="Times New Roman" w:hAnsi="Times New Roman"/>
          <w:noProof/>
          <w:sz w:val="24"/>
        </w:rPr>
        <w:t xml:space="preserve"> των επιτοκίων (επιτοκιακός κίνδυνος) του ομοσπονδιακού χρέους σε 12μηνη και 60μηνη βάση μειώθηκε σημαντικά το 2018 σε 16,0 και 40,1 % αντίστοιχα, από 20,3 % και 56,8 % στα τέλη του 2012</w:t>
      </w:r>
      <w:r>
        <w:rPr>
          <w:rFonts w:ascii="Times New Roman" w:hAnsi="Times New Roman"/>
          <w:noProof/>
          <w:sz w:val="20"/>
          <w:vertAlign w:val="superscript"/>
        </w:rPr>
        <w:footnoteReference w:id="13"/>
      </w:r>
      <w:r>
        <w:rPr>
          <w:rFonts w:ascii="Times New Roman" w:hAnsi="Times New Roman"/>
          <w:noProof/>
          <w:sz w:val="24"/>
        </w:rPr>
        <w:t>. Επί του παρόντος, το Βέλγιο δεν φαίνεται να αντιμετωπίζει κίνδυνο χρηματοοικονομικών πιέσεων βραχυπρόθεσμα. Εάν τα επιτόκια αρχίσουν να αυξάνονται, το υψηλό επίπεδο χρέους συνεπάγεται σημαντική αύξηση των δαπανών για τόκους με την πάροδο του χρόνου, αν και η υψηλή μέση ληκτότητα σημαίνει ότι η αύξηση αυτή θα επέλθει σταδιακά.</w:t>
      </w:r>
    </w:p>
    <w:p>
      <w:pPr>
        <w:spacing w:before="360" w:after="120" w:line="240" w:lineRule="auto"/>
        <w:jc w:val="both"/>
        <w:rPr>
          <w:rFonts w:ascii="Times New Roman" w:eastAsia="Times New Roman" w:hAnsi="Times New Roman" w:cs="Times New Roman"/>
          <w:b/>
          <w:noProof/>
          <w:sz w:val="24"/>
        </w:rPr>
      </w:pPr>
      <w:r>
        <w:rPr>
          <w:rFonts w:ascii="Times New Roman" w:hAnsi="Times New Roman"/>
          <w:b/>
          <w:noProof/>
          <w:sz w:val="24"/>
        </w:rPr>
        <w:t>Διάγραμμα 2: Προβολές του χρέους στα διαδοχικά προγράμματα σταθερότητας (% του ΑΕΠ)</w:t>
      </w:r>
    </w:p>
    <w:p>
      <w:pPr>
        <w:spacing w:before="120" w:after="360" w:line="240" w:lineRule="auto"/>
        <w:jc w:val="center"/>
        <w:rPr>
          <w:rFonts w:ascii="Times New Roman" w:eastAsia="Times New Roman" w:hAnsi="Times New Roman" w:cs="Times New Roman"/>
          <w:b/>
          <w:noProof/>
          <w:sz w:val="24"/>
        </w:rPr>
      </w:pPr>
      <w:r>
        <w:rPr>
          <w:noProof/>
          <w:lang w:val="en-GB" w:eastAsia="en-GB" w:bidi="ar-SA"/>
        </w:rPr>
        <w:drawing>
          <wp:inline distT="0" distB="0" distL="0" distR="0">
            <wp:extent cx="4357314" cy="315046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7314" cy="3150464"/>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ευαισθησία σε ενδεχόμενους κλυδωνισμούς της ονομαστικής ανάπτυξης και των επιτοκίων, καθώς και το μη ευνοϊκό σημείο εκκίνησης έχουν ως αποτέλεσμα υψηλούς κινδύνους για τη βιωσιμότητα μεσοπρόθεσμα. Με αμετάβλητες πολιτικές, το επίπεδο χρέους προβλέπεται να αυξηθεί και να κορυφωθεί στο 103,4 % του ΑΕΠ το 2029</w:t>
      </w:r>
      <w:r>
        <w:rPr>
          <w:rFonts w:ascii="Times New Roman" w:hAnsi="Times New Roman"/>
          <w:noProof/>
          <w:sz w:val="20"/>
          <w:vertAlign w:val="superscript"/>
        </w:rPr>
        <w:footnoteReference w:id="14"/>
      </w:r>
      <w:r>
        <w:rPr>
          <w:rFonts w:ascii="Times New Roman" w:hAnsi="Times New Roman"/>
          <w:noProof/>
          <w:sz w:val="24"/>
        </w:rPr>
        <w:t>, παραμένοντας έτσι πολύ πάνω από το όριο του 60 % του ΑΕΠ που προβλέπει η Συνθήκη. Η πλήρης εφαρμογή του προγράμματος σταθερότητας αναμένεται να θέσει το χρέος σε καθοδική πορεία έως το 2029, αν και θα παραμείνει πάνω από την τιμή αναφοράς του 60 % του ΑΕΠ το 2029. Ωστόσο, η δημοσιονομική προσπάθεια που απαιτείται για την επίτευξη του ΜΔΣ είναι σημαντική, δεδομένου ότι το διαρθρωτικό έλλειμμα εκτιμάται σε 1,4 % του ΑΕΠ το 2019 με αμετάβλητες πολιτικές.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Τέλος, η βιωσιμότητα του δημόσιου χρέους καθορίζεται επίσης από το αναπτυξιακό δυναμικό της οικονομίας. Όπως περιγράφεται ανωτέρω, η σταδιακή πτώση της αύξησης της συνολικής παραγωγικότητας των συντελεστών παραγωγής από τις αρχές της δεκαετίας του 1990 έχει μειώσει τη δυνητική ανάπτυξη. Υπογραμμίζεται η σημασία της εφαρμογής διαρθρωτικών μεταρρυθμίσεων για την τόνωση της δυνητικής ανάπτυξης. Η πρόοδος όσον αφορά τις μεταρρυθμίσεις εξετάζεται στο τμήμα 4.3.</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4.3.</w:t>
      </w:r>
      <w:r>
        <w:rPr>
          <w:noProof/>
        </w:rPr>
        <w:tab/>
      </w:r>
      <w:r>
        <w:rPr>
          <w:rFonts w:ascii="Times New Roman" w:hAnsi="Times New Roman"/>
          <w:b/>
          <w:noProof/>
          <w:sz w:val="24"/>
        </w:rPr>
        <w:t>Μεσοπρόθεσμη οικονομική θέση</w:t>
      </w:r>
    </w:p>
    <w:p>
      <w:pPr>
        <w:spacing w:before="120" w:after="120" w:line="240" w:lineRule="auto"/>
        <w:jc w:val="both"/>
        <w:rPr>
          <w:rFonts w:ascii="Times New Roman" w:eastAsia="Times New Roman" w:hAnsi="Times New Roman" w:cs="Calibri"/>
          <w:bCs/>
          <w:i/>
          <w:noProof/>
          <w:sz w:val="24"/>
        </w:rPr>
      </w:pPr>
      <w:r>
        <w:rPr>
          <w:rFonts w:ascii="Times New Roman" w:hAnsi="Times New Roman"/>
          <w:i/>
          <w:noProof/>
          <w:sz w:val="24"/>
        </w:rPr>
        <w:t>Παρά την πρόσφατη επιβράδυνση της ανάπτυξης, οι μακροοικονομικές συνθήκες παραμένουν ευνοϊκές και δεν μπορούν να θεωρηθούν σημαντικός ελαφρυντικός παράγοντας που εξηγεί την απόκλιση του Βελγίου όσον αφορά τη συμμόρφωση με την τιμή αναφοράς για τη μείωση του χρέους. Πράγματι, η ονομαστική οικονομική ανάπτυξη αναμένεται να παραμείνει σταθερή καθ’ όλη τη διάρκεια του χρονικού ορίζοντα των προβλέψεων. Το Βέλγιο σημείωσε περιορισμένη πρόοδο όσον αφορά την υλοποίηση των ειδικών ανά χώρα συστάσεων του 2018, αλλά, στο πλαίσιο πολυετούς προοπτικής, προέβη σε σημαντικές διαρθρωτικές μεταρρυθμίσεις κατά τα προηγούμενα έτη με σκοπό να αυξήσει τη βιωσιμότητα του συνταξιοδοτικού συστήματος και να μεταρρυθμίσει τη φορολογία και την αγορά εργασίας, συμπεριλαμβανομένης της τιμαριθμικής αναπροσαρμογής των μισθών, με σκοπό τη στήριξη της ανταγωνιστικότητας.</w:t>
      </w:r>
    </w:p>
    <w:p>
      <w:pPr>
        <w:spacing w:before="120" w:after="120" w:line="240" w:lineRule="auto"/>
        <w:ind w:left="851" w:hanging="851"/>
        <w:jc w:val="both"/>
        <w:rPr>
          <w:rFonts w:ascii="Times New Roman" w:eastAsia="Times New Roman" w:hAnsi="Times New Roman" w:cs="Times New Roman"/>
          <w:b/>
          <w:noProof/>
          <w:sz w:val="24"/>
        </w:rPr>
      </w:pPr>
      <w:r>
        <w:rPr>
          <w:rFonts w:ascii="Times New Roman" w:hAnsi="Times New Roman"/>
          <w:b/>
          <w:noProof/>
          <w:sz w:val="24"/>
        </w:rPr>
        <w:t>Κυκλικές συνθήκες, δυνητική ανάπτυξη και πληθωρισμός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βελγική οικονομία αποδείχθηκε αρκετά ανθεκτική μετά την παγκόσμια οικονομική ύφεση του 2009. Το ΑΕΠ επανήλθε γρήγορα στα προ κρίσης επίπεδα. Ωστόσο, μετά την ανάκαμψη του 2010 και του 2011 ακολούθησε στασιμότητα, καθώς σημειώθηκε μηδενική αύξηση του ΑΕΠ το 2012 και το 2013. Η ισχυρή ανάκαμψη που παρατηρήθηκε το 2014 και το 2015, με ανάπτυξη της τάξης του 1,4 % και του 1,7 % αντίστοιχα, ακολουθήθηκε από ελαφρά μείωση στο 1,5 % το 2016 λόγω των λιγότερο ευνοϊκών εξωτερικών συνθηκών και του αρνητικού, αν και μεταβατικού, αντικτύπου της κατάστασης όσον αφορά την ασφάλεια που συνδεόταν με τις τρομοκρατικές επιθέσεις του Μαρτίου του 2016. Κατά συνέπεια, η ανάπτυξη συνεχίστηκε και ανήλθε στο 1,7 % το 2017. Ωστόσο, υποχώρησε εκ νέου στο 1,4 % το 2018 και αναμένεται να μειωθεί περαιτέρω στο 1,2 % το 2019 και το 2020 χάρη στην ισχυρή εγχώρια ζήτηση, η οποία αντισταθμίζει την πτωτική και αρνητική συμβολή των καθαρών εξαγωγών το 2019 και το 2020, αντίστοιχα.</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Οι εκτιμήσεις για τη δυνητική ανάπτυξη του Βελγίου ανέρχονται κατά μέσο όρο στο 1,3 % για την περίοδο 2016-2019. Η επιβράδυνση σε σύγκριση με την κατάσταση προ του 2009 έχει ευρεία βάση, καθώς αντικατοπτρίζει τη συνέχιση μιας μακροπρόθεσμης φθίνουσας τάσης της αύξησης της συνολικής παραγωγικότητας των συντελεστών παραγωγής (η οποία εκτιμάται ότι σταθεροποιήθηκε σε χαμηλό επίπεδο κατά τα τελευταία έτη), τη μείωση της συμβολής της εργασίας στη δυνητική ανάπτυξη (λόγω βραδύτερης αύξησης του πληθυσμού σε ηλικία εργασίας) και την κάπως χαμηλότερη συσσώρευση κεφαλαίου. Το αρνητικό κενό παραγωγής εκτιμάται ότι έκλεισε το 2017 σε σύγκριση με το κατώτατο σημείο του -1,6 % το 2013. Αναμένεται να παραμείνει θετικό και σταθερό στο 0,2 % του ΑΕΠ σε όλη τη διάρκεια της περιόδου 2019-2020.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σχετικά χαμηλή αύξηση του ονομαστικού ΑΕΠ έως το 2015 είχε σημαντικό αντίκτυπο στην εξέλιξη του δείκτη χρέους ως προς το ΑΕΠ κατά τα έτη αυτά, αυξάνοντας την απαιτούμενη διαρθρωτική προσαρμογή για να διασφαλιστεί ότι ο δείκτης χρέους θα παραμείνει σε σταθερή πτωτική τροχιά, όπως απαιτείται από την τιμή αναφοράς για το χρέος. Επιπλέον, το πρωτογενές ισοζύγιο επηρεάστηκε επίσης από αυτές τις κυκλικές συνθήκες, οι οποίες τροφοδότησαν το δημόσιο χρέος.</w:t>
      </w:r>
    </w:p>
    <w:p>
      <w:pPr>
        <w:keepNext/>
        <w:spacing w:before="360" w:after="120" w:line="240" w:lineRule="auto"/>
        <w:jc w:val="center"/>
        <w:rPr>
          <w:rFonts w:ascii="Times New Roman" w:eastAsia="Times New Roman" w:hAnsi="Times New Roman" w:cs="Times New Roman"/>
          <w:noProof/>
          <w:vertAlign w:val="superscript"/>
        </w:rPr>
      </w:pPr>
      <w:r>
        <w:rPr>
          <w:rFonts w:ascii="Times New Roman" w:hAnsi="Times New Roman"/>
          <w:b/>
          <w:noProof/>
          <w:sz w:val="24"/>
        </w:rPr>
        <w:t>Πίνακας 3: Μακροοικονομικές και δημοσιονομικές εξελίξεις</w:t>
      </w:r>
      <w:r>
        <w:rPr>
          <w:rFonts w:ascii="Times New Roman" w:hAnsi="Times New Roman"/>
          <w:noProof/>
          <w:vertAlign w:val="superscript"/>
        </w:rPr>
        <w:t>α</w:t>
      </w:r>
    </w:p>
    <w:p>
      <w:pPr>
        <w:keepNext/>
        <w:spacing w:before="120" w:after="120" w:line="240" w:lineRule="auto"/>
        <w:jc w:val="center"/>
        <w:rPr>
          <w:rFonts w:ascii="Times New Roman" w:eastAsia="Times New Roman" w:hAnsi="Times New Roman" w:cs="Times New Roman"/>
          <w:noProof/>
          <w:vertAlign w:val="superscript"/>
        </w:rPr>
      </w:pPr>
      <w:r>
        <w:rPr>
          <w:noProof/>
          <w:lang w:val="en-GB" w:eastAsia="en-GB" w:bidi="ar-SA"/>
        </w:rPr>
        <w:drawing>
          <wp:inline distT="0" distB="0" distL="0" distR="0">
            <wp:extent cx="5731510" cy="3656787"/>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656787"/>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Ωστόσο, η βελτίωση των μακροοικονομικών συνθηκών που έλαβε χώρα από το 2016 σημαίνει ότι αυτές δεν μπορούν πλέον να θεωρηθούν σημαντικός ελαφρυντικός παράγοντας που εξηγεί την απόκλιση από την τιμή αναφοράς για το χρέος (1,1 % του ΑΕΠ το 2018 σύμφωνα με την αναδρομική θεώρηση). Μετά από παρατεταμένη περίοδο χαμηλής αύξησης των εγχώριων τιμών έως το 2015, ο πληθωρισμός επιταχύνθηκε στο Βέλγιο φτάνοντας στο 2,2 % το 2017 και στο 2,3 % το 2018. Ο αποπληθωριστής ΑΕΠ αναμένεται να επιταχυνθεί σημειώνοντας αύξηση από το 1,2 % το 2018 στο 1,5 % το 2019 και στο 1,6 % το 2020, κάτω από τα επίπεδα που παρατηρήθηκαν το 2016 και το 2017 (1,8 % και 1,7 %, αντίστοιχα). Η αύξηση του ονομαστικού ΑΕΠ αναμένεται να αυξηθεί ελαφρώς από το 2,6 % το 2018 στο 2,8 % το 2019 και το 2020, παραμένοντας κάτω από τα ποσοστά που παρατηρήθηκαν το 2016 (3,1 %) και το 2017 (3,4 %).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μείωση των επιτοκίων έχει δημιουργήσει ένα υποστηρικτικό πλαίσιο για δημοσιονομική εξυγίανση. Το τεκμαρτό ονομαστικό επιτόκιο του βελγικού δημόσιου χρέους μειώνεται συνεχώς τις τελευταίες δύο δεκαετίες και η τάση αυτή επιταχύνθηκε τα τελευταία έτη. Κατά συνέπεια, οι συνολικές δαπάνες για τόκους της γενικής κυβέρνησης εξακολούθησαν να μειώνονται ως ποσοστό του ΑΕΠ. Μεταξύ του 2008 και του 2018 οι δαπάνες για τόκους μειώθηκαν κατά περίπου 1,6 ε.μ. του ΑΕΠ, ποσοστό που αντιστοιχεί σε μείωση των δαπανών για τόκους κατά 0,4 ε.μ. του ΑΕΠ το 2017 και κατά 0,1 ε.μ. του ΑΕΠ το 2018. Στο πλαίσιο αυτό της μείωσης των δαπανών για τόκους, το σταθερό διαρθρωτικό ισοζύγιο κατά την περίοδο 2018-2019 συνοδεύεται από επιδείνωση του διαρθρωτικού πρωτογενούς ισοζυγίου το 2018 και το 2019 (-0,1 ε.μ. και -0,2 ε.μ., αντίστοιχα). Η ανάλυση ευαισθησίας του προγράμματος σταθερότητας του 2019 δείχνει πώς η γραμμική αύξηση της καμπύλης απόδοσης κατά 100 μονάδες βάσης συνεπάγεται υψηλότερο κόστος κατά 0,03 % του ΑΕΠ το 2019, το οποίο θα αυξηθεί στο 0,25 % του ΑΕΠ το 2022</w:t>
      </w:r>
      <w:r>
        <w:rPr>
          <w:rFonts w:ascii="Times New Roman" w:hAnsi="Times New Roman"/>
          <w:noProof/>
          <w:sz w:val="20"/>
          <w:vertAlign w:val="superscript"/>
        </w:rPr>
        <w:footnoteReference w:id="15"/>
      </w:r>
      <w:r>
        <w:rPr>
          <w:rFonts w:ascii="Times New Roman" w:hAnsi="Times New Roman"/>
          <w:noProof/>
          <w:sz w:val="24"/>
        </w:rPr>
        <w:t>, αν και σε συνάρτηση με το βασικό σενάριο της μείωσης των πληρωμών τόκων. Υπογραμμίζει τους κινδύνους που ενέχει μια στρατηγική εξυγίανσης που βασίζεται σημαντικά σε έκτακτα έσοδα τα οποία προκύπτουν από τη μείωση των δαπανών για τόκους.</w:t>
      </w:r>
    </w:p>
    <w:p>
      <w:pPr>
        <w:rPr>
          <w:rFonts w:ascii="Times New Roman" w:eastAsia="Times New Roman" w:hAnsi="Times New Roman" w:cs="Times New Roman"/>
          <w:b/>
          <w:noProof/>
          <w:sz w:val="24"/>
        </w:rPr>
      </w:pPr>
      <w:r>
        <w:rPr>
          <w:rFonts w:ascii="Times New Roman" w:hAnsi="Times New Roman"/>
          <w:b/>
          <w:noProof/>
          <w:sz w:val="24"/>
        </w:rPr>
        <w:t>Διαρθρωτικές μεταρρυθμίσεις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Στην ανακοίνωσή της της 13ης Ιανουαρίου 2015, η Επιτροπή ενίσχυσε τη σύνδεση μεταξύ της αποτελεσματικής εφαρμογής των διαρθρωτικών μεταρρυθμίσεων, των επενδύσεων και της δημοσιονομικής ευθύνης για τη στήριξη της απασχόλησης και της ανάπτυξης, στο πλαίσιο των υφιστάμενων κανόνων του ΣΣΑ.</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Η έκθεση χώρας του 2019 για το Βέλγιο κατέληξε στο συμπέρασμα ότι η χώρα σημείωσε περιορισμένη πρόοδο όσον αφορά την εφαρμογή των ειδικών ανά χώρα συστάσεων του 2018. Σημειώθηκε περιορισμένη πρόοδος όσον αφορά την κατανομή των δημοσιονομικών στόχων μεταξύ των διαφόρων επιπέδων διακυβέρνησης κατά τρόπο που να είναι αναγκαστικά εφαρμοστέα και τη βελτίωση της σύνθεσης των δημόσιων δαπανών. Σε αντίθεση με το 2018, όταν επιτεύχθηκε συμφωνία μεταξύ όλων των επιπέδων διακυβέρνησης όσον αφορά την επίτευξη του ΜΔΣ έως το 2020, φέτος η επιτροπή συντονισμού</w:t>
      </w:r>
      <w:r>
        <w:rPr>
          <w:rStyle w:val="FootnoteReference"/>
          <w:rFonts w:eastAsiaTheme="minorHAnsi"/>
          <w:noProof/>
        </w:rPr>
        <w:footnoteReference w:id="16"/>
      </w:r>
      <w:r>
        <w:rPr>
          <w:rFonts w:ascii="Times New Roman" w:hAnsi="Times New Roman"/>
          <w:noProof/>
          <w:sz w:val="24"/>
        </w:rPr>
        <w:t xml:space="preserve"> έλαβε απλώς υπόψη τη συνολική πορεία του προγράμματος σταθερότητας προς την επίτευξη του ΜΔΣ μέχρι το 2021 (δηλαδή δεν το ενέκρινε επίσημα). Επιπλέον, και όπως συνέβαινε στο παρελθόν, δεν υπήρξε ούτε επίσημη δέσμευση σχετικά με τους ετήσιους δημοσιονομικούς στόχους μεταξύ των διαφόρων υποοντοτήτων στο πλαίσιο κάθε οντότητας. Επιπροσθέτως, δεδομένου ότι η βελγική κυβέρνηση δεν διαθέτει πλήρεις δημοσιονομικές εξουσίες σύμφωνα με τους εθνικούς συνταγματικούς κανόνες και/ή συμβάσεις από τον Δεκέμβριο του 2018, η επιτροπή συντονισμού έλαβε την απόφαση να χαρακτηρίσει τους δημοσιονομικούς στόχους στο πρόγραμμα σταθερότητας ως «ενδεικτικούς». Όσον αφορά τις επανεξετάσεις των δαπανών, η φλαμανδική περιφέρεια εφαρμόζει πιλοτικό πρόγραμμα για να τις καθιερώσει ως δομικό στοιχείο του δημοσιονομικού της πλαισίου. Η ομοσπονδιακή κυβέρνηση επεξεργάζεται στρατηγικό σχέδιο για να ενσωματώσει τις επανεξετάσεις των δαπανών στην οικεία διαδικασία του προϋπολογισμού. Ωστόσο, μέχρι στιγμής, δεν έχει πραγματοποιηθεί επανεξέταση των δαπανών σε ομοσπονδιακό επίπεδο, παρά τις μεγάλες ανάγκες εκ νέου ιεράρχησης των δαπανών. Στο μεταξύ, το εθνικό σύμφωνο για τις στρατηγικές επενδύσεις προβλέπει αύξηση των επενδύσεων σε υποδομές κατά 150 δισ. EUR έως το 2030, εκ των οποίων 82,5 δισ. EUR θα δαπανηθούν από τον ιδιωτικό τομέα. Αν και οι κοινότητες υλοποιούν σταδιακά σημαντικές εκπαιδευτικές μεταρρυθμίσεις (π.χ. που καλύπτουν διάφορους τομείς στη Φλαμανδική Κοινότητα και το «Pacte d'Excellence» της Γαλλικής Κοινότητας), έχει σημειωθεί περιορισμένη πρόοδος όσον αφορά την επαγγελματική κατάρτιση και τη στήριξη της ισότητας. Περιορισμένη πρόοδος έχει επιτευχθεί όσον αφορά την προώθηση των επενδύσεων στο κεφάλαιο της γνώσης, έστω και αν τα μέτρα ποικίλλουν ως προς το πεδίο εφαρμογής σε περιφερειακό, κοινοτικό και ομοσπονδιακό επίπεδο. Η πρόοδος όσον αφορά την τομεακή ρύθμιση έχει περιοριστεί συνολικά, μεταξύ άλλων και όσον αφορά τη βελτίωση της λειτουργίας του τομέα του λιανικού εμπορίου. Σε ορισμένες επαγγελματικές υπηρεσίες οι κανονιστικοί περιορισμοί εξακολουθούν να παρεμποδίζουν τον ανταγωνισμό.</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Στην έκθεση επισημαίνονται επίσης τα μέτρα που στήριξαν την πρόσφατη οικονομική ανάπτυξη, η οποία δημιούργησε πολλές θέσεις εργασίας, μέσω της βελτίωσης της ανταγωνιστικότητας, τα οποία περιλαμβάνουν τη «μετατόπιση της φορολογίας»· μια σχετική μεταρρύθμιση της αγοράς εργασίας που, μεταξύ άλλων, στηρίζει τις πολιτικές συγκράτησης των μισθών· καθώς και μεταρρύθμιση του φόρου εισοδήματος εταιρειών. Έχουν νομοθετηθεί σταδιακές μειώσεις της φορολογίας εισοδήματος φυσικών προσώπων και των εισφορών κοινωνικής ασφάλισης των εργοδοτών, ενώ έχουν νομοθετηθεί περισσότερο από αναλογικές μειώσεις για τους χαμηλότερους μισθούς. Η στοχοθέτηση των χαμηλών μισθών ευνοεί τους νέους και τα άτομα χαμηλής ειδίκευσης, που τείνουν να έχουν χαμηλότερους μισθούς, αλλά και τα χαμηλότερα ποσοστά απασχόλησης· ως εκ τούτου, στηρίζει την ενεργοποίηση ορισμένων από τις πλέον ευπαθείς ομάδες. Ωστόσο, η εργασία εξακολουθεί να φορολογείται υπέρμετρα ως συντελεστής παραγωγής στο Βέλγιο. Παρότι με τη μετατόπιση της φορολογίας η φορολογική επιβάρυνση της εργασίας (φόρος εισοδήματος συν τις εισφορές των εργοδοτών και των εργαζομένων) για τους πολύ χαμηλόμισθους (50 % του μέσου μισθού) μειώθηκε, για τους μισθωτούς με μεσαίο εισόδημα εξακολουθεί να είναι η υψηλότερη στην ΕΕ. Όσον αφορά την υψηλή φορολογική επιβάρυνση του εισοδήματος από εργασία, αυτή οφείλεται στο περιορισμένο εύρος των κλιμακίων φόρου εισοδήματος φυσικών προσώπων, αν και η «μετατόπιση της φορολογίας» έχει διευρύνει τη βάση του φορολογικού κλιμακίου με συντελεστή 40 %, δεδομένου ότι ακόμη και τα μεσαία εισοδήματα υπόκεινται στον υψηλότερο συντελεστή φόρου εισοδήματος. Η διεύρυνση της φορολογικής βάσης μέσω της μείωσης των φορολογικών δαπανών θα μπορούσε να δημιουργήσει τα αναγκαία έσοδα για τη διεύρυνση των φορολογικών κλιμακίων, δεδομένου ότι η εκτεταμένη χρήση φορολογικών δαπανών μειώνει την αποδοτικότητα του βελγικού φορολογικού συστήματος. Στο πλαίσιο αυτό, η πρόσφατη μεταρρύθμιση του φόρου εισοδήματος εταιρειών για τη μετάβαση σε ένα σύστημα με χαμηλότερους νόμιμους συντελεστές και λιγότερες φοροαπαλλαγές θα συμβάλει στην απλούστευση του φορολογικού συστήματος και στην αύξηση της ελκυστικότητας της βελγικής οικονομίας.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Βέλγιο εκσυγχρόνισε το δημόσιο συνταξιοδοτικό σύστημα τα τελευταία έτη. Μια πρώτη δέσμη συνταξιοδοτικών μεταρρυθμίσεων νομοθετήθηκε το 2015. Μειώθηκαν οι δυνατότητες πρόωρης αποχώρησης, με την περαιτέρω αυστηροποίηση των τυπικών προϋποθέσεων επιλεξιμότητας τόσο για την πρόωρη συνταξιοδότηση όσο και για την προσυνταξιοδότηση, και αυξήθηκε η νόμιμη ηλικία συνταξιοδότησης από τα 65 στα 66 έτη το 2025 και στα 67 έτη έως το 2030. Ως αποτέλεσμα των μεταρρυθμίσεων αυτών και λαμβανομένων υπόψη των νέων δημογραφικών προβολών του 2018 για το Βέλγιο τις οποίες εκπόνησε η ομάδα εργασίας για τη γήρανση του πληθυσμού, οι δημόσιες δαπάνες για τις συντάξεις αναμένεται πλέον να αυξηθούν κατά 2,9 ε.μ. του ΑΕΠ έως το 2070, κυρίως κατά τις επόμενες δύο δεκαετίες, σε σύγκριση με τις 3,3 ε.μ. που προβλέπονταν πριν από την έγκριση των μεταρρυθμίσεων (με ορίζοντα το 2013-2060). Ωστόσο, το προσδόκιμο ζωής προβλέπεται να αυξηθεί ταχύτερα από την πραγματική ηλικία συνταξιοδότησης. Ειδικότερα, η σύνδεση της ηλικίας πρόωρης και νόμιμης συνταξιοδότησης με την αύξηση του προσδόκιμου ζωής θα μπορούσε να συμβάλει στον περιορισμό των δαπανών λόγω της γήρανσης του πληθυσμού μετά το 2030. Επιπλέον, οι προϋποθέσεις πρόωρης συνταξιοδότησης για αρκετές πολυπληθείς ομάδες δημοσίων υπαλλήλων παραμένουν ευνοϊκότερες από τις συνήθεις προϋποθέσεις. Οι δημόσιες δαπάνες για τη μακροχρόνια περίθαλψη αναμένεται να αυξηθούν κατά 1,7 εκατοστιαίες μονάδες του ΑΕΠ έως το 2070, σημειώνοντας άνοδο μεγαλύτερη από τον μέσο όρο, ενώ το τρέχον επίπεδό τους είναι ήδη ένα από τα υψηλότερα στην ΕΕ.</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 Ωστόσο, μετά τη δημοσίευση της έκθεσης χώρας του 2019, το κοινοβούλιο ενέκρινε ορισμένα πρόσθετα μέτρα. Σε αυτά περιλαμβάνεται η «συμφωνία για τις θέσεις εργασίας», μια δέσμη 28 μέτρων για την αγορά εργασίας που χωρίζονται σε δύο πυλώνες: τον φορολογικό και τον κοινωνικό. Περιλαμβάνουν νέα κίνητρα για τη στήριξη της δημιουργίας θέσεων εργασίας και της απασχόλησης, την προώθηση της εργασιακής κατάρτισης και της αναβάθμισης των δεξιοτήτων, την αύξηση της συμμετοχής των εργαζομένων μεγαλύτερης ηλικίας και την παροχή περαιτέρω επιλογών κινητικότητας στους εργαζομένους πέραν της δυνατότητας «cash for car» που υφίσταται ήδη. Τέλος, είναι σε εξέλιξη η μεταρρύθμιση της δημόσιας διοίκησης, αλλά το πρόγραμμα δεν παρέχει λεπτομερή ποσοτικά στοιχεία για τον αντίκτυπό της.</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Άλλοι παράγοντες που θεωρούνται σχετικοί από την Επιτροπή</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 xml:space="preserve">Μεταξύ των άλλων παραγόντων που θεωρούνται σχετικοί από την Επιτροπή, αποδίδεται ιδιαίτερη σημασία στις χρηματοδοτικές συνεισφορές για την προώθηση της διεθνούς αλληλεγγύης και την επίτευξη των στόχων πολιτικής της Ένωσης, στο χρέος που προέκυψε με τη μορφή διμερούς και πολυμερούς στήριξης μεταξύ κρατών μελών στο πλαίσιο της διασφάλισης της χρηματοπιστωτικής σταθερότητας, και στο χρέος που συνδέεται με πράξεις χρηματοπιστωτικής σταθεροποίησης κατά τη διάρκεια μεγάλων χρηματοπιστωτικών διαταραχών (άρθρο 2 παράγραφος 3 του κανονισμού (ΕΚ) αριθ. 1467/97).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Οι επιχειρήσεις διάσωσης στον χρηματοπιστωτικό τομέα εξηγούν μέρος της αύξησης του χρέους από το 2007, όπως αναλύεται στο τμήμα 4.2. Ο άμεσος σωρευτικός αντίκτυπος των εν λόγω πράξεων στο χρέος ανήλθε σχεδόν στο 7 % του ΑΕΠ το 2011, αλλά μειώθηκε σε περίπου 3 % του ΑΕΠ το 2018, λόγω της πώλησης ορισμένων από τα αποκτηθέντα περιουσιακά στοιχεία, καθώς και της αποπληρωμής δανείων. Όλες οι ενδεχόμενες υποχρεώσεις σχετικά με εγγυήσεις που χορηγήθηκαν στον χρηματοπιστωτικό τομέα αφορούν την Dexia. Εν αναμονή της πλήρους εξυγίανσης, το βελγικό κράτος εγγυάται το 51,4 % των υποχρεώσεων της Dexia. Οι εγγυήσεις αυτές ανήλθαν στο 7,4 % του ΑΕΠ τον Απρίλιο του 2019 έναντι 8,7 % στα τέλη του 2016.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Το άρθρο 12 παράγραφος 1 του κανονισμού (ΕΕ) αριθ. 473/2013 ορίζει ότι στην παρούσα έκθεση εξετάζεται επίσης «</w:t>
      </w:r>
      <w:r>
        <w:rPr>
          <w:rFonts w:ascii="Times New Roman" w:hAnsi="Times New Roman"/>
          <w:i/>
          <w:noProof/>
          <w:sz w:val="24"/>
        </w:rPr>
        <w:t>ο βαθμός στον οποίο το οικείο κράτος μέλος έχει λάβει υπόψη τη γνώμη της Επιτροπής σχετικά με το σχέδιο δημοσιονομικού προγράμματος της χώρας, η οποία αναφέρεται στο άρθρο 7 παράγραφος 1</w:t>
      </w:r>
      <w:r>
        <w:rPr>
          <w:rFonts w:ascii="Times New Roman" w:hAnsi="Times New Roman"/>
          <w:noProof/>
          <w:sz w:val="24"/>
        </w:rPr>
        <w:t>» του ίδιου κανονισμού. Η γνώμη της Επιτροπής σχετικά με το σχέδιο δημοσιονομικού προγράμματος του Βελγίου για το 2019 επισήμανε τον κίνδυνο μη συμμόρφωσης με τις διατάξεις του ΣΣΑ κατά την περίοδο 2018-2019. Ειδικότερα, προέβλεπε κίνδυνο σημαντικής απόκλισης από την απαιτούμενη προσαρμογή για την επίτευξη του ΜΔΣ και κίνδυνο μη συμμόρφωσης με την τιμή αναφοράς για τη μείωση του χρέους το 2018 και το 2019. Η Επιτροπή κάλεσε τις αρχές να εφαρμόσουν τα αναγκαία μέτρα, στο πλαίσιο της εθνικής διαδικασίας του προϋπολογισμού, προκειμένου να εξασφαλίσουν ότι ο προϋπολογισμός του 2019 συμμορφώνεται με το ΣΣΑ και να αξιοποιήσουν τα έκτακτα έσοδα για να επιταχύνουν τη μείωση του δείκτη του δημόσιου χρέους ως προς το ΑΕΠ. Ωστόσο, ο ομοσπονδιακός προϋπολογισμός για το 2019 δεν εγκρίθηκε από το κοινοβούλιο. Μετά την παραίτηση του πρωθυπουργού του Βελγίου στις 18 Δεκεμβρίου 2018, οι προϋπολογισμοί των «τρεχουσών υποθέσεων» εγκρίνονται από υπηρεσιακή κυβέρνηση. Από τον Μάρτιο του 2019, το κοινοβούλιο έλαβε περαιτέρω συγκεκριμένα μέτρα στο πλαίσιο της «συμφωνίας για τις θέσεις εργασίας» (βλ. τμήμα 4.3.).</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Άλλοι παράγοντες που προβάλλονται από το κράτος μέλος</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Στις 31 Μαΐου 2019, οι βελγικές αρχές διαβίβασαν έγγραφα που αφορούσαν τους σχετικούς παράγοντες σύμφωνα με το άρθρο 2 παράγραφος 3 του κανονισμού (ΕΚ) αριθ. 1467/97 («οι παρατηρήσεις του Βελγίου»). Η ανάλυση που παρουσιάζεται στα άλλα τμήματα της παρούσας έκθεσης καλύπτει ήδη ευρέως τους παράγοντες που προβάλλουν οι αρχές.</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Οι παρατηρήσεις του Βελγίου τονίζουν τον αντίκτυπο που έχουν η «μετατόπιση της φορολογίας» και η «</w:t>
      </w:r>
      <w:r>
        <w:rPr>
          <w:rFonts w:ascii="Times New Roman" w:hAnsi="Times New Roman"/>
          <w:i/>
          <w:noProof/>
          <w:sz w:val="24"/>
        </w:rPr>
        <w:t>συμφωνία για τις θέσεις εργασίας</w:t>
      </w:r>
      <w:r>
        <w:rPr>
          <w:rFonts w:ascii="Times New Roman" w:hAnsi="Times New Roman"/>
          <w:noProof/>
          <w:sz w:val="24"/>
        </w:rPr>
        <w:t>» στην ενίσχυση της δημιουργίας θέσεων εργασίας μέσω τόσο της προσφοράς όσο και της ζήτησης εργασίας. Εν προκειμένω, η μετατόπιση της φορολογίας μειώνει τόσο το κόστος εργασίας όσο και την επιβάρυνση του εισοδήματος από την εργασία,· ενώ η «συμφωνία για τις θέσεις εργασίας» προωθεί την περαιτέρω συμμετοχή στην αγορά εργασίας, μεταξύ άλλων όσον αφορά τις κενές θέσεις σε επαγγέλματα που αντιμετωπίζουν ελλείψεις εργατικού δυναμικού. Στις παρατηρήσεις των αρχών αναφέρεται επίσης η μεταρρύθμιση του φόρου εισοδήματος εταιρειών στο πλαίσιο της οποίας εφαρμόστηκε σημαντική μείωση του φορολογικού συντελεστή για τις επιχειρήσεις, με επιπτώσεις ιδίως για τις μικρές και μεσαίες επιχειρήσεις (ΜΜΕ). Επισημαίνεται ένα σχέδιο στρατηγικών δημόσιων επενδύσεων (το «</w:t>
      </w:r>
      <w:r>
        <w:rPr>
          <w:rFonts w:ascii="Times New Roman" w:hAnsi="Times New Roman"/>
          <w:i/>
          <w:noProof/>
          <w:sz w:val="24"/>
        </w:rPr>
        <w:t>εθνικό σύμφωνο για τις στρατηγικές επενδύσεις</w:t>
      </w:r>
      <w:r>
        <w:rPr>
          <w:rFonts w:ascii="Times New Roman" w:hAnsi="Times New Roman"/>
          <w:noProof/>
          <w:sz w:val="24"/>
        </w:rPr>
        <w:t>»), στο οποίο έχουν ήδη προσδιοριστεί έξι θεματικοί και τέσσερις εγκάρσιοι τομείς όπου οι νέες κυβερνήσεις θα πρέπει να συγκεκριμενοποιήσουν περαιτέρω τις επενδύσεις. Τέλος, δίνεται έμφαση στη συνέχιση της μεταρρύθμισης του συνταξιοδοτικού συστήματος, καθώς έχουν ήδη τεθεί σε εφαρμογή μέτρα κατά την προηγούμενη κοινοβουλευτική περίοδο, προκειμένου να καταστούν αυστηρότερες οι προϋποθέσεις πρόωρης συνταξιοδότησης όσον αφορά την ηλικία και τη σταδιοδρομία· και νέα μέτρα για την αύξηση της ηλικίας πρόωρης συνταξιοδότησης, την εναρμόνιση των καθεστώτων, την αντιμετώπιση ορισμένων μορφών κατάχρησης και την παροχή κινήτρων για την ανάπτυξη του δεύτερου πυλώνα συντάξεων.</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Άλλοι σχετικοί παράγοντες που προβάλλονται από τις βελγικές αρχές περιλαμβάνουν τη γενική συναίνεση στο Βέλγιο για τη μείωση του δημόσιου χρέους και των ελλειμμάτων, όπως αποδεικνύεται από το σύστημα αυστηρής δημοσιονομικής πειθαρχίας που θέσπισε η υπηρεσιακή κυβέρνηση από τον Δεκέμβριο του 2018. Οι παρατηρήσεις του Βελγίου περιλαμβάνουν επίσης αξιολόγηση της εξέλιξης των προκαταβολών φόρου εισοδήματος εταιρειών. Ειδικότερα, η εξέλιξη αναλύεται σε μία διαρθρωτική και μία έκτακτη συνιστώσα. Η πρώτη οφείλεται, μεταξύ άλλων, στον μεταρρυθμισμένο και μειωμένο συντελεστή έκπτωσης πλασματικών τόκων και στην αύξηση του ακαθάριστου λειτουργικού πλεονάσματος των εταιρειών. Η δεύτερη συνδέεται με τη μετατόπιση από τις πράξεις επιβολής φόρου στις προκαταβολές ως αποτέλεσμα της αύξησης των ποινών για τις εταιρείες που δεν πραγματοποιούν προκαταβολές από την 1η Ιανουαρίου 2017. Οι αρχές εκτιμούν ότι οι δύο αυτές συνιστώσες έχουν ίση βαρύτητα (50 %) στην εν λόγω εξέλιξη.</w:t>
      </w:r>
    </w:p>
    <w:p>
      <w:pPr>
        <w:spacing w:before="120" w:after="120" w:line="240" w:lineRule="auto"/>
        <w:jc w:val="both"/>
        <w:rPr>
          <w:rFonts w:ascii="Times New Roman" w:eastAsia="Times New Roman" w:hAnsi="Times New Roman" w:cs="Calibri"/>
          <w:bCs/>
          <w:noProof/>
          <w:sz w:val="24"/>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Συμπεράσματα</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Το ακαθάριστο χρέος της γενικής κυβέρνησης ανήλθε στο 102,0 % του ΑΕΠ στα τέλη του 2018, υπερβαίνοντας κατά πολύ την τιμή αναφοράς του 60 % του ΑΕΠ. Το Βέλγιο δεν συμμορφώθηκε με την τιμή αναφοράς για τη μείωση του χρέους το 2018. Επιπλέον, σύμφωνα με τις προβλέψεις της Επιτροπής, το Βέλγιο δεν αναμένεται να συμμορφωθεί με την τιμή αναφοράς για τη μείωση του χρέους το 2019 ή το 2020, με βάση παραδοχή αμετάβλητης πολιτικής. Αυτό σημαίνει ότι, προτού εξεταστούν όλοι οι σχετικοί παράγοντες, το κριτήριο του χρέους, όπως ορίζεται στη Συνθήκη, δεν φαίνεται να πληρούται εκ πρώτης όψεως το 2018. </w:t>
      </w:r>
      <w:r>
        <w:rPr>
          <w:rFonts w:ascii="Times New Roman" w:hAnsi="Times New Roman"/>
          <w:noProof/>
          <w:color w:val="000000"/>
          <w:sz w:val="24"/>
        </w:rPr>
        <w:t>Σύμφωνα με</w:t>
      </w:r>
      <w:r>
        <w:rPr>
          <w:rFonts w:ascii="Times New Roman" w:hAnsi="Times New Roman"/>
          <w:noProof/>
          <w:sz w:val="24"/>
        </w:rPr>
        <w:t xml:space="preserve"> τη Συνθήκη, η παρούσα έκθεση εξέτασε επίσης τους σχετικούς παράγοντες. </w:t>
      </w:r>
    </w:p>
    <w:p>
      <w:pPr>
        <w:spacing w:before="120" w:after="120" w:line="240" w:lineRule="auto"/>
        <w:jc w:val="both"/>
        <w:rPr>
          <w:rFonts w:ascii="Times New Roman" w:hAnsi="Times New Roman"/>
          <w:noProof/>
          <w:color w:val="1F497D"/>
          <w:sz w:val="24"/>
          <w:highlight w:val="yellow"/>
        </w:rPr>
      </w:pPr>
      <w:r>
        <w:rPr>
          <w:rFonts w:ascii="Times New Roman" w:hAnsi="Times New Roman"/>
          <w:noProof/>
          <w:sz w:val="24"/>
        </w:rPr>
        <w:t>Η συνολική αξιολόγηση της συμμόρφωσης με το προληπτικό σκέλος καταδεικνύει μεγάλες αβεβαιότητες που σχετίζονται με βασικούς παράγοντες των δημοσιονομικών επιδόσεων το 2017 και το 2018, ιδίως όσον αφορά τον βαθμό στον οποίο η πρόσφατη βελτίωση του ονομαστικού ισοζυγίου έχει διαρθρωτικό χαρακτήρα. Δεν μπορεί να αποκλειστεί το ενδεχόμενο σημαντικής απόκλισης κατά τα έτη 2017 και 2018 λαμβανόμενα από κοινού, ακόμη και αφού ληφθούν υπόψη οι εν λόγω αβεβαιότητες. Ταυτόχρονα, σε κάθε περίπτωση, η υπέρβαση του ορίου του 0,25 % του ΑΕΠ που συνιστά σημαντική απόκλιση φαίνεται να είναι πολύ μικρή μόλις ληφθούν υπόψη οι εν λόγω αβεβαιότητες. Ως εκ τούτου, στη βάση αυτή, δεν υπάρχουν επαρκώς αξιόπιστα στοιχεία που να οδηγούν στο συμπέρασμα ότι υπάρχει σημαντική απόκλιση από την πορεία προσαρμογής για την επίτευξη του ΜΔΣ το 2018, καθώς και κατά τα έτη 2017 και 2018 λαμβανόμενα από κοινού. Το Βέλγιο εκτιμάται ότι διατρέχει κίνδυνο κάποιας απόκλισης το 2019 και κίνδυνο σημαντικής απόκλισης κατά τα έτη 2018 και 2019 λαμβανόμενα από κοινού, καθώς και το 2020. Ως εκ τούτου, τα αναγκαία μέτρα θα πρέπει να ληφθούν από το 2019 προκειμένου να υπάρξει συμμόρφωση με τις διατάξεις του Συμφώνου Σταθερότητας και Ανάπτυξης. Θα ήταν συνετό να γίνει χρήση τυχόν έκτακτων εσόδων για την περαιτέρω μείωση του δείκτη χρέους της γενικής κυβέρνησης. Ταυτόχρονα, ο δείκτης χρέους του Βελγίου μειώθηκε κατά 5,5 ε.μ. από το 2014 και προβλέπεται να μειωθεί επιπλέον κατά 1,3 ε.μ. έως το 2020, παρά τις σημαντικές αυξητικές για το χρέος προσαρμογές αποθεμάτων-ροών κατά τα πρόσφατα και τα προσεχή έτη.</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Το Βέλγιο σημείωσε πρόοδο όσον αφορά την εφαρμογή των διαρθρωτικών μεταρρυθμίσεων που είχαν εξαγγελθεί από τις αρχές του 2015, ιδίως στους τομείς των συντάξεων, της ανταγωνιστικότητας και της φορολογίας. Σε πολλές από τις εν λόγω μεταρρυθμίσεις, η πρόοδος θεωρείται ουσιαστική. Οι εν λόγω μεταρρυθμίσεις αναμένεται να συμβάλουν στην ενίσχυση του αναπτυξιακού δυναμικού της οικονομίας και στη μείωση των κινδύνων μακροοικονομικών ανισορροπιών, πράγμα που θα έχει θετικό αντίκτυπο στη βιωσιμότητα του χρέους μεσοπρόθεσμα και μακροπρόθεσμα. Ωστόσο, ο μη ουδέτερος δημοσιονομικά χαρακτήρας της αναληφθείσας φορολογικής μεταρρύθμισης επιδείνωσε τη δημοσιονομική θέση το 2017 και το 2018. Σε επιστολή που απέστειλαν στην Επιτροπή στις 31 Μαΐου 2019, οι βελγικές αρχές τόνισαν την προσήλωσή τους στις διαρθρωτικές μεταρρυθμίσεις και στο σχέδιο στρατηγικών δημόσιων επενδύσεων.</w:t>
      </w:r>
    </w:p>
    <w:p>
      <w:pPr>
        <w:jc w:val="both"/>
        <w:rPr>
          <w:rFonts w:ascii="Times New Roman" w:eastAsia="Times New Roman" w:hAnsi="Times New Roman" w:cs="Calibri"/>
          <w:bCs/>
          <w:i/>
          <w:noProof/>
          <w:sz w:val="24"/>
        </w:rPr>
      </w:pPr>
      <w:r>
        <w:rPr>
          <w:rFonts w:ascii="Times New Roman" w:hAnsi="Times New Roman"/>
          <w:i/>
          <w:noProof/>
          <w:sz w:val="24"/>
        </w:rPr>
        <w:t>Η ανάλυση που παρουσιάζεται στην παρούσα έκθεση περιλαμβάνει αξιολόγηση όλων των σχετικών παραγόντων και συγκεκριμένα: i) των μακροοικονομικών συνθηκών, οι οποίες δεν θεωρούνται πλέον παράγοντας που εξηγεί την απόκλιση του Βελγίου από την τιμή αναφοράς για τη μείωση του χρέους· ii) της εφαρμογής διαρθρωτικών μεταρρυθμίσεων για την ενίσχυση της ανάπτυξης κατά τα προηγούμενα έτη, πολλές από τις οποίες θεωρούνται σημαντικές και προβλέπεται να συμβάλουν στη βελτίωση της βιωσιμότητας του χρέους, ακόμη και αν έχουν προσωρινό μη ουδέτερο δημοσιονομικό αντίκτυπο· iii) του γεγονότος ότι δεν υπάρχουν επαρκώς αξιόπιστα στοιχεία που να οδηγούν στο συμπέρασμα ότι υπάρχει σημαντική απόκλιση από την πορεία προσαρμογής του Βελγίου για την επίτευξη του ΜΔΣ το 2018, καθώς και κατά τα έτη 2017 και 2018 λαμβανόμενα από κοινού. Συνολικά, από την τρέχουσα ανάλυση δεν προκύπτει οριστικό συμπέρασμα σχετικά με την εκπλήρωση ή μη του κριτηρίου του χρέους, όπως ορίζεται στη Συνθήκη και στον κανονισμό (ΕΚ) αριθ. 1467/1997 του Συμβουλίου.</w:t>
      </w:r>
    </w:p>
    <w:p>
      <w:pPr>
        <w:spacing w:before="120" w:after="120" w:line="240" w:lineRule="auto"/>
        <w:jc w:val="both"/>
        <w:rPr>
          <w:rFonts w:ascii="Times New Roman" w:hAnsi="Times New Roman"/>
          <w:b/>
          <w:smallCaps/>
          <w:noProof/>
          <w:sz w:val="24"/>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pPr>
      <w:r>
        <w:rPr>
          <w:vertAlign w:val="superscript"/>
        </w:rPr>
        <w:t>1</w:t>
      </w:r>
      <w:r>
        <w:tab/>
        <w:t>ΕΕ L 209 της 2.8.1997, σ. 6. Στην έκθεση λαμβάνονται επίσης υπόψη οι «Λεπτομερείς ρυθμίσεις για την εφαρμογή του Συμφώνου Σταθερότητας και Ανάπτυξης και κατευθυντήριες γραμμές για τη μορφή και το περιεχόμενο των προγραμμάτων σταθερότητας και σύγκλισης» που ενέκρινε η Οικονομική και Δημοσιονομική Επιτροπή στις 5 Ιουλίου 2016, οι οποίες διατίθενται στη διεύθυνση:</w:t>
      </w:r>
      <w:r>
        <w:tab/>
      </w:r>
      <w:r>
        <w:br/>
      </w:r>
      <w:hyperlink r:id="rId1">
        <w:r>
          <w:rPr>
            <w:rStyle w:val="Hyperlink"/>
          </w:rPr>
          <w:t>http://ec.europa.eu/economy_finance/economic_governance/sg</w:t>
        </w:r>
        <w:bookmarkStart w:id="2" w:name="_Hlt367983414"/>
        <w:r>
          <w:rPr>
            <w:rStyle w:val="Hyperlink"/>
          </w:rPr>
          <w:t>p</w:t>
        </w:r>
        <w:bookmarkEnd w:id="2"/>
        <w:r>
          <w:rPr>
            <w:rStyle w:val="Hyperlink"/>
          </w:rPr>
          <w:t>/legal_texts/index_en.htm</w:t>
        </w:r>
      </w:hyperlink>
      <w:r>
        <w:t xml:space="preserve"> .</w:t>
      </w:r>
    </w:p>
  </w:footnote>
  <w:footnote w:id="3">
    <w:p>
      <w:pPr>
        <w:pStyle w:val="FootnoteText"/>
        <w:ind w:left="284" w:hanging="284"/>
      </w:pPr>
      <w:r>
        <w:rPr>
          <w:vertAlign w:val="superscript"/>
        </w:rPr>
        <w:t>2</w:t>
      </w:r>
      <w:r>
        <w:tab/>
        <w:t>Κανονισμός (ΕΕ) αριθ. 473/2013 του Ευρωπαϊκού Κοινοβουλίου και του Συμβουλίου σχετικά με κοινές διατάξεις για την παρακολούθηση και την εκτίμηση των σχεδίων δημοσιονομικών προγραμμάτων και τη διασφάλιση της διόρθωσης του υπερβολικού ελλείμματος των κρατών μελών στη ζώνη του ευρώ (ΕΕ L 140 της 27.5.2013, σ. 11).</w:t>
      </w:r>
    </w:p>
  </w:footnote>
  <w:footnote w:id="4">
    <w:p>
      <w:pPr>
        <w:pStyle w:val="FootnoteText"/>
        <w:ind w:left="284" w:hanging="284"/>
      </w:pPr>
      <w:r>
        <w:rPr>
          <w:rStyle w:val="FootnoteReference"/>
        </w:rPr>
        <w:footnoteRef/>
      </w:r>
      <w:r>
        <w:tab/>
        <w:t>Σύμφωνα με τον κανονισμό (ΕΚ) αριθ. 479/2009, τα κράτη μέλη υποχρεούνται να κοινοποιούν στην Επιτροπή, δύο φορές τον χρόνο, το προβλεπόμενο και το υφιστάμενο επίπεδο του δημοσιονομικού ελλείμματος και του δημόσιου χρέους. Η πλέον πρόσφατη κοινοποίηση του Βελγίου είναι αναρτημένη στη διεύθυνση: http://ec.europa.eu/eurostat/web/government-finance-statistics/excessive-deficit-procedure/edp-notification-tables.</w:t>
      </w:r>
    </w:p>
  </w:footnote>
  <w:footnote w:id="5">
    <w:p>
      <w:pPr>
        <w:pStyle w:val="FootnoteText"/>
        <w:ind w:left="284" w:hanging="284"/>
      </w:pPr>
      <w:r>
        <w:rPr>
          <w:rStyle w:val="FootnoteReference"/>
        </w:rPr>
        <w:footnoteRef/>
      </w:r>
      <w:r>
        <w:tab/>
        <w:t>Δελτίο Τύπου της Eurostat αριθ. 67/2019, https://ec.europa.eu/eurostat/documents/2995521/9731224/2-23042019-AP-EN/bb78015c-c547-4b7d-b2f7-4fffe7bcdfad</w:t>
      </w:r>
    </w:p>
  </w:footnote>
  <w:footnote w:id="6">
    <w:p>
      <w:pPr>
        <w:pStyle w:val="FootnoteText"/>
        <w:ind w:left="284" w:hanging="284"/>
      </w:pPr>
      <w:r>
        <w:rPr>
          <w:rStyle w:val="FootnoteReference"/>
        </w:rPr>
        <w:footnoteRef/>
      </w:r>
      <w:r>
        <w:t xml:space="preserve">  Η συμμόρφωση με την τιμή αναφοράς για το χρέος αξιολογείται με βάση τρεις διαφορετικούς τρόπους θεώρησης: την αναδρομική τιμή αναφοράς για τη μείωση του χρέους, τη μελλοντοστραφή τιμή αναφοράς για τη μείωση του χρέους και την τιμή αναφοράς για τη μείωση του χρέους προσαρμοσμένη για να ληφθούν υπόψη οι επιπτώσεις του κύκλου.</w:t>
      </w:r>
    </w:p>
  </w:footnote>
  <w:footnote w:id="7">
    <w:p>
      <w:pPr>
        <w:pStyle w:val="FootnoteText"/>
        <w:ind w:left="284" w:hanging="284"/>
      </w:pPr>
      <w:r>
        <w:rPr>
          <w:rStyle w:val="FootnoteReference"/>
        </w:rPr>
        <w:footnoteRef/>
      </w:r>
      <w:r>
        <w:t xml:space="preserve"> Βλ. την αξιολόγηση του προγράμματος σταθερότητας του Βελγίου του 2019.</w:t>
      </w:r>
    </w:p>
  </w:footnote>
  <w:footnote w:id="8">
    <w:p>
      <w:pPr>
        <w:pStyle w:val="FootnoteText"/>
        <w:ind w:left="284" w:hanging="284"/>
      </w:pPr>
      <w:r>
        <w:rPr>
          <w:rStyle w:val="FootnoteReference"/>
        </w:rPr>
        <w:footnoteRef/>
      </w:r>
      <w:r>
        <w:rPr>
          <w:lang w:val="fr-FR"/>
        </w:rPr>
        <w:t xml:space="preserve"> </w:t>
      </w:r>
      <w:r>
        <w:t>Ανώτατο</w:t>
      </w:r>
      <w:r>
        <w:rPr>
          <w:lang w:val="fr-FR"/>
        </w:rPr>
        <w:t xml:space="preserve"> </w:t>
      </w:r>
      <w:r>
        <w:t>Συμβούλιο</w:t>
      </w:r>
      <w:r>
        <w:rPr>
          <w:lang w:val="fr-FR"/>
        </w:rPr>
        <w:t xml:space="preserve"> </w:t>
      </w:r>
      <w:r>
        <w:t>Οικονομικών</w:t>
      </w:r>
      <w:r>
        <w:rPr>
          <w:lang w:val="fr-FR"/>
        </w:rPr>
        <w:t xml:space="preserve"> (2019), Avis «Trajectoire budgétaire en préparation du Programme de Stabilité 2019-2022». </w:t>
      </w:r>
      <w:r>
        <w:t>Με βάση τα στοιχεία που παρείχε το ομοσπονδιακό γραφείο προγραμματισμού.</w:t>
      </w:r>
    </w:p>
  </w:footnote>
  <w:footnote w:id="9">
    <w:p>
      <w:pPr>
        <w:pStyle w:val="FootnoteText"/>
        <w:ind w:left="284" w:hanging="284"/>
      </w:pPr>
      <w:r>
        <w:rPr>
          <w:rStyle w:val="FootnoteReference"/>
        </w:rPr>
        <w:footnoteRef/>
      </w:r>
      <w:r>
        <w:tab/>
        <w:t>Το ομοσπονδιακό χρέος αντιπροσωπεύει το 84,6 % του χρέους της γενικής κυβέρνησης.</w:t>
      </w:r>
    </w:p>
  </w:footnote>
  <w:footnote w:id="10">
    <w:p>
      <w:pPr>
        <w:pStyle w:val="FootnoteText"/>
        <w:ind w:left="284" w:hanging="284"/>
      </w:pPr>
      <w:r>
        <w:rPr>
          <w:rStyle w:val="FootnoteReference"/>
        </w:rPr>
        <w:footnoteRef/>
      </w:r>
      <w:r>
        <w:t xml:space="preserve"> </w:t>
      </w:r>
      <w:r>
        <w:tab/>
        <w:t>Βελγικός οργανισμός χρέους, 2018-2019 Review outlook.</w:t>
      </w:r>
    </w:p>
  </w:footnote>
  <w:footnote w:id="11">
    <w:p>
      <w:pPr>
        <w:pStyle w:val="FootnoteText"/>
        <w:ind w:left="284" w:hanging="284"/>
      </w:pPr>
      <w:r>
        <w:rPr>
          <w:rStyle w:val="FootnoteReference"/>
        </w:rPr>
        <w:footnoteRef/>
      </w:r>
      <w:r>
        <w:tab/>
        <w:t>Βελγικός οργανισμός χρέους, 2018-2019 Review outlook.</w:t>
      </w:r>
    </w:p>
  </w:footnote>
  <w:footnote w:id="12">
    <w:p>
      <w:pPr>
        <w:pStyle w:val="FootnoteText"/>
        <w:ind w:left="284" w:hanging="284"/>
      </w:pPr>
      <w:r>
        <w:rPr>
          <w:rStyle w:val="FootnoteReference"/>
        </w:rPr>
        <w:footnoteRef/>
      </w:r>
      <w:r>
        <w:tab/>
        <w:t>Το ποσοστό του ανεξόφλητου χρέους που λήγει σε μια δεδομένη χρονική περίοδο ή που υπόκειται σε μεταβολές επιτοκίων λόγω κυμαινόμενου επιτοκίου.</w:t>
      </w:r>
    </w:p>
  </w:footnote>
  <w:footnote w:id="13">
    <w:p>
      <w:pPr>
        <w:pStyle w:val="FootnoteText"/>
        <w:ind w:left="284" w:hanging="284"/>
      </w:pPr>
      <w:r>
        <w:rPr>
          <w:rStyle w:val="FootnoteReference"/>
        </w:rPr>
        <w:footnoteRef/>
      </w:r>
      <w:r>
        <w:tab/>
        <w:t>Βελγικός οργανισμός χρέους, 2018-2019 Review outlook.</w:t>
      </w:r>
    </w:p>
  </w:footnote>
  <w:footnote w:id="14">
    <w:p>
      <w:pPr>
        <w:pStyle w:val="FootnoteText"/>
        <w:ind w:left="284" w:hanging="284"/>
      </w:pPr>
      <w:r>
        <w:rPr>
          <w:rStyle w:val="FootnoteReference"/>
        </w:rPr>
        <w:footnoteRef/>
      </w:r>
      <w:r>
        <w:tab/>
        <w:t xml:space="preserve">Fiscal Sustainability Report 2018, Volume 2 – Country Analysis (Έκθεση του 2018 για τη δημοσιονομική διατηρησιμότητα, τόμος 2 – Ανάλυση ανά χώρα). Οι προβολές ξεκινούν από τις χειμερινές προβλέψεις της Ευρωπαϊκής Επιτροπής του 2019, ενώ η παραδοχή αμετάβλητης πολιτικής μεταφράζεται σε διαρθρωτικό πρωτογενές ισοζύγιο που παραμένει σταθερό (εξαιρουμένων των δαπανών λόγω της γήρανσης του πληθυσμού) στο επίπεδο του τελευταίου έτους της πρόβλεψης (2020). Το βασικό σενάριο βασίζεται στις ακόλουθες μακροοικονομικές παραδοχές σε μακροπρόθεσμο επίπεδο: η αύξηση του δυνητικού ΑΕΠ παραμένει περίπου στο 1,2 %· ο πληθωρισμός και η μεταβολή του αποπληθωριστή ΑΕΠ σταθεροποιούνται στο 2 % μεσοπρόθεσμα· τα μακροπρόθεσμα επιτόκια για το νέο και το μετακυλιόμενο χρέος συγκλίνουν στο 3 % σε πραγματικούς όρους έως το 2027 και τα βραχυπρόθεσμα επιτόκια σε τιμή που συνάδει με το μακροπρόθεσμο επιτόκιο και την ιστορική (προ κρίσης) καμπύλη απόδοσης της ζώνης του ευρώ (βλ. επίσης Ευρωπαϊκή Επιτροπή, 2012). Οι προβλεπόμενες δαπάνες λόγω της γήρανσης του πληθυσμού βασίζονται στην έκθεση του 2018 για τη δημογραφική γήρανση. </w:t>
      </w:r>
    </w:p>
  </w:footnote>
  <w:footnote w:id="15">
    <w:p>
      <w:pPr>
        <w:pStyle w:val="FootnoteText"/>
        <w:ind w:left="284" w:hanging="284"/>
      </w:pPr>
      <w:r>
        <w:rPr>
          <w:rStyle w:val="FootnoteReference"/>
        </w:rPr>
        <w:footnoteRef/>
      </w:r>
      <w:r>
        <w:t xml:space="preserve"> Πρόγραμμα σταθερότητας του Βελγίου 2019-2022, σ. 21.</w:t>
      </w:r>
    </w:p>
  </w:footnote>
  <w:footnote w:id="16">
    <w:p>
      <w:pPr>
        <w:pStyle w:val="FootnoteText"/>
        <w:ind w:left="284" w:hanging="284"/>
      </w:pPr>
      <w:r>
        <w:rPr>
          <w:rStyle w:val="FootnoteReference"/>
        </w:rPr>
        <w:footnoteRef/>
      </w:r>
      <w:r>
        <w:t xml:space="preserve"> Η επιτροπή συντονισμού (Comité de concertation/Overlegcomité) συγκεντρώνει όλες τις κυβερνήσεις του Βελγίου για την επίτευξη κοινής θέσης στην περίπτωση συντρεχουσών αρμοδιοτήτων ή για την επίλυση διαφορών μεταξύ των κυβερνήσεων.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004BA4"/>
    <w:multiLevelType w:val="hybridMultilevel"/>
    <w:tmpl w:val="679C64A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7">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5">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6">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33"/>
  </w:num>
  <w:num w:numId="3">
    <w:abstractNumId w:val="7"/>
  </w:num>
  <w:num w:numId="4">
    <w:abstractNumId w:val="2"/>
  </w:num>
  <w:num w:numId="5">
    <w:abstractNumId w:val="1"/>
  </w:num>
  <w:num w:numId="6">
    <w:abstractNumId w:val="30"/>
  </w:num>
  <w:num w:numId="7">
    <w:abstractNumId w:val="3"/>
  </w:num>
  <w:num w:numId="8">
    <w:abstractNumId w:val="11"/>
  </w:num>
  <w:num w:numId="9">
    <w:abstractNumId w:val="36"/>
  </w:num>
  <w:num w:numId="10">
    <w:abstractNumId w:val="12"/>
  </w:num>
  <w:num w:numId="11">
    <w:abstractNumId w:val="26"/>
  </w:num>
  <w:num w:numId="12">
    <w:abstractNumId w:val="20"/>
  </w:num>
  <w:num w:numId="13">
    <w:abstractNumId w:val="32"/>
  </w:num>
  <w:num w:numId="14">
    <w:abstractNumId w:val="35"/>
  </w:num>
  <w:num w:numId="15">
    <w:abstractNumId w:val="24"/>
  </w:num>
  <w:num w:numId="16">
    <w:abstractNumId w:val="14"/>
  </w:num>
  <w:num w:numId="17">
    <w:abstractNumId w:val="29"/>
  </w:num>
  <w:num w:numId="18">
    <w:abstractNumId w:val="9"/>
  </w:num>
  <w:num w:numId="19">
    <w:abstractNumId w:val="15"/>
  </w:num>
  <w:num w:numId="20">
    <w:abstractNumId w:val="6"/>
  </w:num>
  <w:num w:numId="21">
    <w:abstractNumId w:val="28"/>
  </w:num>
  <w:num w:numId="22">
    <w:abstractNumId w:val="5"/>
  </w:num>
  <w:num w:numId="23">
    <w:abstractNumId w:val="16"/>
  </w:num>
  <w:num w:numId="24">
    <w:abstractNumId w:val="22"/>
  </w:num>
  <w:num w:numId="25">
    <w:abstractNumId w:val="23"/>
  </w:num>
  <w:num w:numId="26">
    <w:abstractNumId w:val="8"/>
  </w:num>
  <w:num w:numId="27">
    <w:abstractNumId w:val="19"/>
  </w:num>
  <w:num w:numId="28">
    <w:abstractNumId w:val="34"/>
  </w:num>
  <w:num w:numId="29">
    <w:abstractNumId w:val="0"/>
  </w:num>
  <w:num w:numId="30">
    <w:abstractNumId w:val="17"/>
  </w:num>
  <w:num w:numId="31">
    <w:abstractNumId w:val="27"/>
  </w:num>
  <w:num w:numId="32">
    <w:abstractNumId w:val="10"/>
  </w:num>
  <w:num w:numId="33">
    <w:abstractNumId w:val="21"/>
  </w:num>
  <w:num w:numId="34">
    <w:abstractNumId w:val="4"/>
  </w:num>
  <w:num w:numId="35">
    <w:abstractNumId w:val="18"/>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7AEFA18-F1D0-4BEC-A84A-43BA07535516"/>
    <w:docVar w:name="LW_COVERPAGE_TYPE" w:val="1"/>
    <w:docVar w:name="LW_CROSSREFERENCE" w:val="&lt;UNUSED&gt;"/>
    <w:docVar w:name="LW_DocType" w:val="NORMAL"/>
    <w:docVar w:name="LW_EMISSION" w:val="5.6.2019"/>
    <w:docVar w:name="LW_EMISSION_ISODATE" w:val="2019-06-05"/>
    <w:docVar w:name="LW_EMISSION_LOCATION" w:val="BRX"/>
    <w:docVar w:name="LW_EMISSION_PREFIX" w:val="Βρυξέλλες, "/>
    <w:docVar w:name="LW_EMISSION_SUFFIX" w:val="&lt;EMPTY&gt;"/>
    <w:docVar w:name="LW_ID_DOCTYPE_NONLW" w:val="CP-00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5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914?\u941?\u955?\u947?\u953?\u959?_x000b__x000b_\u904?\u954?\u952?\u949?\u963?\u951? \u960?\u959?\u965? \u963?\u965?\u957?\u964?\u940?\u967?\u952?\u951?\u954?\u949? \u963?\u973?\u956?\u966?\u969?\u957?\u945? \u956?\u949? \u964?\u959? \u940?\u961?\u952?\u961?\u959? 126 \u960?\u945?\u961?\u940?\u947?\u961?\u945?\u966?\u959?\u962? 3 \u964?\u951?\u962? \u931?\u965?\u957?\u952?\u942?\u954?\u951?\u962? \u947?\u953?\u945? \u964?\u951? \u955?\u949?\u953?\u964?\u959?\u965?\u961?\u947?\u943?\u945? \u964?\u951?\u962? \u917?\u965?\u961?\u969?\u960?\u945?\u970?\u954?\u942?\u962? \u904?\u957?\u969?\u963?\u951?\u962?"/>
    <w:docVar w:name="LW_TYPE.DOC.CP" w:val="\u917?\u922?\u920?\u917?\u931?\u919?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l-GR"/>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l-GR"/>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l-GR"/>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l-GR"/>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el-GR"/>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uiPriority w:val="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l-GR"/>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l-GR"/>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l-GR"/>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l-GR"/>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el-GR"/>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uiPriority w:val="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20360925">
      <w:bodyDiv w:val="1"/>
      <w:marLeft w:val="0"/>
      <w:marRight w:val="0"/>
      <w:marTop w:val="0"/>
      <w:marBottom w:val="0"/>
      <w:divBdr>
        <w:top w:val="none" w:sz="0" w:space="0" w:color="auto"/>
        <w:left w:val="none" w:sz="0" w:space="0" w:color="auto"/>
        <w:bottom w:val="none" w:sz="0" w:space="0" w:color="auto"/>
        <w:right w:val="none" w:sz="0" w:space="0" w:color="auto"/>
      </w:divBdr>
      <w:divsChild>
        <w:div w:id="471101102">
          <w:marLeft w:val="0"/>
          <w:marRight w:val="0"/>
          <w:marTop w:val="0"/>
          <w:marBottom w:val="0"/>
          <w:divBdr>
            <w:top w:val="none" w:sz="0" w:space="0" w:color="auto"/>
            <w:left w:val="none" w:sz="0" w:space="0" w:color="auto"/>
            <w:bottom w:val="none" w:sz="0" w:space="0" w:color="auto"/>
            <w:right w:val="none" w:sz="0" w:space="0" w:color="auto"/>
          </w:divBdr>
        </w:div>
        <w:div w:id="1134907908">
          <w:marLeft w:val="0"/>
          <w:marRight w:val="0"/>
          <w:marTop w:val="0"/>
          <w:marBottom w:val="0"/>
          <w:divBdr>
            <w:top w:val="none" w:sz="0" w:space="0" w:color="auto"/>
            <w:left w:val="none" w:sz="0" w:space="0" w:color="auto"/>
            <w:bottom w:val="none" w:sz="0" w:space="0" w:color="auto"/>
            <w:right w:val="none" w:sz="0" w:space="0" w:color="auto"/>
          </w:divBdr>
        </w:div>
      </w:divsChild>
    </w:div>
    <w:div w:id="241646127">
      <w:bodyDiv w:val="1"/>
      <w:marLeft w:val="0"/>
      <w:marRight w:val="0"/>
      <w:marTop w:val="0"/>
      <w:marBottom w:val="0"/>
      <w:divBdr>
        <w:top w:val="none" w:sz="0" w:space="0" w:color="auto"/>
        <w:left w:val="none" w:sz="0" w:space="0" w:color="auto"/>
        <w:bottom w:val="none" w:sz="0" w:space="0" w:color="auto"/>
        <w:right w:val="none" w:sz="0" w:space="0" w:color="auto"/>
      </w:divBdr>
      <w:divsChild>
        <w:div w:id="690452879">
          <w:marLeft w:val="0"/>
          <w:marRight w:val="0"/>
          <w:marTop w:val="0"/>
          <w:marBottom w:val="0"/>
          <w:divBdr>
            <w:top w:val="none" w:sz="0" w:space="0" w:color="auto"/>
            <w:left w:val="none" w:sz="0" w:space="0" w:color="auto"/>
            <w:bottom w:val="none" w:sz="0" w:space="0" w:color="auto"/>
            <w:right w:val="none" w:sz="0" w:space="0" w:color="auto"/>
          </w:divBdr>
        </w:div>
        <w:div w:id="277152014">
          <w:marLeft w:val="0"/>
          <w:marRight w:val="0"/>
          <w:marTop w:val="0"/>
          <w:marBottom w:val="0"/>
          <w:divBdr>
            <w:top w:val="none" w:sz="0" w:space="0" w:color="auto"/>
            <w:left w:val="none" w:sz="0" w:space="0" w:color="auto"/>
            <w:bottom w:val="none" w:sz="0" w:space="0" w:color="auto"/>
            <w:right w:val="none" w:sz="0" w:space="0" w:color="auto"/>
          </w:divBdr>
        </w:div>
        <w:div w:id="51852052">
          <w:marLeft w:val="0"/>
          <w:marRight w:val="0"/>
          <w:marTop w:val="0"/>
          <w:marBottom w:val="0"/>
          <w:divBdr>
            <w:top w:val="none" w:sz="0" w:space="0" w:color="auto"/>
            <w:left w:val="none" w:sz="0" w:space="0" w:color="auto"/>
            <w:bottom w:val="none" w:sz="0" w:space="0" w:color="auto"/>
            <w:right w:val="none" w:sz="0" w:space="0" w:color="auto"/>
          </w:divBdr>
        </w:div>
      </w:divsChild>
    </w:div>
    <w:div w:id="544636912">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5613494">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16860311">
      <w:bodyDiv w:val="1"/>
      <w:marLeft w:val="0"/>
      <w:marRight w:val="0"/>
      <w:marTop w:val="0"/>
      <w:marBottom w:val="0"/>
      <w:divBdr>
        <w:top w:val="none" w:sz="0" w:space="0" w:color="auto"/>
        <w:left w:val="none" w:sz="0" w:space="0" w:color="auto"/>
        <w:bottom w:val="none" w:sz="0" w:space="0" w:color="auto"/>
        <w:right w:val="none" w:sz="0" w:space="0" w:color="auto"/>
      </w:divBdr>
      <w:divsChild>
        <w:div w:id="928468504">
          <w:marLeft w:val="0"/>
          <w:marRight w:val="0"/>
          <w:marTop w:val="0"/>
          <w:marBottom w:val="0"/>
          <w:divBdr>
            <w:top w:val="none" w:sz="0" w:space="0" w:color="auto"/>
            <w:left w:val="none" w:sz="0" w:space="0" w:color="auto"/>
            <w:bottom w:val="none" w:sz="0" w:space="0" w:color="auto"/>
            <w:right w:val="none" w:sz="0" w:space="0" w:color="auto"/>
          </w:divBdr>
        </w:div>
        <w:div w:id="169489499">
          <w:marLeft w:val="0"/>
          <w:marRight w:val="0"/>
          <w:marTop w:val="0"/>
          <w:marBottom w:val="0"/>
          <w:divBdr>
            <w:top w:val="none" w:sz="0" w:space="0" w:color="auto"/>
            <w:left w:val="none" w:sz="0" w:space="0" w:color="auto"/>
            <w:bottom w:val="none" w:sz="0" w:space="0" w:color="auto"/>
            <w:right w:val="none" w:sz="0" w:space="0" w:color="auto"/>
          </w:divBdr>
        </w:div>
      </w:divsChild>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072041211">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8181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conomy_finance/economic_governance/sgp/legal_tex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42C4-D8DF-41F5-BC40-684CAE5E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9461</Words>
  <Characters>52985</Characters>
  <Application>Microsoft Office Word</Application>
  <DocSecurity>0</DocSecurity>
  <Lines>827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25</cp:revision>
  <cp:lastPrinted>2019-05-28T15:36:00Z</cp:lastPrinted>
  <dcterms:created xsi:type="dcterms:W3CDTF">2019-06-03T11:19:00Z</dcterms:created>
  <dcterms:modified xsi:type="dcterms:W3CDTF">2019-07-04T12:42:00Z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