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A033A70-24E1-4DCB-A308-49639F036763" style="width:450.4pt;height:320.6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SPRÁVA KOMISIE</w:t>
      </w:r>
    </w:p>
    <w:p>
      <w:pPr>
        <w:pStyle w:val="Titreobjet"/>
        <w:rPr>
          <w:noProof/>
        </w:rPr>
      </w:pPr>
      <w:r>
        <w:rPr>
          <w:noProof/>
        </w:rPr>
        <w:t>Cyprus</w:t>
      </w:r>
      <w:r>
        <w:rPr>
          <w:noProof/>
        </w:rPr>
        <w:br/>
      </w:r>
      <w:r>
        <w:rPr>
          <w:noProof/>
        </w:rPr>
        <w:br/>
        <w:t>Správa vypracovaná v súlade s článkom 126 ods. 3 Zmluvy o fungovaní Európskej únie</w:t>
      </w:r>
    </w:p>
    <w:p>
      <w:pPr>
        <w:keepNext/>
        <w:tabs>
          <w:tab w:val="left" w:pos="850"/>
        </w:tabs>
        <w:spacing w:before="360" w:after="120" w:line="240" w:lineRule="auto"/>
        <w:jc w:val="both"/>
        <w:outlineLvl w:val="0"/>
        <w:rPr>
          <w:rFonts w:ascii="Times New Roman" w:hAnsi="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Úvod</w:t>
      </w:r>
    </w:p>
    <w:p>
      <w:pPr>
        <w:autoSpaceDE w:val="0"/>
        <w:autoSpaceDN w:val="0"/>
        <w:adjustRightInd w:val="0"/>
        <w:spacing w:before="120" w:after="0" w:line="240" w:lineRule="auto"/>
        <w:jc w:val="both"/>
        <w:rPr>
          <w:rFonts w:ascii="Times New Roman" w:eastAsia="Times New Roman" w:hAnsi="Times New Roman" w:cs="Calibri"/>
          <w:noProof/>
          <w:sz w:val="24"/>
        </w:rPr>
      </w:pPr>
      <w:r>
        <w:rPr>
          <w:rFonts w:ascii="Times New Roman" w:hAnsi="Times New Roman"/>
          <w:noProof/>
          <w:sz w:val="24"/>
        </w:rPr>
        <w:t>V článku 126 Zmluvy o fungovaní Európskej únie (ďalej len „zmluva“) sa stanovuje postup pri nadmernom deficite. Tento postup sa ďalej spresňuje v nariadení Rady (ES) č. 1467/97 o urýchľovaní a objasňovaní vykonania postupu pri nadmernom schodku</w:t>
      </w:r>
      <w:r>
        <w:rPr>
          <w:rFonts w:ascii="Times New Roman" w:hAnsi="Times New Roman"/>
          <w:noProof/>
          <w:sz w:val="20"/>
          <w:vertAlign w:val="superscript"/>
        </w:rPr>
        <w:footnoteReference w:id="2"/>
      </w:r>
      <w:r>
        <w:rPr>
          <w:rFonts w:ascii="Times New Roman" w:hAnsi="Times New Roman"/>
          <w:noProof/>
          <w:sz w:val="24"/>
        </w:rPr>
        <w:t>, ktoré je súčasťou Paktu stability a rastu. Osobitné ustanovenia pre členské štáty eurozóny v rámci postupu pri nadmernom deficite sú stanovené v nariadení (EÚ) č. 473/2013</w:t>
      </w:r>
      <w:r>
        <w:rPr>
          <w:rFonts w:ascii="Times New Roman" w:hAnsi="Times New Roman"/>
          <w:noProof/>
          <w:sz w:val="20"/>
          <w:vertAlign w:val="superscript"/>
        </w:rPr>
        <w:footnoteReference w:id="3"/>
      </w:r>
      <w:r>
        <w:rPr>
          <w:rFonts w:ascii="Times New Roman" w:hAnsi="Times New Roman"/>
          <w:noProof/>
          <w:sz w:val="24"/>
        </w:rPr>
        <w:t>.</w:t>
      </w:r>
    </w:p>
    <w:p>
      <w:pPr>
        <w:autoSpaceDE w:val="0"/>
        <w:autoSpaceDN w:val="0"/>
        <w:adjustRightInd w:val="0"/>
        <w:spacing w:before="120" w:after="0" w:line="240" w:lineRule="auto"/>
        <w:jc w:val="both"/>
        <w:rPr>
          <w:rFonts w:ascii="Times New Roman" w:eastAsia="Times New Roman" w:hAnsi="Times New Roman" w:cs="Calibri"/>
          <w:noProof/>
          <w:sz w:val="24"/>
        </w:rPr>
      </w:pPr>
      <w:r>
        <w:rPr>
          <w:rFonts w:ascii="Times New Roman" w:hAnsi="Times New Roman"/>
          <w:noProof/>
          <w:sz w:val="24"/>
        </w:rPr>
        <w:t>Podľa článku 126 ods. 2 zmluvy Komisia musí monitorovať dodržiavanie rozpočtovej disciplíny na základe dvoch kritérií, a to: a) či pomer plánovaného alebo skutočného deficitu verejných financií k hrubému domácemu produktu (HDP) neprekračuje referenčnú hodnotu 3 %, okrem prípadov, ak tento pomer podstatne klesol alebo ak sa stále znižuje a dosahuje úroveň, ktorá sa približuje k referenčnej hodnote, alebo ak sa referenčná hodnota prevýši len výnimočne a dočasne a miera deficitu sa pohybuje tesne okolo referenčnej hodnoty a b) či pomer verejného dlhu k HDP neprekračuje referenčnú hodnotu 60 %, okrem prípadov, keď sa tento pomer dostatočne znižuje a vyhovujúcim tempom sa približuje k referenčnej hodnote</w:t>
      </w:r>
      <w:r>
        <w:rPr>
          <w:rStyle w:val="FootnoteReference"/>
          <w:rFonts w:eastAsiaTheme="minorHAnsi"/>
          <w:noProof/>
        </w:rPr>
        <w:footnoteReference w:id="4"/>
      </w:r>
      <w:r>
        <w:rPr>
          <w:noProof/>
        </w:rPr>
        <w:t>.</w:t>
      </w:r>
    </w:p>
    <w:p>
      <w:pPr>
        <w:autoSpaceDE w:val="0"/>
        <w:autoSpaceDN w:val="0"/>
        <w:adjustRightInd w:val="0"/>
        <w:spacing w:before="120" w:after="0" w:line="240" w:lineRule="auto"/>
        <w:jc w:val="both"/>
        <w:rPr>
          <w:rFonts w:ascii="Times New Roman" w:eastAsia="Times New Roman" w:hAnsi="Times New Roman" w:cs="Calibri"/>
          <w:noProof/>
          <w:sz w:val="24"/>
        </w:rPr>
      </w:pPr>
      <w:r>
        <w:rPr>
          <w:rFonts w:ascii="Times New Roman" w:hAnsi="Times New Roman"/>
          <w:noProof/>
          <w:sz w:val="24"/>
        </w:rPr>
        <w:t>V článku 126 ods. 3 zmluvy sa stanovuje, že ak členský štát nesplní požiadavky vyplývajúce z jedného alebo z oboch uvedených kritérií, Komisia pripraví správu. Uvedená správa „</w:t>
      </w:r>
      <w:r>
        <w:rPr>
          <w:rFonts w:ascii="Times New Roman" w:hAnsi="Times New Roman"/>
          <w:i/>
          <w:noProof/>
          <w:sz w:val="24"/>
        </w:rPr>
        <w:t>prihliadne tiež na to, či štátny deficit prekračuje štátne výdavky na investície a zohľadní všetky ostatné závažné faktory vrátane stavu hospodárskeho a rozpočtového výhľadu členského štátu na stredne dlhé obdobie</w:t>
      </w:r>
      <w:r>
        <w:rPr>
          <w:rFonts w:ascii="Times New Roman" w:hAnsi="Times New Roman"/>
          <w:noProof/>
          <w:sz w:val="24"/>
        </w:rPr>
        <w:t>“.</w:t>
      </w:r>
    </w:p>
    <w:p>
      <w:pPr>
        <w:autoSpaceDE w:val="0"/>
        <w:autoSpaceDN w:val="0"/>
        <w:adjustRightInd w:val="0"/>
        <w:spacing w:before="120" w:after="0" w:line="240" w:lineRule="auto"/>
        <w:jc w:val="both"/>
        <w:rPr>
          <w:rFonts w:ascii="Times New Roman" w:hAnsi="Times New Roman"/>
          <w:noProof/>
          <w:sz w:val="24"/>
        </w:rPr>
      </w:pPr>
      <w:r>
        <w:rPr>
          <w:rFonts w:ascii="Times New Roman" w:hAnsi="Times New Roman"/>
          <w:noProof/>
          <w:sz w:val="24"/>
        </w:rPr>
        <w:t>V tejto správe, ktorá predstavuje prvý krok v rámci postupu pri nadmernom deficite, sa analyzuje dodržiavanie kritéria deficitu a dlhového kritéria stanovených v zmluve zo strany Cypru s náležitým zreteľom na ekonomický kontext a ďalšie závažné faktory.</w:t>
      </w:r>
    </w:p>
    <w:p>
      <w:pPr>
        <w:autoSpaceDE w:val="0"/>
        <w:autoSpaceDN w:val="0"/>
        <w:adjustRightInd w:val="0"/>
        <w:spacing w:before="120" w:after="0" w:line="240" w:lineRule="auto"/>
        <w:jc w:val="both"/>
        <w:rPr>
          <w:rFonts w:ascii="Times New Roman" w:eastAsia="Times New Roman" w:hAnsi="Times New Roman" w:cs="Times New Roman"/>
          <w:noProof/>
          <w:sz w:val="24"/>
          <w:highlight w:val="yellow"/>
        </w:rPr>
      </w:pPr>
      <w:r>
        <w:rPr>
          <w:rFonts w:ascii="Times New Roman" w:hAnsi="Times New Roman"/>
          <w:noProof/>
          <w:sz w:val="24"/>
        </w:rPr>
        <w:t>Z údajov, ktoré poskytli cyperské orgány 29. marca 2019</w:t>
      </w:r>
      <w:r>
        <w:rPr>
          <w:rFonts w:ascii="Times New Roman" w:hAnsi="Times New Roman"/>
          <w:noProof/>
          <w:sz w:val="20"/>
          <w:vertAlign w:val="superscript"/>
        </w:rPr>
        <w:footnoteReference w:id="5"/>
      </w:r>
      <w:r>
        <w:rPr>
          <w:rFonts w:ascii="Times New Roman" w:hAnsi="Times New Roman"/>
          <w:noProof/>
          <w:sz w:val="24"/>
        </w:rPr>
        <w:t xml:space="preserve"> a ktoré následne overil Eurostat</w:t>
      </w:r>
      <w:r>
        <w:rPr>
          <w:rFonts w:ascii="Times New Roman" w:hAnsi="Times New Roman"/>
          <w:noProof/>
          <w:sz w:val="20"/>
          <w:vertAlign w:val="superscript"/>
        </w:rPr>
        <w:footnoteReference w:id="6"/>
      </w:r>
      <w:r>
        <w:rPr>
          <w:rFonts w:ascii="Times New Roman" w:hAnsi="Times New Roman"/>
          <w:noProof/>
          <w:sz w:val="24"/>
        </w:rPr>
        <w:t>, vyplýva, že celkový deficit verejných financií na Cypre dosiahol v roku 2018 úroveň 4,8 % HDP, zatiaľ čo dlh bol na úrovni 102,5 % HDP, čo je viac, ako sú referenčné hodnoty 3 %, resp. 60 % HDP uvedené v zmluve. V oznámení sa na rok 2019 predpokladal celkový prebytok verejných financií vo výške 3,4 % HDP a pomer dlhu k HDP vo výške 95,9 % HDP. V cyperskom programe stability na rok 2019, ktorý Komisia prijala 30. apríla 2019, je naplánovaný celkový prebytok vo výške 3,0 % HDP a pomer dlhu k HDP vo výške 95,7 % HDP.</w:t>
      </w:r>
    </w:p>
    <w:p>
      <w:pPr>
        <w:autoSpaceDE w:val="0"/>
        <w:autoSpaceDN w:val="0"/>
        <w:adjustRightInd w:val="0"/>
        <w:spacing w:before="120" w:after="0" w:line="240" w:lineRule="auto"/>
        <w:jc w:val="both"/>
        <w:rPr>
          <w:rFonts w:ascii="Times New Roman" w:hAnsi="Times New Roman"/>
          <w:noProof/>
          <w:sz w:val="24"/>
        </w:rPr>
      </w:pPr>
      <w:r>
        <w:rPr>
          <w:rFonts w:ascii="Times New Roman" w:hAnsi="Times New Roman"/>
          <w:noProof/>
          <w:sz w:val="24"/>
        </w:rPr>
        <w:t>Z oznámených údajov vyplýva, že Cyprus v roku 2018 nedodržal kritérium deficitu (pozri tabuľku č. 1), keďže oznámený celkový deficit verejných financií bol vyšší ako referenčná hodnota 3 % HDP. Podľa prognózy Komisie z jari 2019, ktorá bola zverejnená 7. mája 2019, sa očakáva, že Cyprus v rokoch 2019 a 2020 dodrží kritérium deficitu, keďže sa predpokladá, že jeho celkové saldo dosiahne prebytok vo výške 3 % HDP, resp. 2,8 % HDP. Na základe scenára uvedeného v programe stability sa takisto očakáva, že Cyprus od roku 2019 dodrží kritérium deficitu s plánovaným celkovým prebytkom 3,0 % HDP v roku 2019 a 2,6 % HDP v roku 2020.</w:t>
      </w:r>
    </w:p>
    <w:p>
      <w:pPr>
        <w:spacing w:before="120" w:after="120" w:line="240" w:lineRule="auto"/>
        <w:jc w:val="both"/>
        <w:rPr>
          <w:rFonts w:ascii="Times New Roman" w:hAnsi="Times New Roman"/>
          <w:noProof/>
          <w:sz w:val="24"/>
        </w:rPr>
      </w:pPr>
      <w:r>
        <w:rPr>
          <w:rFonts w:ascii="Times New Roman" w:hAnsi="Times New Roman"/>
          <w:noProof/>
          <w:sz w:val="24"/>
        </w:rPr>
        <w:t xml:space="preserve">So zreteľom na všetky faktory uvedené nižšie však nedodržanie kritéria deficitu zo strany Cypru v roku 2018 poskytuje dôkazy </w:t>
      </w:r>
      <w:r>
        <w:rPr>
          <w:rFonts w:ascii="Times New Roman" w:hAnsi="Times New Roman"/>
          <w:i/>
          <w:noProof/>
          <w:sz w:val="24"/>
        </w:rPr>
        <w:t>prima facie</w:t>
      </w:r>
      <w:r>
        <w:rPr>
          <w:rFonts w:ascii="Times New Roman" w:hAnsi="Times New Roman"/>
          <w:noProof/>
          <w:sz w:val="24"/>
        </w:rPr>
        <w:t xml:space="preserve"> o predchádzajúcom nadmernom deficite na účely Paktu stability a rastu.</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Hoci jeho pomer dlhu k HDP je v roku 2018 vyšší ako 60 % HDP, Cyprus v roku 2018 dodržal prechodné pravidlo týkajúce sa dlhu a predpokladá sa, že v rokoch 2019 a 2020 dodrží referenčnú hodnotu pre úpravu pomeru dlhu k HDP. Z toho vyplýva, že Cyprus dodržal dlhové kritérium na účely Paktu stability a rastu.</w:t>
      </w:r>
    </w:p>
    <w:p>
      <w:pPr>
        <w:keepNext/>
        <w:spacing w:before="240" w:after="120" w:line="240" w:lineRule="auto"/>
        <w:jc w:val="center"/>
        <w:rPr>
          <w:rFonts w:ascii="Times New Roman" w:eastAsia="Times New Roman" w:hAnsi="Times New Roman" w:cs="Times New Roman"/>
          <w:b/>
          <w:noProof/>
          <w:color w:val="FF0000"/>
          <w:sz w:val="24"/>
        </w:rPr>
      </w:pPr>
      <w:r>
        <w:rPr>
          <w:rFonts w:ascii="Times New Roman" w:hAnsi="Times New Roman"/>
          <w:b/>
          <w:noProof/>
          <w:sz w:val="24"/>
        </w:rPr>
        <w:t xml:space="preserve">Tabuľka č.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Deficit verejných financií a verejný dlh (% HDP) </w:t>
      </w:r>
    </w:p>
    <w:tbl>
      <w:tblPr>
        <w:tblW w:w="7516" w:type="dxa"/>
        <w:tblInd w:w="392" w:type="dxa"/>
        <w:tblLook w:val="04A0" w:firstRow="1" w:lastRow="0" w:firstColumn="1" w:lastColumn="0" w:noHBand="0" w:noVBand="1"/>
      </w:tblPr>
      <w:tblGrid>
        <w:gridCol w:w="1606"/>
        <w:gridCol w:w="700"/>
        <w:gridCol w:w="700"/>
        <w:gridCol w:w="700"/>
        <w:gridCol w:w="700"/>
        <w:gridCol w:w="1020"/>
        <w:gridCol w:w="1010"/>
        <w:gridCol w:w="1080"/>
      </w:tblGrid>
      <w:tr>
        <w:trPr>
          <w:trHeight w:val="315"/>
        </w:trPr>
        <w:tc>
          <w:tcPr>
            <w:tcW w:w="1606" w:type="dxa"/>
            <w:vMerge w:val="restart"/>
            <w:tcBorders>
              <w:top w:val="single" w:sz="8" w:space="0" w:color="auto"/>
              <w:left w:val="single" w:sz="8" w:space="0" w:color="auto"/>
              <w:bottom w:val="nil"/>
              <w:right w:val="single" w:sz="8" w:space="0" w:color="auto"/>
            </w:tcBorders>
            <w:shd w:val="clear" w:color="000000" w:fill="FFFFFF"/>
            <w:vAlign w:val="center"/>
            <w:hideMark/>
          </w:tcPr>
          <w:p>
            <w:pPr>
              <w:spacing w:after="0" w:line="240" w:lineRule="auto"/>
              <w:jc w:val="center"/>
              <w:rPr>
                <w:rFonts w:ascii="Times New Roman" w:eastAsia="Times New Roman" w:hAnsi="Times New Roman" w:cs="Times New Roman"/>
                <w:b/>
                <w:bCs/>
                <w:noProof/>
                <w:color w:val="000000"/>
                <w:sz w:val="20"/>
                <w:szCs w:val="20"/>
                <w:lang w:eastAsia="en-US" w:bidi="ar-SA"/>
              </w:rPr>
            </w:pPr>
            <w:r>
              <w:rPr>
                <w:rFonts w:ascii="Times New Roman" w:eastAsia="Times New Roman" w:hAnsi="Times New Roman" w:cs="Times New Roman"/>
                <w:b/>
                <w:bCs/>
                <w:noProof/>
                <w:color w:val="000000"/>
                <w:sz w:val="20"/>
                <w:szCs w:val="20"/>
                <w:lang w:eastAsia="en-US" w:bidi="ar-SA"/>
              </w:rPr>
              <w:t> </w:t>
            </w:r>
          </w:p>
        </w:tc>
        <w:tc>
          <w:tcPr>
            <w:tcW w:w="70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b/>
                <w:bCs/>
                <w:noProof/>
                <w:color w:val="000000"/>
                <w:sz w:val="20"/>
                <w:szCs w:val="20"/>
                <w:lang w:eastAsia="en-US" w:bidi="ar-SA"/>
              </w:rPr>
            </w:pPr>
            <w:r>
              <w:rPr>
                <w:rFonts w:ascii="Times New Roman" w:eastAsia="Times New Roman" w:hAnsi="Times New Roman" w:cs="Times New Roman"/>
                <w:b/>
                <w:bCs/>
                <w:noProof/>
                <w:color w:val="000000"/>
                <w:sz w:val="20"/>
                <w:szCs w:val="20"/>
                <w:lang w:eastAsia="en-US" w:bidi="ar-SA"/>
              </w:rPr>
              <w:t>2016</w:t>
            </w:r>
          </w:p>
        </w:tc>
        <w:tc>
          <w:tcPr>
            <w:tcW w:w="70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b/>
                <w:bCs/>
                <w:noProof/>
                <w:color w:val="000000"/>
                <w:sz w:val="20"/>
                <w:szCs w:val="20"/>
                <w:lang w:eastAsia="en-US" w:bidi="ar-SA"/>
              </w:rPr>
            </w:pPr>
            <w:r>
              <w:rPr>
                <w:rFonts w:ascii="Times New Roman" w:eastAsia="Times New Roman" w:hAnsi="Times New Roman" w:cs="Times New Roman"/>
                <w:b/>
                <w:bCs/>
                <w:noProof/>
                <w:color w:val="000000"/>
                <w:sz w:val="20"/>
                <w:szCs w:val="20"/>
                <w:lang w:eastAsia="en-US" w:bidi="ar-SA"/>
              </w:rPr>
              <w:t>2017</w:t>
            </w:r>
          </w:p>
        </w:tc>
        <w:tc>
          <w:tcPr>
            <w:tcW w:w="70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b/>
                <w:bCs/>
                <w:noProof/>
                <w:color w:val="000000"/>
                <w:sz w:val="20"/>
                <w:szCs w:val="20"/>
                <w:lang w:eastAsia="en-US" w:bidi="ar-SA"/>
              </w:rPr>
            </w:pPr>
            <w:r>
              <w:rPr>
                <w:rFonts w:ascii="Times New Roman" w:eastAsia="Times New Roman" w:hAnsi="Times New Roman" w:cs="Times New Roman"/>
                <w:b/>
                <w:bCs/>
                <w:noProof/>
                <w:color w:val="000000"/>
                <w:sz w:val="20"/>
                <w:szCs w:val="20"/>
                <w:lang w:eastAsia="en-US" w:bidi="ar-SA"/>
              </w:rPr>
              <w:t>2018</w:t>
            </w:r>
          </w:p>
        </w:tc>
        <w:tc>
          <w:tcPr>
            <w:tcW w:w="1720" w:type="dxa"/>
            <w:gridSpan w:val="2"/>
            <w:tcBorders>
              <w:top w:val="single" w:sz="8" w:space="0" w:color="auto"/>
              <w:left w:val="nil"/>
              <w:bottom w:val="single" w:sz="4" w:space="0" w:color="auto"/>
              <w:right w:val="single" w:sz="4" w:space="0" w:color="000000"/>
            </w:tcBorders>
            <w:shd w:val="clear" w:color="000000" w:fill="D9D9D9"/>
            <w:vAlign w:val="center"/>
            <w:hideMark/>
          </w:tcPr>
          <w:p>
            <w:pPr>
              <w:spacing w:after="0" w:line="240" w:lineRule="auto"/>
              <w:jc w:val="center"/>
              <w:rPr>
                <w:rFonts w:ascii="Times New Roman" w:eastAsia="Times New Roman" w:hAnsi="Times New Roman" w:cs="Times New Roman"/>
                <w:b/>
                <w:bCs/>
                <w:noProof/>
                <w:color w:val="000000"/>
                <w:sz w:val="20"/>
                <w:szCs w:val="20"/>
                <w:lang w:eastAsia="en-US" w:bidi="ar-SA"/>
              </w:rPr>
            </w:pPr>
            <w:r>
              <w:rPr>
                <w:rFonts w:ascii="Times New Roman" w:eastAsia="Times New Roman" w:hAnsi="Times New Roman" w:cs="Times New Roman"/>
                <w:b/>
                <w:bCs/>
                <w:noProof/>
                <w:color w:val="000000"/>
                <w:sz w:val="20"/>
                <w:szCs w:val="20"/>
                <w:lang w:eastAsia="en-US" w:bidi="ar-SA"/>
              </w:rPr>
              <w:t>2019</w:t>
            </w:r>
          </w:p>
        </w:tc>
        <w:tc>
          <w:tcPr>
            <w:tcW w:w="2090" w:type="dxa"/>
            <w:gridSpan w:val="2"/>
            <w:tcBorders>
              <w:top w:val="single" w:sz="8" w:space="0" w:color="auto"/>
              <w:left w:val="nil"/>
              <w:bottom w:val="single" w:sz="4" w:space="0" w:color="auto"/>
              <w:right w:val="single" w:sz="8" w:space="0" w:color="000000"/>
            </w:tcBorders>
            <w:shd w:val="clear" w:color="000000" w:fill="D9D9D9"/>
            <w:vAlign w:val="center"/>
            <w:hideMark/>
          </w:tcPr>
          <w:p>
            <w:pPr>
              <w:spacing w:after="0" w:line="240" w:lineRule="auto"/>
              <w:jc w:val="center"/>
              <w:rPr>
                <w:rFonts w:ascii="Times New Roman" w:eastAsia="Times New Roman" w:hAnsi="Times New Roman" w:cs="Times New Roman"/>
                <w:b/>
                <w:bCs/>
                <w:noProof/>
                <w:color w:val="000000"/>
                <w:sz w:val="20"/>
                <w:szCs w:val="20"/>
                <w:lang w:eastAsia="en-US" w:bidi="ar-SA"/>
              </w:rPr>
            </w:pPr>
            <w:r>
              <w:rPr>
                <w:rFonts w:ascii="Times New Roman" w:eastAsia="Times New Roman" w:hAnsi="Times New Roman" w:cs="Times New Roman"/>
                <w:b/>
                <w:bCs/>
                <w:noProof/>
                <w:color w:val="000000"/>
                <w:sz w:val="20"/>
                <w:szCs w:val="20"/>
                <w:lang w:eastAsia="en-US" w:bidi="ar-SA"/>
              </w:rPr>
              <w:t>2020</w:t>
            </w:r>
          </w:p>
        </w:tc>
      </w:tr>
      <w:tr>
        <w:trPr>
          <w:trHeight w:val="330"/>
        </w:trPr>
        <w:tc>
          <w:tcPr>
            <w:tcW w:w="1606" w:type="dxa"/>
            <w:vMerge/>
            <w:tcBorders>
              <w:top w:val="single" w:sz="8" w:space="0" w:color="auto"/>
              <w:left w:val="single" w:sz="8" w:space="0" w:color="auto"/>
              <w:bottom w:val="nil"/>
              <w:right w:val="single" w:sz="8" w:space="0" w:color="auto"/>
            </w:tcBorders>
            <w:vAlign w:val="center"/>
            <w:hideMark/>
          </w:tcPr>
          <w:p>
            <w:pPr>
              <w:spacing w:after="0" w:line="240" w:lineRule="auto"/>
              <w:rPr>
                <w:rFonts w:ascii="Times New Roman" w:eastAsia="Times New Roman" w:hAnsi="Times New Roman" w:cs="Times New Roman"/>
                <w:b/>
                <w:bCs/>
                <w:noProof/>
                <w:color w:val="000000"/>
                <w:sz w:val="20"/>
                <w:szCs w:val="20"/>
                <w:lang w:eastAsia="en-US" w:bidi="ar-SA"/>
              </w:rPr>
            </w:pPr>
          </w:p>
        </w:tc>
        <w:tc>
          <w:tcPr>
            <w:tcW w:w="700" w:type="dxa"/>
            <w:vMerge/>
            <w:tcBorders>
              <w:top w:val="single" w:sz="8" w:space="0" w:color="auto"/>
              <w:left w:val="single" w:sz="8" w:space="0" w:color="auto"/>
              <w:bottom w:val="single" w:sz="8" w:space="0" w:color="000000"/>
              <w:right w:val="single" w:sz="4" w:space="0" w:color="auto"/>
            </w:tcBorders>
            <w:vAlign w:val="center"/>
            <w:hideMark/>
          </w:tcPr>
          <w:p>
            <w:pPr>
              <w:spacing w:after="0" w:line="240" w:lineRule="auto"/>
              <w:rPr>
                <w:rFonts w:ascii="Times New Roman" w:eastAsia="Times New Roman" w:hAnsi="Times New Roman" w:cs="Times New Roman"/>
                <w:b/>
                <w:bCs/>
                <w:noProof/>
                <w:color w:val="000000"/>
                <w:sz w:val="20"/>
                <w:szCs w:val="20"/>
                <w:lang w:eastAsia="en-US" w:bidi="ar-SA"/>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pPr>
              <w:spacing w:after="0" w:line="240" w:lineRule="auto"/>
              <w:rPr>
                <w:rFonts w:ascii="Times New Roman" w:eastAsia="Times New Roman" w:hAnsi="Times New Roman" w:cs="Times New Roman"/>
                <w:b/>
                <w:bCs/>
                <w:noProof/>
                <w:color w:val="000000"/>
                <w:sz w:val="20"/>
                <w:szCs w:val="20"/>
                <w:lang w:eastAsia="en-US" w:bidi="ar-SA"/>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pPr>
              <w:spacing w:after="0" w:line="240" w:lineRule="auto"/>
              <w:rPr>
                <w:rFonts w:ascii="Times New Roman" w:eastAsia="Times New Roman" w:hAnsi="Times New Roman" w:cs="Times New Roman"/>
                <w:b/>
                <w:bCs/>
                <w:noProof/>
                <w:color w:val="000000"/>
                <w:sz w:val="20"/>
                <w:szCs w:val="20"/>
                <w:lang w:eastAsia="en-US" w:bidi="ar-SA"/>
              </w:rPr>
            </w:pPr>
          </w:p>
        </w:tc>
        <w:tc>
          <w:tcPr>
            <w:tcW w:w="700" w:type="dxa"/>
            <w:tcBorders>
              <w:top w:val="nil"/>
              <w:left w:val="nil"/>
              <w:bottom w:val="single" w:sz="8"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KOM</w:t>
            </w:r>
          </w:p>
        </w:tc>
        <w:tc>
          <w:tcPr>
            <w:tcW w:w="1020" w:type="dxa"/>
            <w:tcBorders>
              <w:top w:val="nil"/>
              <w:left w:val="nil"/>
              <w:bottom w:val="single" w:sz="8"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PS</w:t>
            </w:r>
          </w:p>
        </w:tc>
        <w:tc>
          <w:tcPr>
            <w:tcW w:w="1010" w:type="dxa"/>
            <w:tcBorders>
              <w:top w:val="nil"/>
              <w:left w:val="nil"/>
              <w:bottom w:val="single" w:sz="8"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KOM</w:t>
            </w:r>
          </w:p>
        </w:tc>
        <w:tc>
          <w:tcPr>
            <w:tcW w:w="1080" w:type="dxa"/>
            <w:tcBorders>
              <w:top w:val="nil"/>
              <w:left w:val="nil"/>
              <w:bottom w:val="single" w:sz="8" w:space="0" w:color="auto"/>
              <w:right w:val="single" w:sz="8"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PS</w:t>
            </w:r>
          </w:p>
        </w:tc>
      </w:tr>
      <w:tr>
        <w:trPr>
          <w:trHeight w:val="570"/>
        </w:trPr>
        <w:tc>
          <w:tcPr>
            <w:tcW w:w="1606" w:type="dxa"/>
            <w:tcBorders>
              <w:top w:val="single" w:sz="8" w:space="0" w:color="auto"/>
              <w:left w:val="single" w:sz="8" w:space="0" w:color="auto"/>
              <w:bottom w:val="single" w:sz="4" w:space="0" w:color="auto"/>
              <w:right w:val="single" w:sz="8" w:space="0" w:color="auto"/>
            </w:tcBorders>
            <w:shd w:val="clear" w:color="000000" w:fill="FFFFFF"/>
            <w:vAlign w:val="center"/>
            <w:hideMark/>
          </w:tcPr>
          <w:p>
            <w:pPr>
              <w:spacing w:after="0" w:line="240" w:lineRule="auto"/>
              <w:jc w:val="both"/>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Saldo verejných financií</w:t>
            </w:r>
          </w:p>
        </w:tc>
        <w:tc>
          <w:tcPr>
            <w:tcW w:w="700" w:type="dxa"/>
            <w:tcBorders>
              <w:top w:val="nil"/>
              <w:left w:val="single" w:sz="8" w:space="0" w:color="auto"/>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0,3</w:t>
            </w:r>
          </w:p>
        </w:tc>
        <w:tc>
          <w:tcPr>
            <w:tcW w:w="700" w:type="dxa"/>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1,8</w:t>
            </w:r>
          </w:p>
        </w:tc>
        <w:tc>
          <w:tcPr>
            <w:tcW w:w="700"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-4,8</w:t>
            </w:r>
          </w:p>
        </w:tc>
        <w:tc>
          <w:tcPr>
            <w:tcW w:w="700"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3,0</w:t>
            </w:r>
          </w:p>
        </w:tc>
        <w:tc>
          <w:tcPr>
            <w:tcW w:w="1020"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3</w:t>
            </w:r>
          </w:p>
        </w:tc>
        <w:tc>
          <w:tcPr>
            <w:tcW w:w="1010"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2,8</w:t>
            </w:r>
          </w:p>
        </w:tc>
        <w:tc>
          <w:tcPr>
            <w:tcW w:w="1080" w:type="dxa"/>
            <w:tcBorders>
              <w:top w:val="nil"/>
              <w:left w:val="nil"/>
              <w:bottom w:val="single" w:sz="4" w:space="0" w:color="auto"/>
              <w:right w:val="single" w:sz="8"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2,6</w:t>
            </w:r>
          </w:p>
        </w:tc>
      </w:tr>
      <w:tr>
        <w:trPr>
          <w:trHeight w:val="570"/>
        </w:trPr>
        <w:tc>
          <w:tcPr>
            <w:tcW w:w="1606" w:type="dxa"/>
            <w:tcBorders>
              <w:top w:val="nil"/>
              <w:left w:val="single" w:sz="8" w:space="0" w:color="auto"/>
              <w:bottom w:val="single" w:sz="8" w:space="0" w:color="auto"/>
              <w:right w:val="single" w:sz="8" w:space="0" w:color="auto"/>
            </w:tcBorders>
            <w:shd w:val="clear" w:color="000000" w:fill="FFFFFF"/>
            <w:vAlign w:val="center"/>
            <w:hideMark/>
          </w:tcPr>
          <w:p>
            <w:pPr>
              <w:spacing w:after="0" w:line="240" w:lineRule="auto"/>
              <w:jc w:val="both"/>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Hrubý dlh verejnej správy</w:t>
            </w:r>
          </w:p>
        </w:tc>
        <w:tc>
          <w:tcPr>
            <w:tcW w:w="700" w:type="dxa"/>
            <w:tcBorders>
              <w:top w:val="nil"/>
              <w:left w:val="single" w:sz="8" w:space="0" w:color="auto"/>
              <w:bottom w:val="single" w:sz="8"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105,5</w:t>
            </w:r>
          </w:p>
        </w:tc>
        <w:tc>
          <w:tcPr>
            <w:tcW w:w="700" w:type="dxa"/>
            <w:tcBorders>
              <w:top w:val="nil"/>
              <w:left w:val="nil"/>
              <w:bottom w:val="single" w:sz="8"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95,8</w:t>
            </w:r>
          </w:p>
        </w:tc>
        <w:tc>
          <w:tcPr>
            <w:tcW w:w="700" w:type="dxa"/>
            <w:tcBorders>
              <w:top w:val="nil"/>
              <w:left w:val="nil"/>
              <w:bottom w:val="single" w:sz="8"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102,5</w:t>
            </w:r>
          </w:p>
        </w:tc>
        <w:tc>
          <w:tcPr>
            <w:tcW w:w="700" w:type="dxa"/>
            <w:tcBorders>
              <w:top w:val="nil"/>
              <w:left w:val="nil"/>
              <w:bottom w:val="single" w:sz="8"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96,4</w:t>
            </w:r>
          </w:p>
        </w:tc>
        <w:tc>
          <w:tcPr>
            <w:tcW w:w="1020" w:type="dxa"/>
            <w:tcBorders>
              <w:top w:val="nil"/>
              <w:left w:val="nil"/>
              <w:bottom w:val="single" w:sz="8"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95,7</w:t>
            </w:r>
          </w:p>
        </w:tc>
        <w:tc>
          <w:tcPr>
            <w:tcW w:w="1010" w:type="dxa"/>
            <w:tcBorders>
              <w:top w:val="nil"/>
              <w:left w:val="nil"/>
              <w:bottom w:val="single" w:sz="8"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89,9</w:t>
            </w:r>
          </w:p>
        </w:tc>
        <w:tc>
          <w:tcPr>
            <w:tcW w:w="1080" w:type="dxa"/>
            <w:tcBorders>
              <w:top w:val="nil"/>
              <w:left w:val="nil"/>
              <w:bottom w:val="single" w:sz="8" w:space="0" w:color="auto"/>
              <w:right w:val="single" w:sz="8"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89,1</w:t>
            </w:r>
          </w:p>
        </w:tc>
      </w:tr>
      <w:tr>
        <w:trPr>
          <w:trHeight w:val="300"/>
        </w:trPr>
        <w:tc>
          <w:tcPr>
            <w:tcW w:w="7516" w:type="dxa"/>
            <w:gridSpan w:val="8"/>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i/>
                <w:iCs/>
                <w:noProof/>
                <w:color w:val="000000"/>
                <w:sz w:val="20"/>
                <w:szCs w:val="20"/>
                <w:lang w:eastAsia="en-US" w:bidi="ar-SA"/>
              </w:rPr>
            </w:pPr>
            <w:r>
              <w:rPr>
                <w:rFonts w:ascii="Times New Roman" w:eastAsia="Times New Roman" w:hAnsi="Times New Roman" w:cs="Times New Roman"/>
                <w:i/>
                <w:iCs/>
                <w:noProof/>
                <w:color w:val="000000"/>
                <w:sz w:val="20"/>
                <w:szCs w:val="20"/>
                <w:lang w:eastAsia="en-US" w:bidi="ar-SA"/>
              </w:rPr>
              <w:t>Zdroj: Program stability z roku 2019 (PS) a prognóza Komisie z jari 2019 (KOM)</w:t>
            </w:r>
          </w:p>
        </w:tc>
      </w:tr>
    </w:tbl>
    <w:p>
      <w:pPr>
        <w:spacing w:before="120" w:after="120" w:line="240" w:lineRule="auto"/>
        <w:jc w:val="center"/>
        <w:rPr>
          <w:rFonts w:ascii="Times New Roman" w:eastAsia="Times New Roman" w:hAnsi="Times New Roman" w:cs="Calibri"/>
          <w:noProof/>
          <w:sz w:val="24"/>
        </w:rPr>
      </w:pPr>
    </w:p>
    <w:p>
      <w:pPr>
        <w:spacing w:before="120" w:after="120" w:line="240" w:lineRule="auto"/>
        <w:jc w:val="both"/>
        <w:rPr>
          <w:rFonts w:ascii="Times New Roman" w:eastAsia="Times New Roman" w:hAnsi="Times New Roman" w:cs="Calibri"/>
          <w:noProof/>
          <w:sz w:val="24"/>
        </w:rPr>
      </w:pPr>
      <w:r>
        <w:rPr>
          <w:rFonts w:ascii="Times New Roman" w:hAnsi="Times New Roman"/>
          <w:noProof/>
          <w:sz w:val="24"/>
        </w:rPr>
        <w:t>Komisia preto vypracovala túto správu s cieľom dôkladne posúdiť odchýlenie sa od kritéria deficitu a preskúmať, či je opodstatnené začať postup pri nadmernom deficite. V oddiele 2 správy sa skúma kritérium deficitu. V oddiele 3 sa skúma dlhové kritérium. Oddiel 4 sa týka verejných investícií a ďalších závažných faktorov vrátane posúdenia postupu úprav smerujúcich k strednodobému rozpočtovému cieľu. V správe sa zohľadňuje prognóza Komisie z jari 2019.</w:t>
      </w:r>
    </w:p>
    <w:p>
      <w:pPr>
        <w:pStyle w:val="ManualHeading1"/>
        <w:rPr>
          <w:noProof/>
        </w:rPr>
      </w:pPr>
      <w:r>
        <w:rPr>
          <w:noProof/>
        </w:rPr>
        <w:t>2.</w:t>
      </w:r>
      <w:r>
        <w:rPr>
          <w:noProof/>
        </w:rPr>
        <w:tab/>
        <w:t>Kritérium deficitu</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Celkové saldo verejných financií Cypru sa zmenilo z prebytku vo výške 1,8 % HDP v roku 2017 na deficit vo výške 4,8 % HDP v roku 2018. Tento deficit zahŕňa jednorazový vplyv vládnej podpory pri predaji a riadnej likvidácii Cyperskej družstevnej banky vo výške 8,3 % HDP. Bez jednorazových vplyvov dosiahlo celkové saldo v roku 2018 prebytok vo výške 3,5 % HDP.</w:t>
      </w:r>
    </w:p>
    <w:p>
      <w:pPr>
        <w:spacing w:before="120" w:after="120" w:line="240" w:lineRule="auto"/>
        <w:jc w:val="both"/>
        <w:rPr>
          <w:rFonts w:ascii="Times New Roman" w:hAnsi="Times New Roman"/>
          <w:noProof/>
          <w:sz w:val="24"/>
        </w:rPr>
      </w:pPr>
      <w:r>
        <w:rPr>
          <w:rFonts w:ascii="Times New Roman" w:hAnsi="Times New Roman"/>
          <w:noProof/>
          <w:sz w:val="24"/>
        </w:rPr>
        <w:t>V prognóze Komisie z jari 2019 sa očakáva, že saldo verejných financií v roku 2019 opäť vykáže prebytok vo výške 3,0 % HDP. Podľa prognózy Komisie sa v roku 2020 očakáva celkový prebytok vo výške 2,8 % HDP za predpokladu, že sa nezmení politika.</w:t>
      </w:r>
    </w:p>
    <w:p>
      <w:pPr>
        <w:spacing w:before="120" w:after="120" w:line="240" w:lineRule="auto"/>
        <w:jc w:val="both"/>
        <w:rPr>
          <w:rFonts w:ascii="Times New Roman" w:hAnsi="Times New Roman"/>
          <w:noProof/>
          <w:sz w:val="24"/>
        </w:rPr>
      </w:pPr>
      <w:r>
        <w:rPr>
          <w:rFonts w:ascii="Times New Roman" w:hAnsi="Times New Roman"/>
          <w:noProof/>
          <w:sz w:val="24"/>
        </w:rPr>
        <w:t>Viacročné smerovanie zahrnuté v programe stability je zamerané na dosiahnutie celkových prebytkov v predpovedanom horizonte. V programe stability sa konkrétne plánuje, že celkový prebytok dosiahne v roku 2019 úroveň 3,0 % HDP a v roku 2020 úroveň 2,6 % HDP. V programe stability a prognóze Komisie z jari 2019 sa tak na rok 2019 predpokladajú podobné celkové prebytky. Mierny rozdiel medzi predpokladmi na rok 2020 v prognóze Komisie a programe stability vyplýva z makroekonomických predpokladov, dynamickejších výnosov na základe skúseností z minulosti a konzervatívnejších predpokladov v prognóze Komisie, pokiaľ ide o výdavky.</w:t>
      </w:r>
    </w:p>
    <w:p>
      <w:pPr>
        <w:spacing w:before="120" w:after="120" w:line="240" w:lineRule="auto"/>
        <w:jc w:val="both"/>
        <w:rPr>
          <w:rFonts w:ascii="Times New Roman" w:hAnsi="Times New Roman"/>
          <w:noProof/>
          <w:sz w:val="24"/>
        </w:rPr>
      </w:pPr>
      <w:r>
        <w:rPr>
          <w:rFonts w:ascii="Times New Roman" w:hAnsi="Times New Roman"/>
          <w:noProof/>
          <w:sz w:val="24"/>
        </w:rPr>
        <w:t xml:space="preserve">Celkový deficit verejných financií dosiahol v roku 2018 úroveň 4,8 % HDP, čo sa </w:t>
      </w:r>
      <w:r>
        <w:rPr>
          <w:rFonts w:ascii="Times New Roman" w:hAnsi="Times New Roman"/>
          <w:noProof/>
          <w:sz w:val="24"/>
          <w:u w:val="single"/>
        </w:rPr>
        <w:t>nepribližuje</w:t>
      </w:r>
      <w:r>
        <w:rPr>
          <w:rFonts w:ascii="Times New Roman" w:hAnsi="Times New Roman"/>
          <w:noProof/>
          <w:sz w:val="24"/>
        </w:rPr>
        <w:t xml:space="preserve"> k referenčnej hodnote 3 % HDP uvedenej v zmluve, ale je vysoko nad ňou.</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Prekročenie referenčnej hodnoty 3 % HDP v roku 2018 </w:t>
      </w:r>
      <w:r>
        <w:rPr>
          <w:rFonts w:ascii="Times New Roman" w:hAnsi="Times New Roman"/>
          <w:noProof/>
          <w:sz w:val="24"/>
          <w:u w:val="single"/>
        </w:rPr>
        <w:t>nepredstavuje výnimku</w:t>
      </w:r>
      <w:r>
        <w:rPr>
          <w:rFonts w:ascii="Times New Roman" w:hAnsi="Times New Roman"/>
          <w:noProof/>
          <w:sz w:val="24"/>
        </w:rPr>
        <w:t xml:space="preserve"> na účely zmluvy a Paktu stability a rastu, keďže nevyplýva ani z neobvyklej udalosti, ani z prudkého hospodárskeho poklesu. V prognóze Komisie z jari 2019 sa predpokladá nepretržitý silný rast do výšky 3,1 % v roku 2019 a určité spomalenie na hodnotu 2,7 % v roku 2020.</w:t>
      </w:r>
    </w:p>
    <w:p>
      <w:pPr>
        <w:spacing w:before="120" w:after="120" w:line="240" w:lineRule="auto"/>
        <w:jc w:val="both"/>
        <w:rPr>
          <w:rFonts w:ascii="Times New Roman" w:eastAsia="Times New Roman" w:hAnsi="Times New Roman" w:cs="Times New Roman"/>
          <w:noProof/>
          <w:sz w:val="24"/>
          <w:highlight w:val="yellow"/>
        </w:rPr>
      </w:pPr>
      <w:r>
        <w:rPr>
          <w:rFonts w:ascii="Times New Roman" w:hAnsi="Times New Roman"/>
          <w:noProof/>
          <w:sz w:val="24"/>
        </w:rPr>
        <w:t xml:space="preserve">Prekročenie referenčnej hodnoty 3 % HDP sa na účely zmluvy a Paktu stability a rastu považuje za </w:t>
      </w:r>
      <w:r>
        <w:rPr>
          <w:rFonts w:ascii="Times New Roman" w:hAnsi="Times New Roman"/>
          <w:noProof/>
          <w:sz w:val="24"/>
          <w:u w:val="single"/>
        </w:rPr>
        <w:t>dočasné</w:t>
      </w:r>
      <w:r>
        <w:rPr>
          <w:rFonts w:ascii="Times New Roman" w:hAnsi="Times New Roman"/>
          <w:noProof/>
          <w:sz w:val="24"/>
        </w:rPr>
        <w:t>.  Rozpočtové prognózy, ktoré poskytla Komisia a program stability, konkrétne ukazujú, že saldo verejných financií sa od roku 2019 vráti do prebytku, čiže neprekročí referenčnú hodnotu.</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 xml:space="preserve">Stručne povedané, deficit z roku 2018 bol nad referenčnou hodnotou 3 % HDP stanovenou v zmluve a nepribližoval sa k nej. Prekročenie sa nepovažuje za výnimočné, hoci sa na účely zmluvy a Paktu stability a rastu považuje za dočasné. Z analýzy teda vyplýva, že na základe predošlých údajov o výsledkoch hospodárenia za rok 2018 nie je kritérium deficitu na účely zmluvy a nariadenia (ES) č. 1467/97 </w:t>
      </w:r>
      <w:r>
        <w:rPr>
          <w:rFonts w:ascii="Times New Roman" w:hAnsi="Times New Roman"/>
          <w:i/>
          <w:noProof/>
          <w:sz w:val="24"/>
        </w:rPr>
        <w:t>prima facie</w:t>
      </w:r>
      <w:r>
        <w:rPr>
          <w:rFonts w:ascii="Times New Roman" w:hAnsi="Times New Roman"/>
          <w:noProof/>
          <w:sz w:val="24"/>
        </w:rPr>
        <w:t xml:space="preserve"> splnené, zohľadňujú sa však všetky závažné faktory uvedené nižšie.</w:t>
      </w:r>
    </w:p>
    <w:p>
      <w:pPr>
        <w:pStyle w:val="ManualHeading1"/>
        <w:rPr>
          <w:noProof/>
        </w:rPr>
      </w:pPr>
      <w:r>
        <w:rPr>
          <w:noProof/>
        </w:rPr>
        <w:t>3.</w:t>
      </w:r>
      <w:r>
        <w:rPr>
          <w:noProof/>
        </w:rPr>
        <w:tab/>
        <w:t>Dlhové kritérium</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Pomer hrubého dlhu verejnej správy k HDP sa v roku 2018 zvýšil na 102,5 %, čím sa čiastočne zvrátil prudký pokles na 95,8 % HDP v roku 2017. Dôvodom tohto zvýšenia bolo predovšetkým vydanie série štátnych dlhopisov v apríli a júli 2018 súvisiace s opatreniami štátnej podpory na predaj a riadnu likvidáciu Cyperskej družstevnej banky, ktoré dosiahli hodnotu 15 % HDP (3,2 miliardy EUR). Tento vývoj sa odrazil v rozsiahlom pozitívnom zosúladení dlhu a deficitu v roku 2018, čo predstavovalo výrazný posun nahor v rámci trajektórie verejného dlhu. Pomer dlhu k HDP sa však v roku 2018 oproti predchádzajúcemu roku zvýšil len o 7 percentuálnych bodov HDP, keďže silné základné fiškálne výsledky, lavínový efekt a operácie na aktívne riadenie dlhu čiastočne vykompenzovali nárast dlhu súvisiaci s Cyperskou družstevnou bankou. Dynamika dlhu je podrobnejšie opísaná v oddiele 4.3.</w:t>
      </w:r>
    </w:p>
    <w:p>
      <w:pPr>
        <w:spacing w:before="120" w:after="120" w:line="240" w:lineRule="auto"/>
        <w:jc w:val="both"/>
        <w:rPr>
          <w:rFonts w:ascii="Times New Roman" w:hAnsi="Times New Roman"/>
          <w:noProof/>
          <w:sz w:val="24"/>
        </w:rPr>
      </w:pPr>
      <w:r>
        <w:rPr>
          <w:rFonts w:ascii="Times New Roman" w:hAnsi="Times New Roman"/>
          <w:noProof/>
          <w:sz w:val="24"/>
        </w:rPr>
        <w:t>Podľa prognózy Komisie z jari 2019 sa v nasledujúcich rokoch očakáva rovnomerné znižovanie dlhu na 96,5 % HDP v roku 2019 a menej ako 90 % v roku 2020.</w:t>
      </w:r>
    </w:p>
    <w:p>
      <w:pPr>
        <w:spacing w:before="120" w:after="120" w:line="240" w:lineRule="auto"/>
        <w:jc w:val="both"/>
        <w:rPr>
          <w:rFonts w:ascii="Times New Roman" w:eastAsia="Times New Roman" w:hAnsi="Times New Roman" w:cs="Times New Roman"/>
          <w:noProof/>
          <w:sz w:val="24"/>
          <w:highlight w:val="yellow"/>
        </w:rPr>
      </w:pPr>
      <w:r>
        <w:rPr>
          <w:rFonts w:ascii="Times New Roman" w:hAnsi="Times New Roman"/>
          <w:noProof/>
          <w:sz w:val="24"/>
        </w:rPr>
        <w:t>Podľa programu stability sa predpokladá, že pomer dlhu k HDP v období 2019 – 2022 prudko klesne, a to najmä z dôvodu predpokladaných vysokých primárnych prebytkov (nad 4,0 % HDP) a silného nominálneho rastu HDP. Predpokladá sa, že verejný dlh klesne v roku 2019 na 95,7 % HDP a ďalej na menej ako 90 % v roku 2020. Rozdiel v porovnaní s predpokladmi Komisie za nezmenenej politiky vyplýva predovšetkým z optimistickejších predpovedí týkajúcich sa rastu a inflácie a z nižšej miery zosúladenia dlhu a deficitu.</w:t>
      </w:r>
    </w:p>
    <w:p>
      <w:pPr>
        <w:keepNext/>
        <w:spacing w:before="120" w:after="120" w:line="240" w:lineRule="auto"/>
        <w:jc w:val="center"/>
        <w:rPr>
          <w:rFonts w:ascii="Times New Roman" w:eastAsia="Times New Roman" w:hAnsi="Times New Roman" w:cs="Times New Roman"/>
          <w:b/>
          <w:noProof/>
          <w:sz w:val="24"/>
        </w:rPr>
      </w:pPr>
      <w:r>
        <w:rPr>
          <w:rFonts w:ascii="Times New Roman" w:hAnsi="Times New Roman"/>
          <w:b/>
          <w:noProof/>
          <w:sz w:val="24"/>
        </w:rPr>
        <w:t>Tabuľka č. 2: Súlad s referenčnou hodnotou pre úpravu pomeru dlhu k HDP</w:t>
      </w:r>
    </w:p>
    <w:tbl>
      <w:tblPr>
        <w:tblW w:w="9525" w:type="dxa"/>
        <w:tblInd w:w="108" w:type="dxa"/>
        <w:tblLook w:val="04A0" w:firstRow="1" w:lastRow="0" w:firstColumn="1" w:lastColumn="0" w:noHBand="0" w:noVBand="1"/>
      </w:tblPr>
      <w:tblGrid>
        <w:gridCol w:w="5193"/>
        <w:gridCol w:w="276"/>
        <w:gridCol w:w="276"/>
        <w:gridCol w:w="616"/>
        <w:gridCol w:w="666"/>
        <w:gridCol w:w="683"/>
        <w:gridCol w:w="566"/>
        <w:gridCol w:w="683"/>
        <w:gridCol w:w="566"/>
      </w:tblGrid>
      <w:tr>
        <w:trPr>
          <w:trHeight w:val="300"/>
        </w:trPr>
        <w:tc>
          <w:tcPr>
            <w:tcW w:w="5469" w:type="dxa"/>
            <w:gridSpan w:val="2"/>
            <w:tcBorders>
              <w:top w:val="single" w:sz="8" w:space="0" w:color="auto"/>
              <w:left w:val="nil"/>
              <w:bottom w:val="nil"/>
              <w:right w:val="single" w:sz="4" w:space="0" w:color="000000"/>
            </w:tcBorders>
            <w:shd w:val="clear" w:color="000000" w:fill="FFFFFF"/>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w:t>
            </w:r>
          </w:p>
        </w:tc>
        <w:tc>
          <w:tcPr>
            <w:tcW w:w="276"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b/>
                <w:bCs/>
                <w:noProof/>
                <w:sz w:val="20"/>
                <w:szCs w:val="20"/>
                <w:lang w:eastAsia="en-US" w:bidi="ar-SA"/>
              </w:rPr>
            </w:pPr>
            <w:r>
              <w:rPr>
                <w:rFonts w:ascii="Times New Roman" w:eastAsia="Times New Roman" w:hAnsi="Times New Roman" w:cs="Times New Roman"/>
                <w:b/>
                <w:bCs/>
                <w:noProof/>
                <w:sz w:val="20"/>
                <w:szCs w:val="20"/>
                <w:lang w:eastAsia="en-US" w:bidi="ar-SA"/>
              </w:rPr>
              <w:t> </w:t>
            </w:r>
          </w:p>
        </w:tc>
        <w:tc>
          <w:tcPr>
            <w:tcW w:w="616"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b/>
                <w:bCs/>
                <w:noProof/>
                <w:sz w:val="20"/>
                <w:szCs w:val="20"/>
                <w:lang w:eastAsia="en-US" w:bidi="ar-SA"/>
              </w:rPr>
            </w:pPr>
            <w:r>
              <w:rPr>
                <w:rFonts w:ascii="Times New Roman" w:eastAsia="Times New Roman" w:hAnsi="Times New Roman" w:cs="Times New Roman"/>
                <w:b/>
                <w:bCs/>
                <w:noProof/>
                <w:sz w:val="20"/>
                <w:szCs w:val="20"/>
                <w:lang w:eastAsia="en-US" w:bidi="ar-SA"/>
              </w:rPr>
              <w:t>2017</w:t>
            </w:r>
          </w:p>
        </w:tc>
        <w:tc>
          <w:tcPr>
            <w:tcW w:w="666" w:type="dxa"/>
            <w:vMerge w:val="restart"/>
            <w:tcBorders>
              <w:top w:val="single" w:sz="8" w:space="0" w:color="auto"/>
              <w:left w:val="single" w:sz="4" w:space="0" w:color="auto"/>
              <w:bottom w:val="single" w:sz="4" w:space="0" w:color="000000"/>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b/>
                <w:bCs/>
                <w:noProof/>
                <w:sz w:val="20"/>
                <w:szCs w:val="20"/>
                <w:lang w:eastAsia="en-US" w:bidi="ar-SA"/>
              </w:rPr>
            </w:pPr>
            <w:r>
              <w:rPr>
                <w:rFonts w:ascii="Times New Roman" w:eastAsia="Times New Roman" w:hAnsi="Times New Roman" w:cs="Times New Roman"/>
                <w:b/>
                <w:bCs/>
                <w:noProof/>
                <w:sz w:val="20"/>
                <w:szCs w:val="20"/>
                <w:lang w:eastAsia="en-US" w:bidi="ar-SA"/>
              </w:rPr>
              <w:t>2018</w:t>
            </w:r>
          </w:p>
        </w:tc>
        <w:tc>
          <w:tcPr>
            <w:tcW w:w="1249" w:type="dxa"/>
            <w:gridSpan w:val="2"/>
            <w:tcBorders>
              <w:top w:val="single" w:sz="8" w:space="0" w:color="auto"/>
              <w:left w:val="nil"/>
              <w:bottom w:val="nil"/>
              <w:right w:val="single" w:sz="4" w:space="0" w:color="000000"/>
            </w:tcBorders>
            <w:shd w:val="clear" w:color="000000" w:fill="D9D9D9"/>
            <w:vAlign w:val="center"/>
            <w:hideMark/>
          </w:tcPr>
          <w:p>
            <w:pPr>
              <w:spacing w:after="0" w:line="240" w:lineRule="auto"/>
              <w:jc w:val="center"/>
              <w:rPr>
                <w:rFonts w:ascii="Times New Roman" w:eastAsia="Times New Roman" w:hAnsi="Times New Roman" w:cs="Times New Roman"/>
                <w:b/>
                <w:bCs/>
                <w:noProof/>
                <w:sz w:val="20"/>
                <w:szCs w:val="20"/>
                <w:lang w:eastAsia="en-US" w:bidi="ar-SA"/>
              </w:rPr>
            </w:pPr>
            <w:r>
              <w:rPr>
                <w:rFonts w:ascii="Times New Roman" w:eastAsia="Times New Roman" w:hAnsi="Times New Roman" w:cs="Times New Roman"/>
                <w:b/>
                <w:bCs/>
                <w:noProof/>
                <w:sz w:val="20"/>
                <w:szCs w:val="20"/>
                <w:lang w:eastAsia="en-US" w:bidi="ar-SA"/>
              </w:rPr>
              <w:t>2019</w:t>
            </w:r>
          </w:p>
        </w:tc>
        <w:tc>
          <w:tcPr>
            <w:tcW w:w="1249" w:type="dxa"/>
            <w:gridSpan w:val="2"/>
            <w:tcBorders>
              <w:top w:val="single" w:sz="8" w:space="0" w:color="auto"/>
              <w:left w:val="nil"/>
              <w:bottom w:val="nil"/>
              <w:right w:val="nil"/>
            </w:tcBorders>
            <w:shd w:val="clear" w:color="000000" w:fill="D9D9D9"/>
            <w:vAlign w:val="bottom"/>
            <w:hideMark/>
          </w:tcPr>
          <w:p>
            <w:pPr>
              <w:spacing w:after="0" w:line="240" w:lineRule="auto"/>
              <w:jc w:val="center"/>
              <w:rPr>
                <w:rFonts w:ascii="Times New Roman" w:eastAsia="Times New Roman" w:hAnsi="Times New Roman" w:cs="Times New Roman"/>
                <w:b/>
                <w:bCs/>
                <w:noProof/>
                <w:sz w:val="20"/>
                <w:szCs w:val="20"/>
                <w:lang w:eastAsia="en-US" w:bidi="ar-SA"/>
              </w:rPr>
            </w:pPr>
            <w:r>
              <w:rPr>
                <w:rFonts w:ascii="Times New Roman" w:eastAsia="Times New Roman" w:hAnsi="Times New Roman" w:cs="Times New Roman"/>
                <w:b/>
                <w:bCs/>
                <w:noProof/>
                <w:sz w:val="20"/>
                <w:szCs w:val="20"/>
                <w:lang w:eastAsia="en-US" w:bidi="ar-SA"/>
              </w:rPr>
              <w:t>2020</w:t>
            </w:r>
          </w:p>
        </w:tc>
      </w:tr>
      <w:tr>
        <w:trPr>
          <w:trHeight w:val="300"/>
        </w:trPr>
        <w:tc>
          <w:tcPr>
            <w:tcW w:w="5469" w:type="dxa"/>
            <w:gridSpan w:val="2"/>
            <w:tcBorders>
              <w:top w:val="nil"/>
              <w:left w:val="nil"/>
              <w:bottom w:val="single" w:sz="4" w:space="0" w:color="auto"/>
              <w:right w:val="single" w:sz="4" w:space="0" w:color="000000"/>
            </w:tcBorders>
            <w:shd w:val="clear" w:color="000000" w:fill="FFFFFF"/>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w:t>
            </w:r>
          </w:p>
        </w:tc>
        <w:tc>
          <w:tcPr>
            <w:tcW w:w="276" w:type="dxa"/>
            <w:vMerge/>
            <w:tcBorders>
              <w:top w:val="single" w:sz="8" w:space="0" w:color="auto"/>
              <w:left w:val="single" w:sz="4" w:space="0" w:color="auto"/>
              <w:bottom w:val="single" w:sz="4" w:space="0" w:color="000000"/>
              <w:right w:val="single" w:sz="4" w:space="0" w:color="auto"/>
            </w:tcBorders>
            <w:vAlign w:val="center"/>
            <w:hideMark/>
          </w:tcPr>
          <w:p>
            <w:pPr>
              <w:spacing w:after="0" w:line="240" w:lineRule="auto"/>
              <w:rPr>
                <w:rFonts w:ascii="Times New Roman" w:eastAsia="Times New Roman" w:hAnsi="Times New Roman" w:cs="Times New Roman"/>
                <w:b/>
                <w:bCs/>
                <w:noProof/>
                <w:sz w:val="20"/>
                <w:szCs w:val="20"/>
                <w:lang w:eastAsia="en-US" w:bidi="ar-SA"/>
              </w:rPr>
            </w:pPr>
          </w:p>
        </w:tc>
        <w:tc>
          <w:tcPr>
            <w:tcW w:w="616" w:type="dxa"/>
            <w:vMerge/>
            <w:tcBorders>
              <w:top w:val="single" w:sz="8" w:space="0" w:color="auto"/>
              <w:left w:val="single" w:sz="4" w:space="0" w:color="auto"/>
              <w:bottom w:val="single" w:sz="4" w:space="0" w:color="000000"/>
              <w:right w:val="single" w:sz="4" w:space="0" w:color="auto"/>
            </w:tcBorders>
            <w:vAlign w:val="center"/>
            <w:hideMark/>
          </w:tcPr>
          <w:p>
            <w:pPr>
              <w:spacing w:after="0" w:line="240" w:lineRule="auto"/>
              <w:rPr>
                <w:rFonts w:ascii="Times New Roman" w:eastAsia="Times New Roman" w:hAnsi="Times New Roman" w:cs="Times New Roman"/>
                <w:b/>
                <w:bCs/>
                <w:noProof/>
                <w:sz w:val="20"/>
                <w:szCs w:val="20"/>
                <w:lang w:eastAsia="en-US" w:bidi="ar-SA"/>
              </w:rPr>
            </w:pPr>
          </w:p>
        </w:tc>
        <w:tc>
          <w:tcPr>
            <w:tcW w:w="666" w:type="dxa"/>
            <w:vMerge/>
            <w:tcBorders>
              <w:top w:val="single" w:sz="8" w:space="0" w:color="auto"/>
              <w:left w:val="single" w:sz="4" w:space="0" w:color="auto"/>
              <w:bottom w:val="single" w:sz="4" w:space="0" w:color="000000"/>
              <w:right w:val="single" w:sz="4" w:space="0" w:color="auto"/>
            </w:tcBorders>
            <w:vAlign w:val="center"/>
            <w:hideMark/>
          </w:tcPr>
          <w:p>
            <w:pPr>
              <w:spacing w:after="0" w:line="240" w:lineRule="auto"/>
              <w:rPr>
                <w:rFonts w:ascii="Times New Roman" w:eastAsia="Times New Roman" w:hAnsi="Times New Roman" w:cs="Times New Roman"/>
                <w:b/>
                <w:bCs/>
                <w:noProof/>
                <w:sz w:val="20"/>
                <w:szCs w:val="20"/>
                <w:lang w:eastAsia="en-US" w:bidi="ar-SA"/>
              </w:rPr>
            </w:pPr>
          </w:p>
        </w:tc>
        <w:tc>
          <w:tcPr>
            <w:tcW w:w="683" w:type="dxa"/>
            <w:tcBorders>
              <w:top w:val="single" w:sz="4" w:space="0" w:color="auto"/>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KOM</w:t>
            </w:r>
          </w:p>
        </w:tc>
        <w:tc>
          <w:tcPr>
            <w:tcW w:w="566" w:type="dxa"/>
            <w:tcBorders>
              <w:top w:val="single" w:sz="4" w:space="0" w:color="auto"/>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PS</w:t>
            </w:r>
          </w:p>
        </w:tc>
        <w:tc>
          <w:tcPr>
            <w:tcW w:w="683" w:type="dxa"/>
            <w:tcBorders>
              <w:top w:val="single" w:sz="4" w:space="0" w:color="auto"/>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KOM</w:t>
            </w:r>
          </w:p>
        </w:tc>
        <w:tc>
          <w:tcPr>
            <w:tcW w:w="566" w:type="dxa"/>
            <w:tcBorders>
              <w:top w:val="single" w:sz="4" w:space="0" w:color="auto"/>
              <w:left w:val="nil"/>
              <w:bottom w:val="single" w:sz="4" w:space="0" w:color="auto"/>
              <w:right w:val="nil"/>
            </w:tcBorders>
            <w:shd w:val="clear" w:color="000000" w:fill="D9D9D9"/>
            <w:vAlign w:val="center"/>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PS</w:t>
            </w:r>
          </w:p>
        </w:tc>
      </w:tr>
      <w:tr>
        <w:trPr>
          <w:trHeight w:val="300"/>
        </w:trPr>
        <w:tc>
          <w:tcPr>
            <w:tcW w:w="5469" w:type="dxa"/>
            <w:gridSpan w:val="2"/>
            <w:tcBorders>
              <w:top w:val="nil"/>
              <w:left w:val="nil"/>
              <w:bottom w:val="nil"/>
              <w:right w:val="single" w:sz="4" w:space="0" w:color="000000"/>
            </w:tcBorders>
            <w:shd w:val="clear" w:color="000000" w:fill="FFFFFF"/>
            <w:hideMark/>
          </w:tcPr>
          <w:p>
            <w:pPr>
              <w:spacing w:after="0" w:line="240" w:lineRule="auto"/>
              <w:ind w:firstLineChars="100" w:firstLine="200"/>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Pomer hrubého dlhu</w:t>
            </w:r>
          </w:p>
        </w:tc>
        <w:tc>
          <w:tcPr>
            <w:tcW w:w="276" w:type="dxa"/>
            <w:tcBorders>
              <w:top w:val="nil"/>
              <w:left w:val="nil"/>
              <w:bottom w:val="nil"/>
              <w:right w:val="single" w:sz="4" w:space="0" w:color="auto"/>
            </w:tcBorders>
            <w:shd w:val="clear" w:color="000000" w:fill="FFFFFF"/>
            <w:hideMark/>
          </w:tcPr>
          <w:p>
            <w:pPr>
              <w:spacing w:after="0" w:line="240" w:lineRule="auto"/>
              <w:ind w:firstLineChars="100" w:firstLine="200"/>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w:t>
            </w:r>
          </w:p>
        </w:tc>
        <w:tc>
          <w:tcPr>
            <w:tcW w:w="616" w:type="dxa"/>
            <w:tcBorders>
              <w:top w:val="nil"/>
              <w:left w:val="nil"/>
              <w:bottom w:val="nil"/>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95,8</w:t>
            </w:r>
          </w:p>
        </w:tc>
        <w:tc>
          <w:tcPr>
            <w:tcW w:w="666" w:type="dxa"/>
            <w:tcBorders>
              <w:top w:val="nil"/>
              <w:left w:val="nil"/>
              <w:bottom w:val="nil"/>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102,5</w:t>
            </w:r>
          </w:p>
        </w:tc>
        <w:tc>
          <w:tcPr>
            <w:tcW w:w="683" w:type="dxa"/>
            <w:tcBorders>
              <w:top w:val="nil"/>
              <w:left w:val="nil"/>
              <w:bottom w:val="nil"/>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96,4</w:t>
            </w:r>
          </w:p>
        </w:tc>
        <w:tc>
          <w:tcPr>
            <w:tcW w:w="566" w:type="dxa"/>
            <w:tcBorders>
              <w:top w:val="nil"/>
              <w:left w:val="nil"/>
              <w:bottom w:val="nil"/>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95,7</w:t>
            </w:r>
          </w:p>
        </w:tc>
        <w:tc>
          <w:tcPr>
            <w:tcW w:w="683" w:type="dxa"/>
            <w:tcBorders>
              <w:top w:val="nil"/>
              <w:left w:val="nil"/>
              <w:bottom w:val="nil"/>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89,9</w:t>
            </w:r>
          </w:p>
        </w:tc>
        <w:tc>
          <w:tcPr>
            <w:tcW w:w="566" w:type="dxa"/>
            <w:tcBorders>
              <w:top w:val="nil"/>
              <w:left w:val="nil"/>
              <w:bottom w:val="nil"/>
              <w:right w:val="nil"/>
            </w:tcBorders>
            <w:shd w:val="clear" w:color="000000" w:fill="D9D9D9"/>
            <w:vAlign w:val="center"/>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89,1</w:t>
            </w:r>
          </w:p>
        </w:tc>
      </w:tr>
      <w:tr>
        <w:trPr>
          <w:trHeight w:val="600"/>
        </w:trPr>
        <w:tc>
          <w:tcPr>
            <w:tcW w:w="5469" w:type="dxa"/>
            <w:gridSpan w:val="2"/>
            <w:tcBorders>
              <w:top w:val="nil"/>
              <w:left w:val="nil"/>
              <w:bottom w:val="nil"/>
              <w:right w:val="single" w:sz="4" w:space="0" w:color="000000"/>
            </w:tcBorders>
            <w:shd w:val="clear" w:color="000000" w:fill="FFFFFF"/>
            <w:hideMark/>
          </w:tcPr>
          <w:p>
            <w:pPr>
              <w:spacing w:after="0" w:line="240" w:lineRule="auto"/>
              <w:ind w:firstLineChars="100" w:firstLine="200"/>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xml:space="preserve">Rozdiel oproti referenčnej hodnote pre úpravu pomeru dlhu k   HDP </w:t>
            </w:r>
            <w:r>
              <w:rPr>
                <w:rFonts w:ascii="Times New Roman" w:eastAsia="Times New Roman" w:hAnsi="Times New Roman" w:cs="Times New Roman"/>
                <w:noProof/>
                <w:sz w:val="20"/>
                <w:szCs w:val="20"/>
                <w:vertAlign w:val="superscript"/>
                <w:lang w:eastAsia="en-US" w:bidi="ar-SA"/>
              </w:rPr>
              <w:t>1,2</w:t>
            </w:r>
          </w:p>
        </w:tc>
        <w:tc>
          <w:tcPr>
            <w:tcW w:w="276" w:type="dxa"/>
            <w:tcBorders>
              <w:top w:val="nil"/>
              <w:left w:val="nil"/>
              <w:bottom w:val="nil"/>
              <w:right w:val="single" w:sz="4" w:space="0" w:color="auto"/>
            </w:tcBorders>
            <w:shd w:val="clear" w:color="000000" w:fill="FFFFFF"/>
            <w:hideMark/>
          </w:tcPr>
          <w:p>
            <w:pPr>
              <w:spacing w:after="0" w:line="240" w:lineRule="auto"/>
              <w:ind w:firstLineChars="100" w:firstLine="200"/>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w:t>
            </w:r>
          </w:p>
        </w:tc>
        <w:tc>
          <w:tcPr>
            <w:tcW w:w="616" w:type="dxa"/>
            <w:tcBorders>
              <w:top w:val="nil"/>
              <w:left w:val="nil"/>
              <w:bottom w:val="nil"/>
              <w:right w:val="single" w:sz="4" w:space="0" w:color="auto"/>
            </w:tcBorders>
            <w:shd w:val="clear" w:color="000000" w:fill="FFFFFF"/>
            <w:hideMark/>
          </w:tcPr>
          <w:p>
            <w:pPr>
              <w:spacing w:after="0" w:line="240" w:lineRule="auto"/>
              <w:ind w:firstLineChars="100" w:firstLine="200"/>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w:t>
            </w:r>
          </w:p>
        </w:tc>
        <w:tc>
          <w:tcPr>
            <w:tcW w:w="666" w:type="dxa"/>
            <w:tcBorders>
              <w:top w:val="nil"/>
              <w:left w:val="nil"/>
              <w:bottom w:val="nil"/>
              <w:right w:val="single" w:sz="4" w:space="0" w:color="auto"/>
            </w:tcBorders>
            <w:shd w:val="clear" w:color="000000" w:fill="D9D9D9"/>
            <w:noWrap/>
            <w:vAlign w:val="bottom"/>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w:t>
            </w:r>
          </w:p>
        </w:tc>
        <w:tc>
          <w:tcPr>
            <w:tcW w:w="683" w:type="dxa"/>
            <w:tcBorders>
              <w:top w:val="nil"/>
              <w:left w:val="nil"/>
              <w:bottom w:val="nil"/>
              <w:right w:val="single" w:sz="4" w:space="0" w:color="auto"/>
            </w:tcBorders>
            <w:shd w:val="clear" w:color="000000" w:fill="D9D9D9"/>
            <w:noWrap/>
            <w:vAlign w:val="bottom"/>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-6,5</w:t>
            </w:r>
          </w:p>
        </w:tc>
        <w:tc>
          <w:tcPr>
            <w:tcW w:w="566" w:type="dxa"/>
            <w:tcBorders>
              <w:top w:val="nil"/>
              <w:left w:val="nil"/>
              <w:bottom w:val="nil"/>
              <w:right w:val="single" w:sz="4" w:space="0" w:color="auto"/>
            </w:tcBorders>
            <w:shd w:val="clear" w:color="000000" w:fill="D9D9D9"/>
            <w:noWrap/>
            <w:vAlign w:val="bottom"/>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-9,1</w:t>
            </w:r>
          </w:p>
        </w:tc>
        <w:tc>
          <w:tcPr>
            <w:tcW w:w="683" w:type="dxa"/>
            <w:tcBorders>
              <w:top w:val="nil"/>
              <w:left w:val="nil"/>
              <w:bottom w:val="nil"/>
              <w:right w:val="single" w:sz="4" w:space="0" w:color="auto"/>
            </w:tcBorders>
            <w:shd w:val="clear" w:color="000000" w:fill="D9D9D9"/>
            <w:noWrap/>
            <w:vAlign w:val="bottom"/>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-4,7</w:t>
            </w:r>
          </w:p>
        </w:tc>
        <w:tc>
          <w:tcPr>
            <w:tcW w:w="566" w:type="dxa"/>
            <w:tcBorders>
              <w:top w:val="nil"/>
              <w:left w:val="nil"/>
              <w:bottom w:val="nil"/>
              <w:right w:val="nil"/>
            </w:tcBorders>
            <w:shd w:val="clear" w:color="000000" w:fill="D9D9D9"/>
            <w:noWrap/>
            <w:vAlign w:val="bottom"/>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-8,7</w:t>
            </w:r>
          </w:p>
        </w:tc>
      </w:tr>
      <w:tr>
        <w:trPr>
          <w:trHeight w:val="300"/>
        </w:trPr>
        <w:tc>
          <w:tcPr>
            <w:tcW w:w="5469" w:type="dxa"/>
            <w:gridSpan w:val="2"/>
            <w:tcBorders>
              <w:top w:val="nil"/>
              <w:left w:val="nil"/>
              <w:bottom w:val="nil"/>
              <w:right w:val="single" w:sz="4" w:space="0" w:color="000000"/>
            </w:tcBorders>
            <w:shd w:val="clear" w:color="000000" w:fill="FFFFFF"/>
            <w:hideMark/>
          </w:tcPr>
          <w:p>
            <w:pPr>
              <w:spacing w:after="0" w:line="240" w:lineRule="auto"/>
              <w:ind w:firstLineChars="100" w:firstLine="200"/>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xml:space="preserve">Štrukturálna úprava </w:t>
            </w:r>
            <w:r>
              <w:rPr>
                <w:rFonts w:ascii="Times New Roman" w:eastAsia="Times New Roman" w:hAnsi="Times New Roman" w:cs="Times New Roman"/>
                <w:noProof/>
                <w:sz w:val="20"/>
                <w:szCs w:val="20"/>
                <w:vertAlign w:val="superscript"/>
                <w:lang w:eastAsia="en-US" w:bidi="ar-SA"/>
              </w:rPr>
              <w:t>3</w:t>
            </w:r>
          </w:p>
        </w:tc>
        <w:tc>
          <w:tcPr>
            <w:tcW w:w="276" w:type="dxa"/>
            <w:tcBorders>
              <w:top w:val="nil"/>
              <w:left w:val="nil"/>
              <w:bottom w:val="nil"/>
              <w:right w:val="single" w:sz="4" w:space="0" w:color="auto"/>
            </w:tcBorders>
            <w:shd w:val="clear" w:color="000000" w:fill="FFFFFF"/>
            <w:hideMark/>
          </w:tcPr>
          <w:p>
            <w:pPr>
              <w:spacing w:after="0" w:line="240" w:lineRule="auto"/>
              <w:ind w:firstLineChars="100" w:firstLine="200"/>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w:t>
            </w:r>
          </w:p>
        </w:tc>
        <w:tc>
          <w:tcPr>
            <w:tcW w:w="616" w:type="dxa"/>
            <w:tcBorders>
              <w:top w:val="nil"/>
              <w:left w:val="nil"/>
              <w:bottom w:val="nil"/>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0,2</w:t>
            </w:r>
          </w:p>
        </w:tc>
        <w:tc>
          <w:tcPr>
            <w:tcW w:w="666" w:type="dxa"/>
            <w:tcBorders>
              <w:top w:val="nil"/>
              <w:left w:val="nil"/>
              <w:bottom w:val="nil"/>
              <w:right w:val="single" w:sz="4" w:space="0" w:color="auto"/>
            </w:tcBorders>
            <w:shd w:val="clear" w:color="000000" w:fill="D9D9D9"/>
            <w:noWrap/>
            <w:vAlign w:val="center"/>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0,7</w:t>
            </w:r>
          </w:p>
        </w:tc>
        <w:tc>
          <w:tcPr>
            <w:tcW w:w="683" w:type="dxa"/>
            <w:tcBorders>
              <w:top w:val="nil"/>
              <w:left w:val="nil"/>
              <w:bottom w:val="nil"/>
              <w:right w:val="single" w:sz="4" w:space="0" w:color="auto"/>
            </w:tcBorders>
            <w:shd w:val="clear" w:color="000000" w:fill="D9D9D9"/>
            <w:noWrap/>
            <w:vAlign w:val="center"/>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w:t>
            </w:r>
          </w:p>
        </w:tc>
        <w:tc>
          <w:tcPr>
            <w:tcW w:w="566" w:type="dxa"/>
            <w:tcBorders>
              <w:top w:val="nil"/>
              <w:left w:val="nil"/>
              <w:bottom w:val="nil"/>
              <w:right w:val="single" w:sz="4" w:space="0" w:color="auto"/>
            </w:tcBorders>
            <w:shd w:val="clear" w:color="000000" w:fill="D9D9D9"/>
            <w:noWrap/>
            <w:vAlign w:val="center"/>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w:t>
            </w:r>
          </w:p>
        </w:tc>
        <w:tc>
          <w:tcPr>
            <w:tcW w:w="683" w:type="dxa"/>
            <w:tcBorders>
              <w:top w:val="nil"/>
              <w:left w:val="nil"/>
              <w:bottom w:val="nil"/>
              <w:right w:val="single" w:sz="4" w:space="0" w:color="auto"/>
            </w:tcBorders>
            <w:shd w:val="clear" w:color="000000" w:fill="D9D9D9"/>
            <w:noWrap/>
            <w:vAlign w:val="center"/>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w:t>
            </w:r>
          </w:p>
        </w:tc>
        <w:tc>
          <w:tcPr>
            <w:tcW w:w="566" w:type="dxa"/>
            <w:tcBorders>
              <w:top w:val="nil"/>
              <w:left w:val="nil"/>
              <w:bottom w:val="nil"/>
              <w:right w:val="nil"/>
            </w:tcBorders>
            <w:shd w:val="clear" w:color="000000" w:fill="D9D9D9"/>
            <w:noWrap/>
            <w:vAlign w:val="center"/>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w:t>
            </w:r>
          </w:p>
        </w:tc>
      </w:tr>
      <w:tr>
        <w:trPr>
          <w:trHeight w:val="300"/>
        </w:trPr>
        <w:tc>
          <w:tcPr>
            <w:tcW w:w="5469" w:type="dxa"/>
            <w:gridSpan w:val="2"/>
            <w:tcBorders>
              <w:top w:val="nil"/>
              <w:left w:val="nil"/>
              <w:bottom w:val="nil"/>
              <w:right w:val="single" w:sz="4" w:space="0" w:color="000000"/>
            </w:tcBorders>
            <w:shd w:val="clear" w:color="000000" w:fill="FFFFFF"/>
            <w:hideMark/>
          </w:tcPr>
          <w:p>
            <w:pPr>
              <w:spacing w:after="0" w:line="240" w:lineRule="auto"/>
              <w:ind w:firstLineChars="200" w:firstLine="400"/>
              <w:rPr>
                <w:rFonts w:ascii="Times New Roman" w:eastAsia="Times New Roman" w:hAnsi="Times New Roman" w:cs="Times New Roman"/>
                <w:i/>
                <w:iCs/>
                <w:noProof/>
                <w:sz w:val="20"/>
                <w:szCs w:val="20"/>
                <w:lang w:eastAsia="en-US" w:bidi="ar-SA"/>
              </w:rPr>
            </w:pPr>
            <w:r>
              <w:rPr>
                <w:rFonts w:ascii="Times New Roman" w:eastAsia="Times New Roman" w:hAnsi="Times New Roman" w:cs="Times New Roman"/>
                <w:i/>
                <w:iCs/>
                <w:noProof/>
                <w:sz w:val="20"/>
                <w:szCs w:val="20"/>
                <w:lang w:eastAsia="en-US" w:bidi="ar-SA"/>
              </w:rPr>
              <w:t>Porovnať s:</w:t>
            </w:r>
          </w:p>
        </w:tc>
        <w:tc>
          <w:tcPr>
            <w:tcW w:w="276" w:type="dxa"/>
            <w:tcBorders>
              <w:top w:val="nil"/>
              <w:left w:val="nil"/>
              <w:bottom w:val="nil"/>
              <w:right w:val="single" w:sz="4" w:space="0" w:color="auto"/>
            </w:tcBorders>
            <w:shd w:val="clear" w:color="000000" w:fill="FFFFFF"/>
            <w:hideMark/>
          </w:tcPr>
          <w:p>
            <w:pPr>
              <w:spacing w:after="0" w:line="240" w:lineRule="auto"/>
              <w:ind w:firstLineChars="200" w:firstLine="400"/>
              <w:rPr>
                <w:rFonts w:ascii="Times New Roman" w:eastAsia="Times New Roman" w:hAnsi="Times New Roman" w:cs="Times New Roman"/>
                <w:i/>
                <w:iCs/>
                <w:noProof/>
                <w:sz w:val="20"/>
                <w:szCs w:val="20"/>
                <w:lang w:eastAsia="en-US" w:bidi="ar-SA"/>
              </w:rPr>
            </w:pPr>
            <w:r>
              <w:rPr>
                <w:rFonts w:ascii="Times New Roman" w:eastAsia="Times New Roman" w:hAnsi="Times New Roman" w:cs="Times New Roman"/>
                <w:i/>
                <w:iCs/>
                <w:noProof/>
                <w:sz w:val="20"/>
                <w:szCs w:val="20"/>
                <w:lang w:eastAsia="en-US" w:bidi="ar-SA"/>
              </w:rPr>
              <w:t> </w:t>
            </w:r>
          </w:p>
        </w:tc>
        <w:tc>
          <w:tcPr>
            <w:tcW w:w="616" w:type="dxa"/>
            <w:tcBorders>
              <w:top w:val="nil"/>
              <w:left w:val="nil"/>
              <w:bottom w:val="nil"/>
              <w:right w:val="single" w:sz="4" w:space="0" w:color="auto"/>
            </w:tcBorders>
            <w:shd w:val="clear" w:color="000000" w:fill="FFFFFF"/>
            <w:hideMark/>
          </w:tcPr>
          <w:p>
            <w:pPr>
              <w:spacing w:after="0" w:line="240" w:lineRule="auto"/>
              <w:ind w:firstLineChars="200" w:firstLine="400"/>
              <w:rPr>
                <w:rFonts w:ascii="Times New Roman" w:eastAsia="Times New Roman" w:hAnsi="Times New Roman" w:cs="Times New Roman"/>
                <w:i/>
                <w:iCs/>
                <w:noProof/>
                <w:sz w:val="20"/>
                <w:szCs w:val="20"/>
                <w:lang w:eastAsia="en-US" w:bidi="ar-SA"/>
              </w:rPr>
            </w:pPr>
            <w:r>
              <w:rPr>
                <w:rFonts w:ascii="Times New Roman" w:eastAsia="Times New Roman" w:hAnsi="Times New Roman" w:cs="Times New Roman"/>
                <w:i/>
                <w:iCs/>
                <w:noProof/>
                <w:sz w:val="20"/>
                <w:szCs w:val="20"/>
                <w:lang w:eastAsia="en-US" w:bidi="ar-SA"/>
              </w:rPr>
              <w:t> </w:t>
            </w:r>
          </w:p>
        </w:tc>
        <w:tc>
          <w:tcPr>
            <w:tcW w:w="666" w:type="dxa"/>
            <w:tcBorders>
              <w:top w:val="nil"/>
              <w:left w:val="nil"/>
              <w:bottom w:val="nil"/>
              <w:right w:val="single" w:sz="4" w:space="0" w:color="auto"/>
            </w:tcBorders>
            <w:shd w:val="clear" w:color="000000" w:fill="D9D9D9"/>
            <w:noWrap/>
            <w:vAlign w:val="bottom"/>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w:t>
            </w:r>
          </w:p>
        </w:tc>
        <w:tc>
          <w:tcPr>
            <w:tcW w:w="683" w:type="dxa"/>
            <w:tcBorders>
              <w:top w:val="nil"/>
              <w:left w:val="nil"/>
              <w:bottom w:val="nil"/>
              <w:right w:val="single" w:sz="4" w:space="0" w:color="auto"/>
            </w:tcBorders>
            <w:shd w:val="clear" w:color="000000" w:fill="D9D9D9"/>
            <w:noWrap/>
            <w:vAlign w:val="bottom"/>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w:t>
            </w:r>
          </w:p>
        </w:tc>
        <w:tc>
          <w:tcPr>
            <w:tcW w:w="566" w:type="dxa"/>
            <w:tcBorders>
              <w:top w:val="nil"/>
              <w:left w:val="nil"/>
              <w:bottom w:val="nil"/>
              <w:right w:val="single" w:sz="4" w:space="0" w:color="auto"/>
            </w:tcBorders>
            <w:shd w:val="clear" w:color="000000" w:fill="D9D9D9"/>
            <w:noWrap/>
            <w:vAlign w:val="bottom"/>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w:t>
            </w:r>
          </w:p>
        </w:tc>
        <w:tc>
          <w:tcPr>
            <w:tcW w:w="683" w:type="dxa"/>
            <w:tcBorders>
              <w:top w:val="nil"/>
              <w:left w:val="nil"/>
              <w:bottom w:val="nil"/>
              <w:right w:val="single" w:sz="4" w:space="0" w:color="auto"/>
            </w:tcBorders>
            <w:shd w:val="clear" w:color="000000" w:fill="D9D9D9"/>
            <w:noWrap/>
            <w:vAlign w:val="bottom"/>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w:t>
            </w:r>
          </w:p>
        </w:tc>
        <w:tc>
          <w:tcPr>
            <w:tcW w:w="566" w:type="dxa"/>
            <w:tcBorders>
              <w:top w:val="nil"/>
              <w:left w:val="nil"/>
              <w:bottom w:val="nil"/>
              <w:right w:val="nil"/>
            </w:tcBorders>
            <w:shd w:val="clear" w:color="000000" w:fill="D9D9D9"/>
            <w:noWrap/>
            <w:vAlign w:val="bottom"/>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w:t>
            </w:r>
          </w:p>
        </w:tc>
      </w:tr>
      <w:tr>
        <w:trPr>
          <w:trHeight w:val="420"/>
        </w:trPr>
        <w:tc>
          <w:tcPr>
            <w:tcW w:w="5469" w:type="dxa"/>
            <w:gridSpan w:val="2"/>
            <w:tcBorders>
              <w:top w:val="nil"/>
              <w:left w:val="nil"/>
              <w:bottom w:val="single" w:sz="8" w:space="0" w:color="auto"/>
              <w:right w:val="single" w:sz="4" w:space="0" w:color="000000"/>
            </w:tcBorders>
            <w:shd w:val="clear" w:color="000000" w:fill="FFFFFF"/>
            <w:hideMark/>
          </w:tcPr>
          <w:p>
            <w:pPr>
              <w:spacing w:after="0" w:line="240" w:lineRule="auto"/>
              <w:ind w:firstLineChars="100" w:firstLine="200"/>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xml:space="preserve">Požadovaná úprava </w:t>
            </w:r>
            <w:r>
              <w:rPr>
                <w:rFonts w:ascii="Times New Roman" w:eastAsia="Times New Roman" w:hAnsi="Times New Roman" w:cs="Times New Roman"/>
                <w:noProof/>
                <w:sz w:val="20"/>
                <w:szCs w:val="20"/>
                <w:vertAlign w:val="superscript"/>
                <w:lang w:eastAsia="en-US" w:bidi="ar-SA"/>
              </w:rPr>
              <w:t>4</w:t>
            </w:r>
          </w:p>
        </w:tc>
        <w:tc>
          <w:tcPr>
            <w:tcW w:w="276" w:type="dxa"/>
            <w:tcBorders>
              <w:top w:val="nil"/>
              <w:left w:val="nil"/>
              <w:bottom w:val="single" w:sz="8" w:space="0" w:color="auto"/>
              <w:right w:val="single" w:sz="4" w:space="0" w:color="auto"/>
            </w:tcBorders>
            <w:shd w:val="clear" w:color="000000" w:fill="FFFFFF"/>
            <w:hideMark/>
          </w:tcPr>
          <w:p>
            <w:pPr>
              <w:spacing w:after="0" w:line="240" w:lineRule="auto"/>
              <w:ind w:firstLineChars="100" w:firstLine="200"/>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w:t>
            </w:r>
          </w:p>
        </w:tc>
        <w:tc>
          <w:tcPr>
            <w:tcW w:w="616" w:type="dxa"/>
            <w:tcBorders>
              <w:top w:val="nil"/>
              <w:left w:val="nil"/>
              <w:bottom w:val="single" w:sz="8" w:space="0" w:color="auto"/>
              <w:right w:val="single" w:sz="4" w:space="0" w:color="auto"/>
            </w:tcBorders>
            <w:shd w:val="clear" w:color="000000" w:fill="FFFFFF"/>
            <w:noWrap/>
            <w:vAlign w:val="bottom"/>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-1,2</w:t>
            </w:r>
          </w:p>
        </w:tc>
        <w:tc>
          <w:tcPr>
            <w:tcW w:w="666" w:type="dxa"/>
            <w:tcBorders>
              <w:top w:val="nil"/>
              <w:left w:val="nil"/>
              <w:bottom w:val="single" w:sz="8" w:space="0" w:color="auto"/>
              <w:right w:val="single" w:sz="4" w:space="0" w:color="auto"/>
            </w:tcBorders>
            <w:shd w:val="clear" w:color="000000" w:fill="D9D9D9"/>
            <w:noWrap/>
            <w:vAlign w:val="bottom"/>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-3,7</w:t>
            </w:r>
          </w:p>
        </w:tc>
        <w:tc>
          <w:tcPr>
            <w:tcW w:w="683" w:type="dxa"/>
            <w:tcBorders>
              <w:top w:val="nil"/>
              <w:left w:val="nil"/>
              <w:bottom w:val="single" w:sz="8" w:space="0" w:color="auto"/>
              <w:right w:val="single" w:sz="4" w:space="0" w:color="auto"/>
            </w:tcBorders>
            <w:shd w:val="clear" w:color="000000" w:fill="D9D9D9"/>
            <w:noWrap/>
            <w:vAlign w:val="bottom"/>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w:t>
            </w:r>
          </w:p>
        </w:tc>
        <w:tc>
          <w:tcPr>
            <w:tcW w:w="566" w:type="dxa"/>
            <w:tcBorders>
              <w:top w:val="nil"/>
              <w:left w:val="nil"/>
              <w:bottom w:val="single" w:sz="8" w:space="0" w:color="auto"/>
              <w:right w:val="single" w:sz="4" w:space="0" w:color="auto"/>
            </w:tcBorders>
            <w:shd w:val="clear" w:color="000000" w:fill="D9D9D9"/>
            <w:noWrap/>
            <w:vAlign w:val="bottom"/>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w:t>
            </w:r>
          </w:p>
        </w:tc>
        <w:tc>
          <w:tcPr>
            <w:tcW w:w="683" w:type="dxa"/>
            <w:tcBorders>
              <w:top w:val="nil"/>
              <w:left w:val="nil"/>
              <w:bottom w:val="single" w:sz="8" w:space="0" w:color="auto"/>
              <w:right w:val="single" w:sz="4" w:space="0" w:color="auto"/>
            </w:tcBorders>
            <w:shd w:val="clear" w:color="000000" w:fill="D9D9D9"/>
            <w:noWrap/>
            <w:vAlign w:val="bottom"/>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w:t>
            </w:r>
          </w:p>
        </w:tc>
        <w:tc>
          <w:tcPr>
            <w:tcW w:w="566" w:type="dxa"/>
            <w:tcBorders>
              <w:top w:val="nil"/>
              <w:left w:val="nil"/>
              <w:bottom w:val="single" w:sz="8" w:space="0" w:color="auto"/>
              <w:right w:val="nil"/>
            </w:tcBorders>
            <w:shd w:val="clear" w:color="000000" w:fill="D9D9D9"/>
            <w:noWrap/>
            <w:vAlign w:val="bottom"/>
            <w:hideMark/>
          </w:tcPr>
          <w:p>
            <w:pPr>
              <w:spacing w:after="0" w:line="240" w:lineRule="auto"/>
              <w:jc w:val="center"/>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w:t>
            </w:r>
          </w:p>
        </w:tc>
      </w:tr>
      <w:tr>
        <w:trPr>
          <w:gridAfter w:val="6"/>
          <w:wAfter w:w="3780" w:type="dxa"/>
          <w:trHeight w:val="420"/>
        </w:trPr>
        <w:tc>
          <w:tcPr>
            <w:tcW w:w="519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i/>
                <w:iCs/>
                <w:noProof/>
                <w:color w:val="000000"/>
                <w:sz w:val="20"/>
                <w:szCs w:val="20"/>
                <w:lang w:eastAsia="en-US" w:bidi="ar-SA"/>
              </w:rPr>
            </w:pPr>
            <w:r>
              <w:rPr>
                <w:rFonts w:ascii="Times New Roman" w:eastAsia="Times New Roman" w:hAnsi="Times New Roman" w:cs="Times New Roman"/>
                <w:i/>
                <w:iCs/>
                <w:noProof/>
                <w:color w:val="000000"/>
                <w:sz w:val="20"/>
                <w:szCs w:val="20"/>
                <w:lang w:eastAsia="en-US" w:bidi="ar-SA"/>
              </w:rPr>
              <w:t>Zdroj: Program stability z roku 2019 (PS) a prognóza Komisie z jari 2019 (KOM), výpočty Komisie.</w:t>
            </w:r>
          </w:p>
        </w:tc>
        <w:tc>
          <w:tcPr>
            <w:tcW w:w="276" w:type="dxa"/>
            <w:tcBorders>
              <w:top w:val="nil"/>
              <w:left w:val="nil"/>
              <w:bottom w:val="nil"/>
              <w:right w:val="nil"/>
            </w:tcBorders>
            <w:shd w:val="clear" w:color="000000" w:fill="FFFFFF"/>
            <w:hideMark/>
          </w:tcPr>
          <w:p>
            <w:pPr>
              <w:spacing w:after="0" w:line="240" w:lineRule="auto"/>
              <w:ind w:firstLineChars="100" w:firstLine="200"/>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w:t>
            </w:r>
          </w:p>
        </w:tc>
        <w:tc>
          <w:tcPr>
            <w:tcW w:w="276" w:type="dxa"/>
            <w:tcBorders>
              <w:top w:val="nil"/>
              <w:left w:val="nil"/>
              <w:bottom w:val="nil"/>
              <w:right w:val="nil"/>
            </w:tcBorders>
            <w:shd w:val="clear" w:color="000000" w:fill="FFFFFF"/>
            <w:hideMark/>
          </w:tcPr>
          <w:p>
            <w:pPr>
              <w:spacing w:after="0" w:line="240" w:lineRule="auto"/>
              <w:ind w:firstLineChars="100" w:firstLine="200"/>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lang w:eastAsia="en-US" w:bidi="ar-SA"/>
              </w:rPr>
              <w:t> </w:t>
            </w:r>
          </w:p>
        </w:tc>
      </w:tr>
      <w:tr>
        <w:trPr>
          <w:gridAfter w:val="6"/>
          <w:wAfter w:w="3780" w:type="dxa"/>
          <w:trHeight w:val="315"/>
        </w:trPr>
        <w:tc>
          <w:tcPr>
            <w:tcW w:w="519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i/>
                <w:iCs/>
                <w:noProof/>
                <w:color w:val="000000"/>
                <w:sz w:val="20"/>
                <w:szCs w:val="20"/>
                <w:lang w:eastAsia="en-US" w:bidi="ar-SA"/>
              </w:rPr>
            </w:pPr>
            <w:r>
              <w:rPr>
                <w:rFonts w:ascii="Times New Roman" w:eastAsia="Times New Roman" w:hAnsi="Times New Roman" w:cs="Times New Roman"/>
                <w:i/>
                <w:iCs/>
                <w:noProof/>
                <w:color w:val="000000"/>
                <w:sz w:val="20"/>
                <w:szCs w:val="20"/>
                <w:lang w:eastAsia="en-US" w:bidi="ar-SA"/>
              </w:rPr>
              <w:t>Poznámky:</w:t>
            </w:r>
          </w:p>
        </w:tc>
        <w:tc>
          <w:tcPr>
            <w:tcW w:w="276" w:type="dxa"/>
            <w:tcBorders>
              <w:top w:val="nil"/>
              <w:left w:val="nil"/>
              <w:bottom w:val="nil"/>
              <w:right w:val="nil"/>
            </w:tcBorders>
            <w:shd w:val="clear" w:color="000000" w:fill="FFFFFF"/>
            <w:hideMark/>
          </w:tcPr>
          <w:p>
            <w:pPr>
              <w:spacing w:after="0" w:line="240" w:lineRule="auto"/>
              <w:ind w:firstLineChars="100" w:firstLine="240"/>
              <w:rPr>
                <w:rFonts w:ascii="Times New Roman" w:eastAsia="Times New Roman" w:hAnsi="Times New Roman" w:cs="Times New Roman"/>
                <w:noProof/>
                <w:sz w:val="24"/>
                <w:szCs w:val="24"/>
                <w:lang w:eastAsia="en-US" w:bidi="ar-SA"/>
              </w:rPr>
            </w:pPr>
            <w:r>
              <w:rPr>
                <w:rFonts w:ascii="Times New Roman" w:eastAsia="Times New Roman" w:hAnsi="Times New Roman" w:cs="Times New Roman"/>
                <w:noProof/>
                <w:sz w:val="24"/>
                <w:szCs w:val="24"/>
                <w:lang w:eastAsia="en-US" w:bidi="ar-SA"/>
              </w:rPr>
              <w:t> </w:t>
            </w:r>
          </w:p>
        </w:tc>
        <w:tc>
          <w:tcPr>
            <w:tcW w:w="276" w:type="dxa"/>
            <w:tcBorders>
              <w:top w:val="nil"/>
              <w:left w:val="nil"/>
              <w:bottom w:val="nil"/>
              <w:right w:val="nil"/>
            </w:tcBorders>
            <w:shd w:val="clear" w:color="000000" w:fill="FFFFFF"/>
            <w:hideMark/>
          </w:tcPr>
          <w:p>
            <w:pPr>
              <w:spacing w:after="0" w:line="240" w:lineRule="auto"/>
              <w:ind w:firstLineChars="100" w:firstLine="240"/>
              <w:rPr>
                <w:rFonts w:ascii="Times New Roman" w:eastAsia="Times New Roman" w:hAnsi="Times New Roman" w:cs="Times New Roman"/>
                <w:noProof/>
                <w:sz w:val="24"/>
                <w:szCs w:val="24"/>
                <w:lang w:eastAsia="en-US" w:bidi="ar-SA"/>
              </w:rPr>
            </w:pPr>
            <w:r>
              <w:rPr>
                <w:rFonts w:ascii="Times New Roman" w:eastAsia="Times New Roman" w:hAnsi="Times New Roman" w:cs="Times New Roman"/>
                <w:noProof/>
                <w:sz w:val="24"/>
                <w:szCs w:val="24"/>
                <w:lang w:eastAsia="en-US" w:bidi="ar-SA"/>
              </w:rPr>
              <w:t> </w:t>
            </w:r>
          </w:p>
        </w:tc>
      </w:tr>
      <w:tr>
        <w:trPr>
          <w:trHeight w:val="630"/>
        </w:trPr>
        <w:tc>
          <w:tcPr>
            <w:tcW w:w="9525" w:type="dxa"/>
            <w:gridSpan w:val="9"/>
            <w:tcBorders>
              <w:top w:val="nil"/>
              <w:left w:val="nil"/>
              <w:bottom w:val="nil"/>
              <w:right w:val="nil"/>
            </w:tcBorders>
            <w:shd w:val="clear" w:color="000000" w:fill="FFFFFF"/>
            <w:hideMark/>
          </w:tcPr>
          <w:p>
            <w:pPr>
              <w:spacing w:after="0" w:line="240" w:lineRule="auto"/>
              <w:rPr>
                <w:rFonts w:ascii="Times New Roman" w:eastAsia="Times New Roman" w:hAnsi="Times New Roman" w:cs="Times New Roman"/>
                <w:i/>
                <w:iCs/>
                <w:noProof/>
                <w:color w:val="000000"/>
                <w:sz w:val="20"/>
                <w:szCs w:val="20"/>
                <w:lang w:eastAsia="en-US" w:bidi="ar-SA"/>
              </w:rPr>
            </w:pPr>
            <w:r>
              <w:rPr>
                <w:rFonts w:ascii="Times New Roman" w:eastAsia="Times New Roman" w:hAnsi="Times New Roman" w:cs="Times New Roman"/>
                <w:i/>
                <w:iCs/>
                <w:noProof/>
                <w:color w:val="000000"/>
                <w:sz w:val="20"/>
                <w:szCs w:val="20"/>
                <w:vertAlign w:val="superscript"/>
                <w:lang w:eastAsia="en-US" w:bidi="ar-SA"/>
              </w:rPr>
              <w:t xml:space="preserve">1 </w:t>
            </w:r>
            <w:r>
              <w:rPr>
                <w:rFonts w:ascii="Times New Roman" w:eastAsia="Times New Roman" w:hAnsi="Times New Roman" w:cs="Times New Roman"/>
                <w:i/>
                <w:iCs/>
                <w:noProof/>
                <w:color w:val="000000"/>
                <w:sz w:val="20"/>
                <w:szCs w:val="20"/>
                <w:lang w:eastAsia="en-US" w:bidi="ar-SA"/>
              </w:rPr>
              <w:t>Nevzťahuje sa na členské štáty, ktoré v novembri 2011 podliehali postupu pri nadmernom deficite, a na obdobie troch rokov po úprave nadmerného deficitu.</w:t>
            </w:r>
          </w:p>
        </w:tc>
      </w:tr>
      <w:tr>
        <w:trPr>
          <w:trHeight w:val="630"/>
        </w:trPr>
        <w:tc>
          <w:tcPr>
            <w:tcW w:w="9525" w:type="dxa"/>
            <w:gridSpan w:val="9"/>
            <w:tcBorders>
              <w:top w:val="nil"/>
              <w:left w:val="nil"/>
              <w:bottom w:val="nil"/>
              <w:right w:val="nil"/>
            </w:tcBorders>
            <w:shd w:val="clear" w:color="000000" w:fill="FFFFFF"/>
            <w:hideMark/>
          </w:tcPr>
          <w:p>
            <w:pPr>
              <w:spacing w:after="0" w:line="240" w:lineRule="auto"/>
              <w:rPr>
                <w:rFonts w:ascii="Times New Roman" w:eastAsia="Times New Roman" w:hAnsi="Times New Roman" w:cs="Times New Roman"/>
                <w:noProof/>
                <w:sz w:val="20"/>
                <w:szCs w:val="20"/>
                <w:lang w:eastAsia="en-US" w:bidi="ar-SA"/>
              </w:rPr>
            </w:pPr>
            <w:r>
              <w:rPr>
                <w:rFonts w:ascii="Times New Roman" w:eastAsia="Times New Roman" w:hAnsi="Times New Roman" w:cs="Times New Roman"/>
                <w:noProof/>
                <w:sz w:val="20"/>
                <w:szCs w:val="20"/>
                <w:vertAlign w:val="superscript"/>
                <w:lang w:eastAsia="en-US" w:bidi="ar-SA"/>
              </w:rPr>
              <w:t xml:space="preserve">2 </w:t>
            </w:r>
            <w:r>
              <w:rPr>
                <w:rFonts w:ascii="Times New Roman" w:eastAsia="Times New Roman" w:hAnsi="Times New Roman" w:cs="Times New Roman"/>
                <w:i/>
                <w:iCs/>
                <w:noProof/>
                <w:sz w:val="20"/>
                <w:szCs w:val="20"/>
                <w:lang w:eastAsia="en-US" w:bidi="ar-SA"/>
              </w:rPr>
              <w:t>Ukazuje rozdiel medzi pomerom dlhu k HDP a referenčnou hodnotou pre úpravu pomeru dlhu k HDP. Ak je kladný, predpokladaný pomer hrubého dlhu k HDP nie je v súlade s referenčnou hodnotou pre úpravu pomeru dlhu k HDP.</w:t>
            </w:r>
          </w:p>
        </w:tc>
      </w:tr>
      <w:tr>
        <w:trPr>
          <w:trHeight w:val="600"/>
        </w:trPr>
        <w:tc>
          <w:tcPr>
            <w:tcW w:w="9525" w:type="dxa"/>
            <w:gridSpan w:val="9"/>
            <w:tcBorders>
              <w:top w:val="nil"/>
              <w:left w:val="nil"/>
              <w:bottom w:val="nil"/>
              <w:right w:val="nil"/>
            </w:tcBorders>
            <w:shd w:val="clear" w:color="000000" w:fill="FFFFFF"/>
            <w:hideMark/>
          </w:tcPr>
          <w:p>
            <w:pPr>
              <w:spacing w:after="0" w:line="240" w:lineRule="auto"/>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vertAlign w:val="superscript"/>
                <w:lang w:eastAsia="en-US" w:bidi="ar-SA"/>
              </w:rPr>
              <w:t xml:space="preserve">3 </w:t>
            </w:r>
            <w:r>
              <w:rPr>
                <w:rFonts w:ascii="Times New Roman" w:eastAsia="Times New Roman" w:hAnsi="Times New Roman" w:cs="Times New Roman"/>
                <w:i/>
                <w:iCs/>
                <w:noProof/>
                <w:color w:val="000000"/>
                <w:sz w:val="20"/>
                <w:szCs w:val="20"/>
                <w:lang w:eastAsia="en-US" w:bidi="ar-SA"/>
              </w:rPr>
              <w:t>Uplatňuje sa len počas prechodného obdobia troch rokov od úpravy nadmerného deficitu pre postupy pri nadmernom deficite, ktoré prebiehali v novembri 2011.</w:t>
            </w:r>
          </w:p>
        </w:tc>
      </w:tr>
      <w:tr>
        <w:trPr>
          <w:trHeight w:val="840"/>
        </w:trPr>
        <w:tc>
          <w:tcPr>
            <w:tcW w:w="9525" w:type="dxa"/>
            <w:gridSpan w:val="9"/>
            <w:tcBorders>
              <w:top w:val="nil"/>
              <w:left w:val="nil"/>
              <w:bottom w:val="nil"/>
              <w:right w:val="nil"/>
            </w:tcBorders>
            <w:shd w:val="clear" w:color="000000" w:fill="FFFFFF"/>
            <w:hideMark/>
          </w:tcPr>
          <w:p>
            <w:pPr>
              <w:spacing w:after="0" w:line="240" w:lineRule="auto"/>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vertAlign w:val="superscript"/>
                <w:lang w:eastAsia="en-US" w:bidi="ar-SA"/>
              </w:rPr>
              <w:t xml:space="preserve">4 </w:t>
            </w:r>
            <w:r>
              <w:rPr>
                <w:rFonts w:ascii="Times New Roman" w:eastAsia="Times New Roman" w:hAnsi="Times New Roman" w:cs="Times New Roman"/>
                <w:i/>
                <w:iCs/>
                <w:noProof/>
                <w:color w:val="000000"/>
                <w:sz w:val="20"/>
                <w:szCs w:val="20"/>
                <w:lang w:eastAsia="en-US" w:bidi="ar-SA"/>
              </w:rPr>
              <w:t>Definuje zvyšnú ročnú štrukturálnu úpravu počas prechodného obdobia, ktorou sa zabezpečuje, že – v prípade dodržania – členský štát na konci prechodného obdobia dodrží referenčnú hodnotu pre úpravu pomeru dlhu k HDP za predpokladu, že sa dosiahli rozpočtové predpoklady Komisie (PS) na predchádzajúce roky.</w:t>
            </w:r>
          </w:p>
        </w:tc>
      </w:tr>
    </w:tbl>
    <w:p>
      <w:pPr>
        <w:spacing w:before="120" w:after="120" w:line="240" w:lineRule="auto"/>
        <w:jc w:val="both"/>
        <w:rPr>
          <w:rFonts w:ascii="Times New Roman" w:hAnsi="Times New Roman"/>
          <w:noProof/>
          <w:sz w:val="24"/>
        </w:rPr>
      </w:pPr>
      <w:r>
        <w:rPr>
          <w:rFonts w:ascii="Times New Roman" w:hAnsi="Times New Roman"/>
          <w:noProof/>
          <w:sz w:val="24"/>
        </w:rPr>
        <w:t>Po zrušení postupu pri nadmernom deficite v roku 2015 sa pre Cyprus stanovilo trojročné prechodné obdobie na splnenie referenčnej hodnoty pre úpravu pomeru dlhu k HDP. Toto prechodné obdobie sa začalo v roku 2016 a trvalo do roku 2018. Od roku 2019 sa uplatňuje referenčná hodnota pre úpravu pomeru dlhu k HDP, keďže sa predpokladá, že verejný dlh zostane vyšší ako 60 % HDP.</w:t>
      </w:r>
    </w:p>
    <w:p>
      <w:pPr>
        <w:spacing w:before="120" w:after="120" w:line="240" w:lineRule="auto"/>
        <w:jc w:val="both"/>
        <w:rPr>
          <w:rFonts w:ascii="Times New Roman" w:hAnsi="Times New Roman"/>
          <w:noProof/>
          <w:sz w:val="24"/>
        </w:rPr>
      </w:pPr>
      <w:r>
        <w:rPr>
          <w:rFonts w:ascii="Times New Roman" w:hAnsi="Times New Roman"/>
          <w:noProof/>
          <w:sz w:val="24"/>
        </w:rPr>
        <w:t>Z oznámených údajov vyplýva, že Cyprus v roku 2018 významne pokročil smerom k dodržaniu referenčnej hodnoty pre úpravu pomeru dlhu k HDP (pozri tabuľku č. 2), keďže sa odhaduje, že zmena v štrukturálnom salde prekročila v roku 2018 požadovanú minimálnu lineárnu štrukturálnu úpravu (o 4,3 % HDP).</w:t>
      </w:r>
    </w:p>
    <w:p>
      <w:pPr>
        <w:spacing w:before="120" w:after="120" w:line="240" w:lineRule="auto"/>
        <w:jc w:val="both"/>
        <w:rPr>
          <w:rFonts w:ascii="Times New Roman" w:hAnsi="Times New Roman"/>
          <w:noProof/>
          <w:sz w:val="24"/>
        </w:rPr>
      </w:pPr>
      <w:r>
        <w:rPr>
          <w:rFonts w:ascii="Times New Roman" w:hAnsi="Times New Roman"/>
          <w:noProof/>
          <w:sz w:val="24"/>
        </w:rPr>
        <w:t>Podľa prognózy Komisie z jari 2019 sa takisto predpokladá, že Cyprus dodrží referenčnú hodnotu pre úpravu pomeru dlhu k HDP v rokoch 2019 a 2020, keďže sa očakáva, že jeho pomer dlhu k HDP bude nižší ako referenčná hodnota, so záporným rozdielom oproti referenčnej hodnote pre úpravu pomeru dlhu vo výške 6,5 % HDP, resp. 4,7 % HDP.</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Na základe scenára uvedeného v programe stability sa takisto očakáva, že Cyprus v rokoch 2019 a 2020 dodrží dlhové kritérium. Očakáva sa, že Cyprus dodrží referenčnú hodnotu pre úpravu pomeru dlhu k HDP, na čo poukazuje záporný rozdiel oproti tejto referenčnej hodnote vo výške 9,1 % HDP, resp. 8,7 % HDP.</w:t>
      </w:r>
    </w:p>
    <w:p>
      <w:pPr>
        <w:spacing w:before="120" w:after="120" w:line="240" w:lineRule="auto"/>
        <w:jc w:val="both"/>
        <w:rPr>
          <w:rFonts w:ascii="Times New Roman" w:hAnsi="Times New Roman"/>
          <w:noProof/>
          <w:sz w:val="24"/>
        </w:rPr>
      </w:pPr>
      <w:r>
        <w:rPr>
          <w:rFonts w:ascii="Times New Roman" w:hAnsi="Times New Roman"/>
          <w:noProof/>
          <w:sz w:val="24"/>
        </w:rPr>
        <w:t>Cyprus teda spĺňa dlhové kritérium vymedzené v zmluve a v nariadení (ES) č. 1467/97.</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4.</w:t>
      </w:r>
      <w:r>
        <w:rPr>
          <w:noProof/>
        </w:rPr>
        <w:tab/>
      </w:r>
      <w:r>
        <w:rPr>
          <w:rFonts w:ascii="Times New Roman" w:hAnsi="Times New Roman"/>
          <w:b/>
          <w:smallCaps/>
          <w:noProof/>
          <w:sz w:val="24"/>
        </w:rPr>
        <w:t>Závažné faktory</w:t>
      </w:r>
    </w:p>
    <w:p>
      <w:pPr>
        <w:spacing w:before="120" w:after="120" w:line="240" w:lineRule="auto"/>
        <w:jc w:val="both"/>
        <w:rPr>
          <w:rFonts w:ascii="Times New Roman" w:hAnsi="Times New Roman"/>
          <w:noProof/>
          <w:sz w:val="24"/>
        </w:rPr>
      </w:pPr>
      <w:r>
        <w:rPr>
          <w:rFonts w:ascii="Times New Roman" w:hAnsi="Times New Roman"/>
          <w:noProof/>
          <w:sz w:val="24"/>
        </w:rPr>
        <w:t>V článku 126 ods. 3 ZFEÚ sa stanovuje, že správa Komisie „</w:t>
      </w:r>
      <w:r>
        <w:rPr>
          <w:rFonts w:ascii="Times New Roman" w:hAnsi="Times New Roman"/>
          <w:i/>
          <w:noProof/>
          <w:sz w:val="24"/>
        </w:rPr>
        <w:t>prihliadne tiež na to, či štátny deficit prekračuje štátne výdavky na investície a zohľadní všetky ostatné závažné faktory vrátane stavu hospodárskeho a rozpočtového výhľadu členského štátu na stredne dlhé obdobie</w:t>
      </w:r>
      <w:r>
        <w:rPr>
          <w:rFonts w:ascii="Times New Roman" w:hAnsi="Times New Roman"/>
          <w:noProof/>
          <w:sz w:val="24"/>
        </w:rPr>
        <w:t>“. Uvedené faktory sú ďalej objasnené v článku 2 ods. 3 nariadenia (ES) č. 1467/97, v ktorom sa takisto stanovuje, že treba náležite zohľadniť „</w:t>
      </w:r>
      <w:r>
        <w:rPr>
          <w:rFonts w:ascii="Times New Roman" w:hAnsi="Times New Roman"/>
          <w:i/>
          <w:noProof/>
          <w:sz w:val="24"/>
        </w:rPr>
        <w:t>všetky ostatné faktory, ktoré sú podľa názoru dotknutého členského štátu závažné z hľadiska komplexného posúdenia súladu s kritériami deficitu a dlhu a ktoré členský štát predložil Rade a Komisii</w:t>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Podľa článku 2 ods. 4 nariadenia (ES) č. 1467/97 sa závažné faktory zohľadnia pri posudzovaní dodržania na základe dlhového kritéria. Pokiaľ však pomer verejného dlhu k HDP prekročí referenčnú hodnotu, zohľadnia sa tieto faktory v krokoch vedúcich k rozhodnutiu o nadmernom deficite (ako sa stanovuje v odsekoch 4, 5 a 6 článku 126 zmluvy) len v prípade, ak je plne splnená táto dvojitá podmienka, a to, že deficit verejných financií sa pohybuje blízko referenčnej hodnoty a jeho prekročenie referenčnej hodnoty je dočasné. Keďže pomer verejného dlhu k HDP je 102,5 % HDP a deficit predstavuje 4,8 % HDP, čiže sa nepohybuje v blízkosti referenčnej hodnoty uvedenej v zmluve, v krokoch vedúcich k rozhodnutiu o existencii nadmerného deficitu na Cypre nie je možné zohľadniť závažné faktory.</w:t>
      </w:r>
    </w:p>
    <w:p>
      <w:pPr>
        <w:spacing w:before="120" w:after="120" w:line="240" w:lineRule="auto"/>
        <w:jc w:val="both"/>
        <w:rPr>
          <w:rFonts w:ascii="Times New Roman" w:hAnsi="Times New Roman"/>
          <w:noProof/>
          <w:sz w:val="24"/>
        </w:rPr>
      </w:pPr>
      <w:r>
        <w:rPr>
          <w:rFonts w:ascii="Times New Roman" w:hAnsi="Times New Roman"/>
          <w:noProof/>
          <w:sz w:val="24"/>
        </w:rPr>
        <w:t>Ak podľa článku 2 ods. 6 nariadenia (ES) č. 1467/97 Rada rozhodne, že v členskom štáte existuje nadmerný deficit, v nasledujúcich procesných krokoch sa zohľadnia závažné faktory, a to najmä pri určovaní lehoty na nápravu nadmerného deficitu a pri jej prípadnom predĺžení.</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Nasledujúce pododdiely sú venované 1. strednodobej rozpočtovej pozícii vrátane posúdenia dodržiavania požadovaných úprav smerujúcich k strednodobému rozpočtovému cieľu a rozvoja verejných investícií; 2. vývoju strednodobej pozície verejného dlhu, jej dynamike a udržateľnosti; 3. strednodobej hospodárskej pozícii; 4. iným faktorom, ktoré Komisia považuje za závažné; a 5. iným faktorom predloženým členským štátom.</w:t>
      </w:r>
    </w:p>
    <w:p>
      <w:pPr>
        <w:keepNext/>
        <w:tabs>
          <w:tab w:val="left" w:pos="850"/>
        </w:tabs>
        <w:spacing w:before="360" w:after="120" w:line="240" w:lineRule="auto"/>
        <w:ind w:left="851" w:hanging="851"/>
        <w:jc w:val="both"/>
        <w:outlineLvl w:val="1"/>
        <w:rPr>
          <w:rFonts w:ascii="Times New Roman" w:hAnsi="Times New Roman"/>
          <w:b/>
          <w:noProof/>
          <w:sz w:val="24"/>
        </w:rPr>
      </w:pPr>
      <w:r>
        <w:rPr>
          <w:rFonts w:ascii="Times New Roman" w:hAnsi="Times New Roman"/>
          <w:b/>
          <w:noProof/>
          <w:sz w:val="24"/>
        </w:rPr>
        <w:t>4.1.</w:t>
      </w:r>
      <w:r>
        <w:rPr>
          <w:noProof/>
        </w:rPr>
        <w:tab/>
      </w:r>
      <w:r>
        <w:rPr>
          <w:rFonts w:ascii="Times New Roman" w:hAnsi="Times New Roman"/>
          <w:b/>
          <w:noProof/>
          <w:sz w:val="24"/>
        </w:rPr>
        <w:t>Strednodobá rozpočtová pozícia</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V hodnotení ex-post toho, ako Cyprus dodržiava preventívnu časť, sa zistilo, že štrukturálne saldo dosiahlo v roku 2018 prebytok 2,0 % HDP, čo je zo štrukturálneho hľadiska vysoko nad strednodobým cieľom vyváženej rozpočtovej pozície. Podľa prognózy Komisie z jari 2019 sa očakáva, že Cyprus zostane aj v rokoch 2019 a 2020 nad svojím strednodobým rozpočtovým cieľom.</w:t>
      </w:r>
    </w:p>
    <w:p>
      <w:pPr>
        <w:spacing w:before="120" w:after="120" w:line="240" w:lineRule="auto"/>
        <w:jc w:val="both"/>
        <w:rPr>
          <w:rFonts w:ascii="Times New Roman" w:hAnsi="Times New Roman"/>
          <w:b/>
          <w:noProof/>
          <w:sz w:val="24"/>
        </w:rPr>
      </w:pPr>
      <w:r>
        <w:rPr>
          <w:rFonts w:ascii="Times New Roman" w:hAnsi="Times New Roman"/>
          <w:b/>
          <w:noProof/>
          <w:sz w:val="24"/>
        </w:rPr>
        <w:t>Celkové a štrukturálne saldo a úpravy smerujúce k strednodobému rozpočtovému cieľu</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Celkové saldo</w:t>
      </w:r>
    </w:p>
    <w:p>
      <w:pPr>
        <w:spacing w:before="120" w:after="120" w:line="240" w:lineRule="auto"/>
        <w:jc w:val="both"/>
        <w:rPr>
          <w:rFonts w:ascii="Times New Roman" w:hAnsi="Times New Roman"/>
          <w:noProof/>
          <w:sz w:val="24"/>
        </w:rPr>
      </w:pPr>
      <w:r>
        <w:rPr>
          <w:rFonts w:ascii="Times New Roman" w:hAnsi="Times New Roman"/>
          <w:noProof/>
          <w:sz w:val="24"/>
        </w:rPr>
        <w:t>Celkové saldo Cypru sa v roku 2018 prepadlo do deficitu vo výške 4,8 % HDP, a to z prebytku vo výške 1,8 % HDP v roku 2017 a 0,3 % HDP v roku 2016. Pomer príjmov k HDP stúpol o 0,8 percentuálneho bodu HDP vďaka silnému hospodárskemu rastu vrátane rastúcich príjmov z daní a priaznivého vývoja na trhu práce. Pomer výdavkov k HDP sa zvýšil o 7,3 percentuálneho bodu HDP, a to najmä vplyvom opatrení štátnej podpory na predaj a riadnu likvidáciu Cyperskej družstevnej banky. Podľa prognózy Komisie z jari 2019 by mal prebytok verejných financií v roku 2019 dosiahnuť úroveň 3,0 % HDP a v roku 2020 úroveň 2,8 % HDP. Cieľom programu stability je celkový prebytok vo výške 3,0 % HDP v roku 2019 a 2,6 % HDP v roku 2020.</w:t>
      </w:r>
    </w:p>
    <w:p>
      <w:pPr>
        <w:spacing w:before="120" w:after="120" w:line="240" w:lineRule="auto"/>
        <w:jc w:val="both"/>
        <w:rPr>
          <w:rFonts w:ascii="Times New Roman" w:eastAsia="Times New Roman" w:hAnsi="Times New Roman" w:cs="Times New Roman"/>
          <w:bCs/>
          <w:i/>
          <w:noProof/>
          <w:sz w:val="24"/>
        </w:rPr>
      </w:pPr>
      <w:r>
        <w:rPr>
          <w:rFonts w:ascii="Times New Roman" w:hAnsi="Times New Roman"/>
          <w:i/>
          <w:noProof/>
          <w:sz w:val="24"/>
        </w:rPr>
        <w:t>Strednodobý rozpočtový cieľ a štrukturálne saldo</w:t>
      </w:r>
    </w:p>
    <w:p>
      <w:pPr>
        <w:spacing w:before="120" w:after="120" w:line="240" w:lineRule="auto"/>
        <w:jc w:val="both"/>
        <w:rPr>
          <w:rFonts w:ascii="Times New Roman" w:hAnsi="Times New Roman"/>
          <w:noProof/>
          <w:sz w:val="24"/>
        </w:rPr>
      </w:pPr>
      <w:r>
        <w:rPr>
          <w:rFonts w:ascii="Times New Roman" w:hAnsi="Times New Roman"/>
          <w:noProof/>
          <w:sz w:val="24"/>
        </w:rPr>
        <w:t>Štrukturálne saldo Cypru dosiahlo v roku 2018 prebytok vo výške 2,0 % HDP oproti 1,3 % HDP v roku 2017 a 1,1 % HDP v roku 2016. Štrukturálne saldo z roku 2018 bolo preto zo štrukturálneho hľadiska vysoko nad strednodobým rozpočtovým cieľom vyváženej rozpočtovej pozície.</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Podľa prognózy Komisie z jari 2019 sa očakáva, že štrukturálny prebytok sa zníži na 1,1 % HDP v roku 2019 a 0,7 % HDP v roku 2020, čo sa čiastočne vysvetľuje rozšírením pozitívnej produkčnej medzery. Na základe informácií uvedených v programe stability sa predpokladá, že prepočítané štrukturálne saldo dosiahne v roku 2019 úroveň 1,5 % HDP a v roku 2020 úroveň 1,0 % HDP a že sa v priebehu časového horizontu programu ešte zníži. V prognóze Komisie z jari 2019 aj v programe stability sa očakáva, že štrukturálne saldo zostane v rokoch 2019 a 2020 nad strednodobým cieľom. Dôvodom odchýlky v porovnaní s prognózou Komisie je rozdiel v plánovanom celkovom prebytku a predpoklad užšej produkčnej medzery, ktorej dôsledkom je menšia cyklická úprava.</w:t>
      </w:r>
    </w:p>
    <w:p>
      <w:pPr>
        <w:spacing w:before="120" w:after="120" w:line="240" w:lineRule="auto"/>
        <w:jc w:val="both"/>
        <w:rPr>
          <w:rFonts w:ascii="Times New Roman" w:hAnsi="Times New Roman"/>
          <w:b/>
          <w:noProof/>
          <w:sz w:val="24"/>
        </w:rPr>
      </w:pPr>
      <w:r>
        <w:rPr>
          <w:rFonts w:ascii="Times New Roman" w:hAnsi="Times New Roman"/>
          <w:b/>
          <w:noProof/>
          <w:sz w:val="24"/>
        </w:rPr>
        <w:t>Verejné investície</w:t>
      </w:r>
    </w:p>
    <w:p>
      <w:pPr>
        <w:spacing w:before="120" w:after="120" w:line="240" w:lineRule="auto"/>
        <w:jc w:val="both"/>
        <w:rPr>
          <w:rFonts w:ascii="Times New Roman" w:eastAsia="Times New Roman" w:hAnsi="Times New Roman" w:cs="Times New Roman"/>
          <w:bCs/>
          <w:noProof/>
          <w:sz w:val="24"/>
        </w:rPr>
      </w:pPr>
      <w:r>
        <w:rPr>
          <w:rFonts w:ascii="Times New Roman" w:hAnsi="Times New Roman"/>
          <w:noProof/>
          <w:sz w:val="24"/>
        </w:rPr>
        <w:t>Verejné investície na Cypre vzrástli z najnižšej úrovne 2,1 % HDP v roku 2014 na 2,7 % HDP v roku 2017, čím sa dostali do súladu s priemerom EÚ. V roku 2018 verejné investície ďalej stúpli na 5,5 % HDP, hoci tento vzostup sa väčšinou vysvetľuje začlenením dvoch nových subjektov (Sedipes a Kedipes) do sektora verejnej správy v dôsledku predaja a riadnej likvidácie Cyperskej družstevnej banky. Tieto subjekty konkrétne zaznamenali investície vo výške približne 670 miliónov EUR, čo zodpovedá fixnému kapitálu získanému ako kolaterál od bývalej Cyperskej družstevnej banky. Ako podiel na celkových vládnych výdavkoch dosiahli verejné investície na Cypre 7,3 % v roku 2017 a 12,4 % v roku 2018.</w:t>
      </w:r>
    </w:p>
    <w:p>
      <w:pPr>
        <w:spacing w:before="120" w:after="120" w:line="240" w:lineRule="auto"/>
        <w:jc w:val="both"/>
        <w:rPr>
          <w:rFonts w:ascii="Times New Roman" w:hAnsi="Times New Roman"/>
          <w:noProof/>
          <w:sz w:val="24"/>
        </w:rPr>
      </w:pPr>
      <w:r>
        <w:rPr>
          <w:rFonts w:ascii="Times New Roman" w:hAnsi="Times New Roman"/>
          <w:noProof/>
          <w:sz w:val="24"/>
        </w:rPr>
        <w:t>Podľa programu stability z roku 2019 sa predpokladá, že verejné investície klesnú v období, ktorého sa prognóza týka, približne na 2,0 % HDP.</w:t>
      </w:r>
    </w:p>
    <w:p>
      <w:pPr>
        <w:spacing w:before="120" w:after="120" w:line="240" w:lineRule="auto"/>
        <w:jc w:val="both"/>
        <w:rPr>
          <w:rFonts w:ascii="Times New Roman" w:hAnsi="Times New Roman"/>
          <w:noProof/>
          <w:sz w:val="24"/>
        </w:rPr>
      </w:pPr>
      <w:r>
        <w:rPr>
          <w:rFonts w:ascii="Times New Roman" w:hAnsi="Times New Roman"/>
          <w:noProof/>
          <w:sz w:val="24"/>
        </w:rPr>
        <w:t>Hlavné investičné priority vlády sú načrtnuté v strategickom vyhlásení vlády. V súlade s národným programom reforiem (NPR) na rok 2019 je celkovým cieľom stratégie zvýšiť potenciál rastu, zlepšiť konkurencieschopnosť a zabezpečiť dlhodobú udržateľnosť rastu. V záujme zatraktívnenia Cypru pre investorov sa kladie dôraz na reformy, ktorých cieľom je vytvoriť fungujúce podnikateľské prostredie, uľahčiť investície, podporiť lepšiu reguláciu a zjednodušiť procesy. Ďalšie priority sa týkajú reforiem, ktorých cieľom je zvýšiť efektivitu verejného sektora, podporiť MSP a podnikanie a zlepšiť účinnosť vynášania súdnych rozsudkov. Tieto reformy sa takisto zohľadňujú v odporúčaniach pre jednotlivé krajiny. V budúcnosti sa očakáva, že sa investície (verejné aj súkromné) zamerajú na oblasti energetiky, cestovného ruchu, lodnej dopravy, priemyslu, vzdelávania, zdravotníctva, spravodlivosti, výskumu a inovácie, digitalizácie a životného prostredia.</w:t>
      </w:r>
    </w:p>
    <w:p>
      <w:pPr>
        <w:spacing w:before="120" w:after="120" w:line="240" w:lineRule="auto"/>
        <w:jc w:val="both"/>
        <w:rPr>
          <w:noProof/>
          <w:color w:val="FF0000"/>
          <w:sz w:val="16"/>
          <w:szCs w:val="16"/>
        </w:rPr>
      </w:pPr>
    </w:p>
    <w:p>
      <w:pPr>
        <w:spacing w:before="120" w:after="120" w:line="240" w:lineRule="auto"/>
        <w:jc w:val="both"/>
        <w:rPr>
          <w:rFonts w:ascii="Times New Roman" w:hAnsi="Times New Roman"/>
          <w:b/>
          <w:noProof/>
          <w:sz w:val="24"/>
        </w:rPr>
      </w:pPr>
      <w:r>
        <w:rPr>
          <w:rFonts w:ascii="Times New Roman" w:hAnsi="Times New Roman"/>
          <w:b/>
          <w:noProof/>
          <w:sz w:val="24"/>
        </w:rPr>
        <w:t>4.2.</w:t>
      </w:r>
      <w:r>
        <w:rPr>
          <w:noProof/>
        </w:rPr>
        <w:tab/>
      </w:r>
      <w:r>
        <w:rPr>
          <w:rFonts w:ascii="Times New Roman" w:hAnsi="Times New Roman"/>
          <w:b/>
          <w:noProof/>
          <w:sz w:val="24"/>
        </w:rPr>
        <w:t>Strednodobá pozícia verejného dlhu</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Napriek zvýšeniu v roku 2018 z dôvodu opatrení na podporu bankového sektora, čím sa čiastočne zvrátil pokles z roku 2017, sa predpokladá, že verejný dlh bude od roku 2019 rovnomerne klesať vplyvom predpokladaných nepretržite vysokých primárnych rozpočtových prebytkov a silného nominálneho rastu HDP. Podľa analýzy fiškálnej udržateľnosti, ktorú vypracovala Komisia, sú tu však stále prítomné fiškálne riziká. Konkrétne je Cyprus pre vysoký verejný dlh zraniteľný pri potenciálnych finančných alebo hospodárskych otrasoch. Tieto riziká čiastočne znižujú zmiernené strednodobé finančné potreby a lepšie chápanie rizika štátneho dlhu na Cypre zo strany finančného trhu.</w:t>
      </w: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Dynamika dlhu</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Po značnom znížení (takmer o 10 percentuálnych bodov HDP) na 95,8 % HDP na konci roku 2017 sa verejný dlh v roku 2018 zvýšil na 102,5 % HDP. Hlavným dôvodom tohto nárastu bola jednorazová štátna podpora pri predaji a riadnej likvidácii Cyperskej družstevnej banky, a to konkrétne vydanie série štátnych dlhopisov v apríli a júli 2018, ktoré dosiahli výšku 15 % HDP (3,2 miliardy EUR). Táto transakcia predstavovala výrazný posun cyperského verejného dlhu nahor. Pomer dlhu k HDP sa však v roku 2018 zvýšil len o 7 percentuálnych bodov HDP v porovnaní s rokom 2017, keďže silné základné fiškálne výsledky, lavínový efekt (t. j. zmeny pomeru dlhu k HDP súvisiace s rozdielom medzi nominálnym rastom a úrokovou mierou) a operácie na aktívne riadenie dlhu čiastočne vykompenzovali nárast dlhu súvisiaci s Cyperskou družstevnou bankou. Operácie na aktívne riadenie dlhu zahŕňali preplatenie časti dlhu z nahromadených pokladničných hotovostí, konkrétne vláda v decembri 2018 preplatila dlh voči Centrálnej banke Cypru (vo výške 483 miliónov EUR alebo 2,3 % HDP).</w:t>
      </w:r>
    </w:p>
    <w:p>
      <w:pPr>
        <w:spacing w:before="120" w:after="120" w:line="240" w:lineRule="auto"/>
        <w:jc w:val="both"/>
        <w:rPr>
          <w:rFonts w:ascii="Times New Roman" w:hAnsi="Times New Roman"/>
          <w:noProof/>
          <w:sz w:val="24"/>
        </w:rPr>
      </w:pPr>
      <w:r>
        <w:rPr>
          <w:rFonts w:ascii="Times New Roman" w:hAnsi="Times New Roman"/>
          <w:noProof/>
          <w:sz w:val="24"/>
        </w:rPr>
        <w:t>Podľa prognózy Komisie z jari 2019 sa očakáva, že pomer dlhu k HDP rovnomerne klesne na 96,4 % HDP v roku 2019 a ďalej až pod 90 % HDP v roku 2020. Tento pokles sa vysvetľuje predovšetkým predpokladanými vysokými primárnymi rozpočtovými prebytkami vo výške približne 5 % HDP a silným nominálnym rastom HDP.</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Podľa programu stability sa predpokladá, že verejný dlh v priebehu rokov 2019 – 2022 prudko klesne. Predpokladá sa, že verejný dlh v roku 2019 prudko klesne na 95,7 % HDP a ďalej na menej ako 90 % v roku 2020. V prognóze Komisie z jari 2019 sa predpokladá, že pokles dlhu v roku 2019 bude o niečo menší než v predpoklade programu stability, a to najmä z dôvodu konzervatívnejších predpovedí týkajúcich sa rastu a inflácie a vyššej miery zosúladenia dlhu a deficitu (v podobe akumulácie finančných aktív).</w:t>
      </w: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Úrokové výdavky</w:t>
      </w:r>
    </w:p>
    <w:p>
      <w:pPr>
        <w:spacing w:before="120" w:after="120" w:line="240" w:lineRule="auto"/>
        <w:jc w:val="both"/>
        <w:rPr>
          <w:rFonts w:ascii="Times New Roman" w:hAnsi="Times New Roman"/>
          <w:noProof/>
          <w:sz w:val="24"/>
        </w:rPr>
      </w:pPr>
      <w:r>
        <w:rPr>
          <w:rFonts w:ascii="Times New Roman" w:hAnsi="Times New Roman"/>
          <w:noProof/>
          <w:sz w:val="24"/>
        </w:rPr>
        <w:t>V súlade so všeobecným trendom v eurozóne sú úrokové miery pre cyperské dlhové nástroje na historicky najnižších hodnotách. Sedemročný dlhopis dosiahol na konci apríla 2019 výnosy vo výške približne 0,9 %, pričom výnos z desaťročného dlhopisu dosiahol približne 1,4 %, čo predstavuje rekordne nízke úrovne od roku 2015. Na základe oznámených údajov sa implicitná úroková miera v uplynulých rokoch znížila z 3,0 % v roku 2015 na 2,4 % v roku 2018. Predpokladá sa, že v roku 2019 sa bude stále pohybovať približne na úrovni 2,4 %.</w:t>
      </w: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Udržateľnosť dlhovej služby</w:t>
      </w:r>
    </w:p>
    <w:p>
      <w:pPr>
        <w:spacing w:before="120" w:after="120" w:line="240" w:lineRule="auto"/>
        <w:jc w:val="both"/>
        <w:rPr>
          <w:rFonts w:ascii="Times New Roman" w:hAnsi="Times New Roman"/>
          <w:noProof/>
          <w:sz w:val="24"/>
        </w:rPr>
      </w:pPr>
      <w:r>
        <w:rPr>
          <w:rFonts w:ascii="Times New Roman" w:hAnsi="Times New Roman"/>
          <w:noProof/>
          <w:sz w:val="24"/>
        </w:rPr>
        <w:t>Cyperské orgány využívajú priaznivé podmienky na trhu na refinancovanie zostávajúceho dlhu v rámci oveľa nižších sadzieb so značne dlhšou splatnosťou.</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V analýze fiškálnej udržateľnosti sa poukazuje na krátkodobé fiškálne riziká, hoci predpokladané veľké primárne prebytky by mali v roku 2019 umožniť značne znížiť verejný dlh, a tým do určitej miery zmierniť toto riziko. Ukazovateľ S0 upozorňuje na riziko fiškálneho stresu v horizonte jedného roka</w:t>
      </w:r>
      <w:r>
        <w:rPr>
          <w:rStyle w:val="FootnoteReference"/>
          <w:rFonts w:eastAsiaTheme="minorHAnsi"/>
          <w:noProof/>
        </w:rPr>
        <w:footnoteReference w:id="7"/>
      </w:r>
      <w:r>
        <w:rPr>
          <w:noProof/>
        </w:rPr>
        <w:t>.</w:t>
      </w:r>
      <w:r>
        <w:rPr>
          <w:rFonts w:ascii="Times New Roman" w:hAnsi="Times New Roman"/>
          <w:noProof/>
          <w:sz w:val="24"/>
        </w:rPr>
        <w:t xml:space="preserve"> Konkrétne hrozí zraniteľnosť z fiškálnej strany aj zo strany finančnej konkurencieschopnosti. Vysvetľuje sa to predovšetkým jednorazovými opatreniami na podporu bankového sektora, ktoré viedli k zhoršeniu viacerých fiškálnych premenných, ako je primárne saldo a čistý a hrubý verejný dlh v roku 2018, ako aj vysokým zadlžením súkromného sektora. A napokon sa zlepšilo vnímanie rizika štátneho dlhu na Cypre zo strany finančného trhu, čím sa ďalej zmiernili krátkodobé riziká.</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Zo strednodobého a dlhodobého hľadiska čelí Cyprus stredne veľkým rizikám pre fiškálnu udržateľnosť. Záporná hodnota ukazovateľa S1 pre medzeru udržateľnosti poukazuje na skutočnosť, že do roku 2033 nie je potrebná  žiadna počiatočná fiškálna úprava zameraná na zníženie dlhu pod referenčnú hodnotu 60 % HDP, čo ukazuje na nízke riziko v strednodobom horizonte. Z analýzy udržateľnosti dlhovej služby však vyplýva, že pomer dlhu k HDP by sa do roku 2029 znížil mierne nad kritickú prahovú hodnotu 60 %, čo poukazuje na stredne veľké riziko</w:t>
      </w:r>
      <w:r>
        <w:rPr>
          <w:rStyle w:val="FootnoteReference"/>
          <w:rFonts w:eastAsiaTheme="minorHAnsi"/>
          <w:noProof/>
        </w:rPr>
        <w:footnoteReference w:id="8"/>
      </w:r>
      <w:r>
        <w:rPr>
          <w:noProof/>
        </w:rPr>
        <w:t>.</w:t>
      </w:r>
      <w:r>
        <w:rPr>
          <w:rFonts w:ascii="Times New Roman" w:hAnsi="Times New Roman"/>
          <w:noProof/>
          <w:sz w:val="24"/>
        </w:rPr>
        <w:t xml:space="preserve"> Z dlhodobého hľadiska sa Cyprus považuje za krajinu so stredne veľkým rizikom pre fiškálnu udržateľnosť. Ukazovateľ S2 pre medzeru udržateľnosti poukazuje na nízke riziko, kým analýza udržateľnosti dlhovej služby naznačuje v dlhodobom horizonte stredné riziko z dôvodu zraniteľnosti súvisiacej s vysokým dlhovým bremenom.</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Riziká uvedené vyššie a vysoká úroveň verejného dlhu zdôrazňujú význam zachovania fiškálnej disciplíny v strednodobom až dlhodobom horizonte a udržania štrukturálnych reforiem na posilnenie rastu s cieľom zabezpečiť klesajúcu trajektóriu verejného dlhu.</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4.3.</w:t>
      </w:r>
      <w:r>
        <w:rPr>
          <w:noProof/>
        </w:rPr>
        <w:tab/>
      </w:r>
      <w:r>
        <w:rPr>
          <w:rFonts w:ascii="Times New Roman" w:hAnsi="Times New Roman"/>
          <w:b/>
          <w:noProof/>
          <w:sz w:val="24"/>
        </w:rPr>
        <w:t>Strednodobá hospodárska pozícia</w:t>
      </w:r>
    </w:p>
    <w:p>
      <w:pPr>
        <w:spacing w:before="120" w:after="120" w:line="240" w:lineRule="auto"/>
        <w:jc w:val="both"/>
        <w:rPr>
          <w:rFonts w:ascii="Times New Roman" w:eastAsia="Times New Roman" w:hAnsi="Times New Roman" w:cs="Calibri"/>
          <w:bCs/>
          <w:i/>
          <w:noProof/>
          <w:sz w:val="24"/>
          <w:highlight w:val="yellow"/>
        </w:rPr>
      </w:pPr>
      <w:r>
        <w:rPr>
          <w:rFonts w:ascii="Times New Roman" w:hAnsi="Times New Roman"/>
          <w:i/>
          <w:noProof/>
          <w:sz w:val="24"/>
        </w:rPr>
        <w:t>Napriek vykonaniu viacerých štrukturálnych reforiem zostáva potenciálny rast Cypru stále obmedzený, keďže pretrvávajú problémy z minulosti, napríklad veľmi vysoký podiel zlyhaných úverov vo finančnom sektore a vysoká súkromná a verejná zadlženosť. Cyprus do istej miery pokročil pri zohľadňovaní odporúčaní pre jednotlivé krajiny z roku 2018, a to najmä vykonaním dôležitých opatrení v kontexte komplexnej stratégie na zníženie počtu zlyhaných úverov, zjednodušením prístupu MSP k finančným prostriedkom a prípravou vykonávania prvej fázy národného systému zdravotného poistenia.</w:t>
      </w:r>
    </w:p>
    <w:p>
      <w:pPr>
        <w:spacing w:before="120" w:after="120" w:line="240" w:lineRule="auto"/>
        <w:ind w:left="851" w:hanging="851"/>
        <w:jc w:val="both"/>
        <w:rPr>
          <w:rFonts w:ascii="Times New Roman" w:eastAsia="Times New Roman" w:hAnsi="Times New Roman" w:cs="Times New Roman"/>
          <w:b/>
          <w:noProof/>
          <w:sz w:val="24"/>
        </w:rPr>
      </w:pPr>
      <w:r>
        <w:rPr>
          <w:rFonts w:ascii="Times New Roman" w:hAnsi="Times New Roman"/>
          <w:b/>
          <w:noProof/>
          <w:sz w:val="24"/>
        </w:rPr>
        <w:t>Cyklické podmienky, potenciálny rast a inflácia</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Cyprus bol jednou z európskych krajín, ktoré najvážnejšie zasiahla hospodárska kríza, a tak požiadal o vonkajšiu finančnú pomoc. V rokoch 2013 – 2015 prešiel programom makroekonomických úprav s dôrazom na finančný sektor.  Problémy z minulosti však stále pretrvávajú, o čom svedčí predaj a riadna likvidácia druhej najväčšej banky (t. j. Cyperskej družstevnej banky) v roku 2018. V rokoch 2012 – 2014 zažil Cyprus recesiu, ale od roku 2015 sa obnovil reálny rast. Od roku 2016 zažíva Cyprus cyklický vzostup s ročným reálnym rastom v rokoch 2016 – 2017 viac ako 4 % a v roku 2018 takmer 4 %. Trh práce sa výrazne zotavil a zamestnanosť nedávno vrástla približne o 4 % ročne, pričom sa mierne zvyšovali mzdy. Nezamestnanosť klesla z takmer 17 % na vrchole krízy na 7,1 % vo februári 2019. Dlhodobá nezamestnanosť sa tiež nedávno znížila.</w:t>
      </w:r>
    </w:p>
    <w:p>
      <w:pPr>
        <w:keepNext/>
        <w:spacing w:before="120" w:after="120" w:line="240" w:lineRule="auto"/>
        <w:jc w:val="center"/>
        <w:rPr>
          <w:rFonts w:ascii="Times New Roman" w:eastAsia="Times New Roman" w:hAnsi="Times New Roman" w:cs="Times New Roman"/>
          <w:noProof/>
          <w:vertAlign w:val="superscript"/>
        </w:rPr>
      </w:pPr>
      <w:r>
        <w:rPr>
          <w:rFonts w:ascii="Times New Roman" w:hAnsi="Times New Roman"/>
          <w:b/>
          <w:noProof/>
          <w:sz w:val="24"/>
        </w:rPr>
        <w:t>Tabuľka č. 3: Makroekonomický a rozpočtový vývoj (% HDP)</w:t>
      </w:r>
    </w:p>
    <w:tbl>
      <w:tblPr>
        <w:tblW w:w="10612" w:type="dxa"/>
        <w:tblInd w:w="118" w:type="dxa"/>
        <w:tblLook w:val="04A0" w:firstRow="1" w:lastRow="0" w:firstColumn="1" w:lastColumn="0" w:noHBand="0" w:noVBand="1"/>
      </w:tblPr>
      <w:tblGrid>
        <w:gridCol w:w="3392"/>
        <w:gridCol w:w="616"/>
        <w:gridCol w:w="661"/>
        <w:gridCol w:w="661"/>
        <w:gridCol w:w="961"/>
        <w:gridCol w:w="992"/>
        <w:gridCol w:w="992"/>
        <w:gridCol w:w="992"/>
        <w:gridCol w:w="222"/>
        <w:gridCol w:w="206"/>
        <w:gridCol w:w="15"/>
        <w:gridCol w:w="206"/>
        <w:gridCol w:w="15"/>
        <w:gridCol w:w="206"/>
        <w:gridCol w:w="15"/>
        <w:gridCol w:w="222"/>
        <w:gridCol w:w="222"/>
        <w:gridCol w:w="222"/>
      </w:tblGrid>
      <w:tr>
        <w:trPr>
          <w:gridAfter w:val="10"/>
          <w:wAfter w:w="1628" w:type="dxa"/>
          <w:trHeight w:val="330"/>
        </w:trPr>
        <w:tc>
          <w:tcPr>
            <w:tcW w:w="3392" w:type="dxa"/>
            <w:vMerge w:val="restart"/>
            <w:tcBorders>
              <w:top w:val="single" w:sz="8" w:space="0" w:color="auto"/>
              <w:left w:val="single" w:sz="8" w:space="0" w:color="auto"/>
              <w:bottom w:val="nil"/>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 </w:t>
            </w:r>
          </w:p>
        </w:tc>
        <w:tc>
          <w:tcPr>
            <w:tcW w:w="333" w:type="dxa"/>
            <w:vMerge w:val="restart"/>
            <w:tcBorders>
              <w:top w:val="single" w:sz="8" w:space="0" w:color="auto"/>
              <w:left w:val="single" w:sz="8" w:space="0" w:color="auto"/>
              <w:bottom w:val="nil"/>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b/>
                <w:bCs/>
                <w:noProof/>
                <w:color w:val="000000"/>
                <w:sz w:val="20"/>
                <w:szCs w:val="20"/>
                <w:lang w:eastAsia="en-US" w:bidi="ar-SA"/>
              </w:rPr>
            </w:pPr>
            <w:r>
              <w:rPr>
                <w:rFonts w:ascii="Times New Roman" w:eastAsia="Times New Roman" w:hAnsi="Times New Roman" w:cs="Times New Roman"/>
                <w:b/>
                <w:bCs/>
                <w:noProof/>
                <w:color w:val="000000"/>
                <w:sz w:val="20"/>
                <w:szCs w:val="20"/>
                <w:lang w:eastAsia="en-US" w:bidi="ar-SA"/>
              </w:rPr>
              <w:t>2016</w:t>
            </w:r>
          </w:p>
        </w:tc>
        <w:tc>
          <w:tcPr>
            <w:tcW w:w="661" w:type="dxa"/>
            <w:vMerge w:val="restart"/>
            <w:tcBorders>
              <w:top w:val="single" w:sz="8" w:space="0" w:color="auto"/>
              <w:left w:val="single" w:sz="4" w:space="0" w:color="auto"/>
              <w:bottom w:val="nil"/>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b/>
                <w:bCs/>
                <w:noProof/>
                <w:color w:val="000000"/>
                <w:sz w:val="20"/>
                <w:szCs w:val="20"/>
                <w:lang w:eastAsia="en-US" w:bidi="ar-SA"/>
              </w:rPr>
            </w:pPr>
            <w:r>
              <w:rPr>
                <w:rFonts w:ascii="Times New Roman" w:eastAsia="Times New Roman" w:hAnsi="Times New Roman" w:cs="Times New Roman"/>
                <w:b/>
                <w:bCs/>
                <w:noProof/>
                <w:color w:val="000000"/>
                <w:sz w:val="20"/>
                <w:szCs w:val="20"/>
                <w:lang w:eastAsia="en-US" w:bidi="ar-SA"/>
              </w:rPr>
              <w:t>2017</w:t>
            </w:r>
          </w:p>
        </w:tc>
        <w:tc>
          <w:tcPr>
            <w:tcW w:w="661" w:type="dxa"/>
            <w:vMerge w:val="restart"/>
            <w:tcBorders>
              <w:top w:val="single" w:sz="8" w:space="0" w:color="auto"/>
              <w:left w:val="single" w:sz="4" w:space="0" w:color="auto"/>
              <w:bottom w:val="nil"/>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b/>
                <w:bCs/>
                <w:noProof/>
                <w:color w:val="000000"/>
                <w:sz w:val="20"/>
                <w:szCs w:val="20"/>
                <w:lang w:eastAsia="en-US" w:bidi="ar-SA"/>
              </w:rPr>
            </w:pPr>
            <w:r>
              <w:rPr>
                <w:rFonts w:ascii="Times New Roman" w:eastAsia="Times New Roman" w:hAnsi="Times New Roman" w:cs="Times New Roman"/>
                <w:b/>
                <w:bCs/>
                <w:noProof/>
                <w:color w:val="000000"/>
                <w:sz w:val="20"/>
                <w:szCs w:val="20"/>
                <w:lang w:eastAsia="en-US" w:bidi="ar-SA"/>
              </w:rPr>
              <w:t>2018</w:t>
            </w:r>
          </w:p>
        </w:tc>
        <w:tc>
          <w:tcPr>
            <w:tcW w:w="1953" w:type="dxa"/>
            <w:gridSpan w:val="2"/>
            <w:tcBorders>
              <w:top w:val="single" w:sz="8" w:space="0" w:color="auto"/>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b/>
                <w:bCs/>
                <w:noProof/>
                <w:color w:val="000000"/>
                <w:sz w:val="20"/>
                <w:szCs w:val="20"/>
                <w:lang w:eastAsia="en-US" w:bidi="ar-SA"/>
              </w:rPr>
            </w:pPr>
            <w:r>
              <w:rPr>
                <w:rFonts w:ascii="Times New Roman" w:eastAsia="Times New Roman" w:hAnsi="Times New Roman" w:cs="Times New Roman"/>
                <w:b/>
                <w:bCs/>
                <w:noProof/>
                <w:color w:val="000000"/>
                <w:sz w:val="20"/>
                <w:szCs w:val="20"/>
                <w:lang w:eastAsia="en-US" w:bidi="ar-SA"/>
              </w:rPr>
              <w:t>2019</w:t>
            </w:r>
          </w:p>
        </w:tc>
        <w:tc>
          <w:tcPr>
            <w:tcW w:w="1984" w:type="dxa"/>
            <w:gridSpan w:val="2"/>
            <w:tcBorders>
              <w:top w:val="single" w:sz="8" w:space="0" w:color="auto"/>
              <w:left w:val="nil"/>
              <w:bottom w:val="single" w:sz="4" w:space="0" w:color="auto"/>
              <w:right w:val="single" w:sz="8" w:space="0" w:color="000000"/>
            </w:tcBorders>
            <w:shd w:val="clear" w:color="000000" w:fill="D9D9D9"/>
            <w:vAlign w:val="center"/>
            <w:hideMark/>
          </w:tcPr>
          <w:p>
            <w:pPr>
              <w:spacing w:after="0" w:line="240" w:lineRule="auto"/>
              <w:jc w:val="center"/>
              <w:rPr>
                <w:rFonts w:ascii="Times New Roman" w:eastAsia="Times New Roman" w:hAnsi="Times New Roman" w:cs="Times New Roman"/>
                <w:b/>
                <w:bCs/>
                <w:noProof/>
                <w:color w:val="000000"/>
                <w:sz w:val="20"/>
                <w:szCs w:val="20"/>
                <w:lang w:eastAsia="en-US" w:bidi="ar-SA"/>
              </w:rPr>
            </w:pPr>
            <w:r>
              <w:rPr>
                <w:rFonts w:ascii="Times New Roman" w:eastAsia="Times New Roman" w:hAnsi="Times New Roman" w:cs="Times New Roman"/>
                <w:b/>
                <w:bCs/>
                <w:noProof/>
                <w:color w:val="000000"/>
                <w:sz w:val="20"/>
                <w:szCs w:val="20"/>
                <w:lang w:eastAsia="en-US" w:bidi="ar-SA"/>
              </w:rPr>
              <w:t>2020</w:t>
            </w:r>
          </w:p>
        </w:tc>
      </w:tr>
      <w:tr>
        <w:trPr>
          <w:gridAfter w:val="10"/>
          <w:wAfter w:w="1628" w:type="dxa"/>
          <w:trHeight w:val="525"/>
        </w:trPr>
        <w:tc>
          <w:tcPr>
            <w:tcW w:w="3392" w:type="dxa"/>
            <w:vMerge/>
            <w:tcBorders>
              <w:top w:val="single" w:sz="8" w:space="0" w:color="auto"/>
              <w:left w:val="single" w:sz="8" w:space="0" w:color="auto"/>
              <w:bottom w:val="nil"/>
              <w:right w:val="single" w:sz="4" w:space="0" w:color="auto"/>
            </w:tcBorders>
            <w:vAlign w:val="center"/>
            <w:hideMark/>
          </w:tcPr>
          <w:p>
            <w:pPr>
              <w:spacing w:after="0" w:line="240" w:lineRule="auto"/>
              <w:rPr>
                <w:rFonts w:ascii="Times New Roman" w:eastAsia="Times New Roman" w:hAnsi="Times New Roman" w:cs="Times New Roman"/>
                <w:noProof/>
                <w:color w:val="000000"/>
                <w:sz w:val="20"/>
                <w:szCs w:val="20"/>
                <w:lang w:eastAsia="en-US" w:bidi="ar-SA"/>
              </w:rPr>
            </w:pPr>
          </w:p>
        </w:tc>
        <w:tc>
          <w:tcPr>
            <w:tcW w:w="333" w:type="dxa"/>
            <w:vMerge/>
            <w:tcBorders>
              <w:top w:val="single" w:sz="8" w:space="0" w:color="auto"/>
              <w:left w:val="single" w:sz="8" w:space="0" w:color="auto"/>
              <w:bottom w:val="nil"/>
              <w:right w:val="single" w:sz="4" w:space="0" w:color="auto"/>
            </w:tcBorders>
            <w:vAlign w:val="center"/>
            <w:hideMark/>
          </w:tcPr>
          <w:p>
            <w:pPr>
              <w:spacing w:after="0" w:line="240" w:lineRule="auto"/>
              <w:rPr>
                <w:rFonts w:ascii="Times New Roman" w:eastAsia="Times New Roman" w:hAnsi="Times New Roman" w:cs="Times New Roman"/>
                <w:b/>
                <w:bCs/>
                <w:noProof/>
                <w:color w:val="000000"/>
                <w:sz w:val="20"/>
                <w:szCs w:val="20"/>
                <w:lang w:eastAsia="en-US" w:bidi="ar-SA"/>
              </w:rPr>
            </w:pPr>
          </w:p>
        </w:tc>
        <w:tc>
          <w:tcPr>
            <w:tcW w:w="661" w:type="dxa"/>
            <w:vMerge/>
            <w:tcBorders>
              <w:top w:val="single" w:sz="8" w:space="0" w:color="auto"/>
              <w:left w:val="single" w:sz="4" w:space="0" w:color="auto"/>
              <w:bottom w:val="nil"/>
              <w:right w:val="single" w:sz="4" w:space="0" w:color="auto"/>
            </w:tcBorders>
            <w:vAlign w:val="center"/>
            <w:hideMark/>
          </w:tcPr>
          <w:p>
            <w:pPr>
              <w:spacing w:after="0" w:line="240" w:lineRule="auto"/>
              <w:rPr>
                <w:rFonts w:ascii="Times New Roman" w:eastAsia="Times New Roman" w:hAnsi="Times New Roman" w:cs="Times New Roman"/>
                <w:b/>
                <w:bCs/>
                <w:noProof/>
                <w:color w:val="000000"/>
                <w:sz w:val="20"/>
                <w:szCs w:val="20"/>
                <w:lang w:eastAsia="en-US" w:bidi="ar-SA"/>
              </w:rPr>
            </w:pPr>
          </w:p>
        </w:tc>
        <w:tc>
          <w:tcPr>
            <w:tcW w:w="661" w:type="dxa"/>
            <w:vMerge/>
            <w:tcBorders>
              <w:top w:val="single" w:sz="8" w:space="0" w:color="auto"/>
              <w:left w:val="single" w:sz="4" w:space="0" w:color="auto"/>
              <w:bottom w:val="nil"/>
              <w:right w:val="single" w:sz="4" w:space="0" w:color="auto"/>
            </w:tcBorders>
            <w:vAlign w:val="center"/>
            <w:hideMark/>
          </w:tcPr>
          <w:p>
            <w:pPr>
              <w:spacing w:after="0" w:line="240" w:lineRule="auto"/>
              <w:rPr>
                <w:rFonts w:ascii="Times New Roman" w:eastAsia="Times New Roman" w:hAnsi="Times New Roman" w:cs="Times New Roman"/>
                <w:b/>
                <w:bCs/>
                <w:noProof/>
                <w:color w:val="000000"/>
                <w:sz w:val="20"/>
                <w:szCs w:val="20"/>
                <w:lang w:eastAsia="en-US" w:bidi="ar-SA"/>
              </w:rPr>
            </w:pPr>
          </w:p>
        </w:tc>
        <w:tc>
          <w:tcPr>
            <w:tcW w:w="961" w:type="dxa"/>
            <w:tcBorders>
              <w:top w:val="nil"/>
              <w:left w:val="nil"/>
              <w:bottom w:val="nil"/>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KOM</w:t>
            </w:r>
          </w:p>
        </w:tc>
        <w:tc>
          <w:tcPr>
            <w:tcW w:w="992" w:type="dxa"/>
            <w:tcBorders>
              <w:top w:val="nil"/>
              <w:left w:val="nil"/>
              <w:bottom w:val="nil"/>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PS</w:t>
            </w:r>
          </w:p>
        </w:tc>
        <w:tc>
          <w:tcPr>
            <w:tcW w:w="992" w:type="dxa"/>
            <w:tcBorders>
              <w:top w:val="nil"/>
              <w:left w:val="nil"/>
              <w:bottom w:val="nil"/>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KOM</w:t>
            </w:r>
          </w:p>
        </w:tc>
        <w:tc>
          <w:tcPr>
            <w:tcW w:w="992" w:type="dxa"/>
            <w:tcBorders>
              <w:top w:val="nil"/>
              <w:left w:val="nil"/>
              <w:bottom w:val="nil"/>
              <w:right w:val="single" w:sz="8"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PS</w:t>
            </w:r>
          </w:p>
        </w:tc>
      </w:tr>
      <w:tr>
        <w:trPr>
          <w:gridAfter w:val="10"/>
          <w:wAfter w:w="1628" w:type="dxa"/>
          <w:trHeight w:val="300"/>
        </w:trPr>
        <w:tc>
          <w:tcPr>
            <w:tcW w:w="3392" w:type="dxa"/>
            <w:tcBorders>
              <w:top w:val="single" w:sz="8" w:space="0" w:color="auto"/>
              <w:left w:val="single" w:sz="8" w:space="0" w:color="auto"/>
              <w:bottom w:val="single" w:sz="4" w:space="0" w:color="auto"/>
              <w:right w:val="single" w:sz="4" w:space="0" w:color="auto"/>
            </w:tcBorders>
            <w:shd w:val="clear" w:color="000000" w:fill="FFFFFF"/>
            <w:vAlign w:val="center"/>
            <w:hideMark/>
          </w:tcPr>
          <w:p>
            <w:pPr>
              <w:spacing w:after="0" w:line="240" w:lineRule="auto"/>
              <w:jc w:val="both"/>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Reálny HDP (zmena v %)</w:t>
            </w:r>
          </w:p>
        </w:tc>
        <w:tc>
          <w:tcPr>
            <w:tcW w:w="333" w:type="dxa"/>
            <w:tcBorders>
              <w:top w:val="single" w:sz="8" w:space="0" w:color="auto"/>
              <w:left w:val="single" w:sz="8" w:space="0" w:color="auto"/>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4,8</w:t>
            </w:r>
          </w:p>
        </w:tc>
        <w:tc>
          <w:tcPr>
            <w:tcW w:w="661" w:type="dxa"/>
            <w:tcBorders>
              <w:top w:val="single" w:sz="8" w:space="0" w:color="auto"/>
              <w:left w:val="nil"/>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4,5</w:t>
            </w:r>
          </w:p>
        </w:tc>
        <w:tc>
          <w:tcPr>
            <w:tcW w:w="661" w:type="dxa"/>
            <w:tcBorders>
              <w:top w:val="single" w:sz="8" w:space="0" w:color="auto"/>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3,9</w:t>
            </w:r>
          </w:p>
        </w:tc>
        <w:tc>
          <w:tcPr>
            <w:tcW w:w="961" w:type="dxa"/>
            <w:tcBorders>
              <w:top w:val="single" w:sz="8" w:space="0" w:color="auto"/>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3,1</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3,6</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2,7</w:t>
            </w:r>
          </w:p>
        </w:tc>
        <w:tc>
          <w:tcPr>
            <w:tcW w:w="992" w:type="dxa"/>
            <w:tcBorders>
              <w:top w:val="single" w:sz="8" w:space="0" w:color="auto"/>
              <w:left w:val="nil"/>
              <w:bottom w:val="single" w:sz="4" w:space="0" w:color="auto"/>
              <w:right w:val="single" w:sz="8"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3,2</w:t>
            </w:r>
          </w:p>
        </w:tc>
      </w:tr>
      <w:tr>
        <w:trPr>
          <w:gridAfter w:val="10"/>
          <w:wAfter w:w="1628" w:type="dxa"/>
          <w:trHeight w:val="300"/>
        </w:trPr>
        <w:tc>
          <w:tcPr>
            <w:tcW w:w="3392" w:type="dxa"/>
            <w:tcBorders>
              <w:top w:val="nil"/>
              <w:left w:val="single" w:sz="8" w:space="0" w:color="auto"/>
              <w:bottom w:val="single" w:sz="4" w:space="0" w:color="auto"/>
              <w:right w:val="single" w:sz="4" w:space="0" w:color="auto"/>
            </w:tcBorders>
            <w:shd w:val="clear" w:color="000000" w:fill="FFFFFF"/>
            <w:vAlign w:val="center"/>
            <w:hideMark/>
          </w:tcPr>
          <w:p>
            <w:pPr>
              <w:spacing w:after="0" w:line="240" w:lineRule="auto"/>
              <w:jc w:val="both"/>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Potenciálny HDP (zmena v %)</w:t>
            </w:r>
            <w:r>
              <w:rPr>
                <w:rFonts w:ascii="Times New Roman" w:eastAsia="Times New Roman" w:hAnsi="Times New Roman" w:cs="Times New Roman"/>
                <w:noProof/>
                <w:color w:val="000000"/>
                <w:sz w:val="20"/>
                <w:szCs w:val="20"/>
                <w:vertAlign w:val="superscript"/>
                <w:lang w:eastAsia="en-US" w:bidi="ar-SA"/>
              </w:rPr>
              <w:t xml:space="preserve"> </w:t>
            </w:r>
          </w:p>
        </w:tc>
        <w:tc>
          <w:tcPr>
            <w:tcW w:w="333" w:type="dxa"/>
            <w:tcBorders>
              <w:top w:val="nil"/>
              <w:left w:val="single" w:sz="8" w:space="0" w:color="auto"/>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0,8</w:t>
            </w:r>
          </w:p>
        </w:tc>
        <w:tc>
          <w:tcPr>
            <w:tcW w:w="661" w:type="dxa"/>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2,1</w:t>
            </w:r>
          </w:p>
        </w:tc>
        <w:tc>
          <w:tcPr>
            <w:tcW w:w="661"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1,9</w:t>
            </w:r>
          </w:p>
        </w:tc>
        <w:tc>
          <w:tcPr>
            <w:tcW w:w="961"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2,1</w:t>
            </w:r>
          </w:p>
        </w:tc>
        <w:tc>
          <w:tcPr>
            <w:tcW w:w="992"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2,8</w:t>
            </w:r>
          </w:p>
        </w:tc>
        <w:tc>
          <w:tcPr>
            <w:tcW w:w="992"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2,1</w:t>
            </w:r>
          </w:p>
        </w:tc>
        <w:tc>
          <w:tcPr>
            <w:tcW w:w="992" w:type="dxa"/>
            <w:tcBorders>
              <w:top w:val="nil"/>
              <w:left w:val="nil"/>
              <w:bottom w:val="single" w:sz="4" w:space="0" w:color="auto"/>
              <w:right w:val="single" w:sz="8"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3,1</w:t>
            </w:r>
          </w:p>
        </w:tc>
      </w:tr>
      <w:tr>
        <w:trPr>
          <w:gridAfter w:val="10"/>
          <w:wAfter w:w="1628" w:type="dxa"/>
          <w:trHeight w:val="525"/>
        </w:trPr>
        <w:tc>
          <w:tcPr>
            <w:tcW w:w="3392" w:type="dxa"/>
            <w:tcBorders>
              <w:top w:val="nil"/>
              <w:left w:val="single" w:sz="8" w:space="0" w:color="auto"/>
              <w:bottom w:val="single" w:sz="8" w:space="0" w:color="auto"/>
              <w:right w:val="single" w:sz="4" w:space="0" w:color="auto"/>
            </w:tcBorders>
            <w:shd w:val="clear" w:color="000000" w:fill="FFFFFF"/>
            <w:vAlign w:val="center"/>
            <w:hideMark/>
          </w:tcPr>
          <w:p>
            <w:pPr>
              <w:spacing w:after="0" w:line="240" w:lineRule="auto"/>
              <w:jc w:val="both"/>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Produkčná medzera (% potenciálneho HDP)</w:t>
            </w:r>
          </w:p>
        </w:tc>
        <w:tc>
          <w:tcPr>
            <w:tcW w:w="333" w:type="dxa"/>
            <w:tcBorders>
              <w:top w:val="nil"/>
              <w:left w:val="single" w:sz="8" w:space="0" w:color="auto"/>
              <w:bottom w:val="single" w:sz="8"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-1,5</w:t>
            </w:r>
          </w:p>
        </w:tc>
        <w:tc>
          <w:tcPr>
            <w:tcW w:w="661" w:type="dxa"/>
            <w:tcBorders>
              <w:top w:val="nil"/>
              <w:left w:val="nil"/>
              <w:bottom w:val="single" w:sz="8"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0,8</w:t>
            </w:r>
          </w:p>
        </w:tc>
        <w:tc>
          <w:tcPr>
            <w:tcW w:w="661" w:type="dxa"/>
            <w:tcBorders>
              <w:top w:val="nil"/>
              <w:left w:val="nil"/>
              <w:bottom w:val="single" w:sz="8"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2,8</w:t>
            </w:r>
          </w:p>
        </w:tc>
        <w:tc>
          <w:tcPr>
            <w:tcW w:w="961" w:type="dxa"/>
            <w:tcBorders>
              <w:top w:val="nil"/>
              <w:left w:val="nil"/>
              <w:bottom w:val="single" w:sz="8"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3,8</w:t>
            </w:r>
          </w:p>
        </w:tc>
        <w:tc>
          <w:tcPr>
            <w:tcW w:w="992" w:type="dxa"/>
            <w:tcBorders>
              <w:top w:val="nil"/>
              <w:left w:val="nil"/>
              <w:bottom w:val="single" w:sz="8"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3,0</w:t>
            </w:r>
          </w:p>
        </w:tc>
        <w:tc>
          <w:tcPr>
            <w:tcW w:w="992" w:type="dxa"/>
            <w:tcBorders>
              <w:top w:val="nil"/>
              <w:left w:val="nil"/>
              <w:bottom w:val="single" w:sz="8"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4,3</w:t>
            </w:r>
          </w:p>
        </w:tc>
        <w:tc>
          <w:tcPr>
            <w:tcW w:w="992" w:type="dxa"/>
            <w:tcBorders>
              <w:top w:val="nil"/>
              <w:left w:val="nil"/>
              <w:bottom w:val="single" w:sz="8" w:space="0" w:color="auto"/>
              <w:right w:val="single" w:sz="8"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3,1</w:t>
            </w:r>
          </w:p>
        </w:tc>
      </w:tr>
      <w:tr>
        <w:trPr>
          <w:gridAfter w:val="10"/>
          <w:wAfter w:w="1628" w:type="dxa"/>
          <w:trHeight w:val="300"/>
        </w:trPr>
        <w:tc>
          <w:tcPr>
            <w:tcW w:w="3392" w:type="dxa"/>
            <w:tcBorders>
              <w:top w:val="nil"/>
              <w:left w:val="single" w:sz="8" w:space="0" w:color="auto"/>
              <w:bottom w:val="single" w:sz="4" w:space="0" w:color="auto"/>
              <w:right w:val="single" w:sz="4" w:space="0" w:color="auto"/>
            </w:tcBorders>
            <w:shd w:val="clear" w:color="000000" w:fill="FFFFFF"/>
            <w:vAlign w:val="center"/>
            <w:hideMark/>
          </w:tcPr>
          <w:p>
            <w:pPr>
              <w:spacing w:after="0" w:line="240" w:lineRule="auto"/>
              <w:jc w:val="both"/>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Saldo verejných financií</w:t>
            </w:r>
          </w:p>
        </w:tc>
        <w:tc>
          <w:tcPr>
            <w:tcW w:w="333" w:type="dxa"/>
            <w:tcBorders>
              <w:top w:val="nil"/>
              <w:left w:val="single" w:sz="8" w:space="0" w:color="auto"/>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0,3</w:t>
            </w:r>
          </w:p>
        </w:tc>
        <w:tc>
          <w:tcPr>
            <w:tcW w:w="661" w:type="dxa"/>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1,8</w:t>
            </w:r>
          </w:p>
        </w:tc>
        <w:tc>
          <w:tcPr>
            <w:tcW w:w="661"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-4,8</w:t>
            </w:r>
          </w:p>
        </w:tc>
        <w:tc>
          <w:tcPr>
            <w:tcW w:w="961"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3,0</w:t>
            </w:r>
          </w:p>
        </w:tc>
        <w:tc>
          <w:tcPr>
            <w:tcW w:w="992"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3</w:t>
            </w:r>
          </w:p>
        </w:tc>
        <w:tc>
          <w:tcPr>
            <w:tcW w:w="992"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2,8</w:t>
            </w:r>
          </w:p>
        </w:tc>
        <w:tc>
          <w:tcPr>
            <w:tcW w:w="992" w:type="dxa"/>
            <w:tcBorders>
              <w:top w:val="nil"/>
              <w:left w:val="nil"/>
              <w:bottom w:val="single" w:sz="4" w:space="0" w:color="auto"/>
              <w:right w:val="single" w:sz="8"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2,6</w:t>
            </w:r>
          </w:p>
        </w:tc>
      </w:tr>
      <w:tr>
        <w:trPr>
          <w:gridAfter w:val="10"/>
          <w:wAfter w:w="1628" w:type="dxa"/>
          <w:trHeight w:val="300"/>
        </w:trPr>
        <w:tc>
          <w:tcPr>
            <w:tcW w:w="3392" w:type="dxa"/>
            <w:tcBorders>
              <w:top w:val="nil"/>
              <w:left w:val="single" w:sz="8" w:space="0" w:color="auto"/>
              <w:bottom w:val="single" w:sz="4" w:space="0" w:color="auto"/>
              <w:right w:val="single" w:sz="4" w:space="0" w:color="auto"/>
            </w:tcBorders>
            <w:shd w:val="clear" w:color="000000" w:fill="FFFFFF"/>
            <w:vAlign w:val="center"/>
            <w:hideMark/>
          </w:tcPr>
          <w:p>
            <w:pPr>
              <w:spacing w:after="0" w:line="240" w:lineRule="auto"/>
              <w:jc w:val="both"/>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Primárne saldo</w:t>
            </w:r>
          </w:p>
        </w:tc>
        <w:tc>
          <w:tcPr>
            <w:tcW w:w="333" w:type="dxa"/>
            <w:tcBorders>
              <w:top w:val="nil"/>
              <w:left w:val="single" w:sz="8" w:space="0" w:color="auto"/>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3,1</w:t>
            </w:r>
          </w:p>
        </w:tc>
        <w:tc>
          <w:tcPr>
            <w:tcW w:w="661" w:type="dxa"/>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4,3</w:t>
            </w:r>
          </w:p>
        </w:tc>
        <w:tc>
          <w:tcPr>
            <w:tcW w:w="661"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-2,3</w:t>
            </w:r>
          </w:p>
        </w:tc>
        <w:tc>
          <w:tcPr>
            <w:tcW w:w="961"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5,4</w:t>
            </w:r>
          </w:p>
        </w:tc>
        <w:tc>
          <w:tcPr>
            <w:tcW w:w="992"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5,3</w:t>
            </w:r>
          </w:p>
        </w:tc>
        <w:tc>
          <w:tcPr>
            <w:tcW w:w="992"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4,9</w:t>
            </w:r>
          </w:p>
        </w:tc>
        <w:tc>
          <w:tcPr>
            <w:tcW w:w="992" w:type="dxa"/>
            <w:tcBorders>
              <w:top w:val="nil"/>
              <w:left w:val="nil"/>
              <w:bottom w:val="single" w:sz="4" w:space="0" w:color="auto"/>
              <w:right w:val="single" w:sz="8"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4,8</w:t>
            </w:r>
          </w:p>
        </w:tc>
      </w:tr>
      <w:tr>
        <w:trPr>
          <w:gridAfter w:val="10"/>
          <w:wAfter w:w="1628" w:type="dxa"/>
          <w:trHeight w:val="300"/>
        </w:trPr>
        <w:tc>
          <w:tcPr>
            <w:tcW w:w="3392" w:type="dxa"/>
            <w:tcBorders>
              <w:top w:val="nil"/>
              <w:left w:val="single" w:sz="8" w:space="0" w:color="auto"/>
              <w:bottom w:val="single" w:sz="4" w:space="0" w:color="auto"/>
              <w:right w:val="single" w:sz="4" w:space="0" w:color="auto"/>
            </w:tcBorders>
            <w:shd w:val="clear" w:color="000000" w:fill="FFFFFF"/>
            <w:vAlign w:val="center"/>
            <w:hideMark/>
          </w:tcPr>
          <w:p>
            <w:pPr>
              <w:spacing w:after="0" w:line="240" w:lineRule="auto"/>
              <w:jc w:val="both"/>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Jednorazové a iné dočasné opatrenia</w:t>
            </w:r>
          </w:p>
        </w:tc>
        <w:tc>
          <w:tcPr>
            <w:tcW w:w="333" w:type="dxa"/>
            <w:tcBorders>
              <w:top w:val="nil"/>
              <w:left w:val="single" w:sz="8" w:space="0" w:color="auto"/>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-0,1</w:t>
            </w:r>
          </w:p>
        </w:tc>
        <w:tc>
          <w:tcPr>
            <w:tcW w:w="661" w:type="dxa"/>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0,0</w:t>
            </w:r>
          </w:p>
        </w:tc>
        <w:tc>
          <w:tcPr>
            <w:tcW w:w="661"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-8,2</w:t>
            </w:r>
          </w:p>
        </w:tc>
        <w:tc>
          <w:tcPr>
            <w:tcW w:w="961"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0,0</w:t>
            </w:r>
          </w:p>
        </w:tc>
        <w:tc>
          <w:tcPr>
            <w:tcW w:w="992"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0,0</w:t>
            </w:r>
          </w:p>
        </w:tc>
        <w:tc>
          <w:tcPr>
            <w:tcW w:w="992"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0,0</w:t>
            </w:r>
          </w:p>
        </w:tc>
        <w:tc>
          <w:tcPr>
            <w:tcW w:w="992" w:type="dxa"/>
            <w:tcBorders>
              <w:top w:val="nil"/>
              <w:left w:val="nil"/>
              <w:bottom w:val="single" w:sz="4" w:space="0" w:color="auto"/>
              <w:right w:val="single" w:sz="8"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0,0</w:t>
            </w:r>
          </w:p>
        </w:tc>
      </w:tr>
      <w:tr>
        <w:trPr>
          <w:gridAfter w:val="10"/>
          <w:wAfter w:w="1628" w:type="dxa"/>
          <w:trHeight w:val="525"/>
        </w:trPr>
        <w:tc>
          <w:tcPr>
            <w:tcW w:w="3392" w:type="dxa"/>
            <w:tcBorders>
              <w:top w:val="nil"/>
              <w:left w:val="single" w:sz="8" w:space="0" w:color="auto"/>
              <w:bottom w:val="single" w:sz="8" w:space="0" w:color="auto"/>
              <w:right w:val="single" w:sz="4" w:space="0" w:color="auto"/>
            </w:tcBorders>
            <w:shd w:val="clear" w:color="000000" w:fill="FFFFFF"/>
            <w:vAlign w:val="center"/>
            <w:hideMark/>
          </w:tcPr>
          <w:p>
            <w:pPr>
              <w:spacing w:after="0" w:line="240" w:lineRule="auto"/>
              <w:jc w:val="both"/>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 xml:space="preserve">Tvorba hrubého fixného verejného kapitálu </w:t>
            </w:r>
          </w:p>
        </w:tc>
        <w:tc>
          <w:tcPr>
            <w:tcW w:w="333" w:type="dxa"/>
            <w:tcBorders>
              <w:top w:val="nil"/>
              <w:left w:val="single" w:sz="8" w:space="0" w:color="auto"/>
              <w:bottom w:val="single" w:sz="8"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2,5</w:t>
            </w:r>
          </w:p>
        </w:tc>
        <w:tc>
          <w:tcPr>
            <w:tcW w:w="661" w:type="dxa"/>
            <w:tcBorders>
              <w:top w:val="nil"/>
              <w:left w:val="nil"/>
              <w:bottom w:val="single" w:sz="8"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2,7</w:t>
            </w:r>
          </w:p>
        </w:tc>
        <w:tc>
          <w:tcPr>
            <w:tcW w:w="661" w:type="dxa"/>
            <w:tcBorders>
              <w:top w:val="nil"/>
              <w:left w:val="nil"/>
              <w:bottom w:val="single" w:sz="8"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5,5</w:t>
            </w:r>
          </w:p>
        </w:tc>
        <w:tc>
          <w:tcPr>
            <w:tcW w:w="961" w:type="dxa"/>
            <w:tcBorders>
              <w:top w:val="nil"/>
              <w:left w:val="nil"/>
              <w:bottom w:val="single" w:sz="8"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2,2</w:t>
            </w:r>
          </w:p>
        </w:tc>
        <w:tc>
          <w:tcPr>
            <w:tcW w:w="992" w:type="dxa"/>
            <w:tcBorders>
              <w:top w:val="nil"/>
              <w:left w:val="nil"/>
              <w:bottom w:val="single" w:sz="8"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2,1</w:t>
            </w:r>
          </w:p>
        </w:tc>
        <w:tc>
          <w:tcPr>
            <w:tcW w:w="992" w:type="dxa"/>
            <w:tcBorders>
              <w:top w:val="nil"/>
              <w:left w:val="nil"/>
              <w:bottom w:val="single" w:sz="8"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2,2</w:t>
            </w:r>
          </w:p>
        </w:tc>
        <w:tc>
          <w:tcPr>
            <w:tcW w:w="992" w:type="dxa"/>
            <w:tcBorders>
              <w:top w:val="nil"/>
              <w:left w:val="nil"/>
              <w:bottom w:val="single" w:sz="8" w:space="0" w:color="auto"/>
              <w:right w:val="single" w:sz="8"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2</w:t>
            </w:r>
          </w:p>
        </w:tc>
      </w:tr>
      <w:tr>
        <w:trPr>
          <w:gridAfter w:val="10"/>
          <w:wAfter w:w="1628" w:type="dxa"/>
          <w:trHeight w:val="510"/>
        </w:trPr>
        <w:tc>
          <w:tcPr>
            <w:tcW w:w="3392" w:type="dxa"/>
            <w:tcBorders>
              <w:top w:val="nil"/>
              <w:left w:val="single" w:sz="8" w:space="0" w:color="auto"/>
              <w:bottom w:val="single" w:sz="4" w:space="0" w:color="auto"/>
              <w:right w:val="single" w:sz="4" w:space="0" w:color="auto"/>
            </w:tcBorders>
            <w:shd w:val="clear" w:color="000000" w:fill="FFFFFF"/>
            <w:vAlign w:val="center"/>
            <w:hideMark/>
          </w:tcPr>
          <w:p>
            <w:pPr>
              <w:spacing w:after="0" w:line="240" w:lineRule="auto"/>
              <w:jc w:val="both"/>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Saldo očistené od cyklických vplyvov</w:t>
            </w:r>
          </w:p>
        </w:tc>
        <w:tc>
          <w:tcPr>
            <w:tcW w:w="333" w:type="dxa"/>
            <w:tcBorders>
              <w:top w:val="nil"/>
              <w:left w:val="single" w:sz="8" w:space="0" w:color="auto"/>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1,1</w:t>
            </w:r>
          </w:p>
        </w:tc>
        <w:tc>
          <w:tcPr>
            <w:tcW w:w="661" w:type="dxa"/>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1,3</w:t>
            </w:r>
          </w:p>
        </w:tc>
        <w:tc>
          <w:tcPr>
            <w:tcW w:w="661"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-6,2</w:t>
            </w:r>
          </w:p>
        </w:tc>
        <w:tc>
          <w:tcPr>
            <w:tcW w:w="961"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1,1</w:t>
            </w:r>
          </w:p>
        </w:tc>
        <w:tc>
          <w:tcPr>
            <w:tcW w:w="992"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1,5</w:t>
            </w:r>
          </w:p>
        </w:tc>
        <w:tc>
          <w:tcPr>
            <w:tcW w:w="992"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0,7</w:t>
            </w:r>
          </w:p>
        </w:tc>
        <w:tc>
          <w:tcPr>
            <w:tcW w:w="992" w:type="dxa"/>
            <w:tcBorders>
              <w:top w:val="nil"/>
              <w:left w:val="nil"/>
              <w:bottom w:val="single" w:sz="4" w:space="0" w:color="auto"/>
              <w:right w:val="single" w:sz="8"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1,0</w:t>
            </w:r>
          </w:p>
        </w:tc>
      </w:tr>
      <w:tr>
        <w:trPr>
          <w:gridAfter w:val="10"/>
          <w:wAfter w:w="1628" w:type="dxa"/>
          <w:trHeight w:val="630"/>
        </w:trPr>
        <w:tc>
          <w:tcPr>
            <w:tcW w:w="3392" w:type="dxa"/>
            <w:tcBorders>
              <w:top w:val="nil"/>
              <w:left w:val="single" w:sz="8" w:space="0" w:color="auto"/>
              <w:bottom w:val="single" w:sz="4" w:space="0" w:color="auto"/>
              <w:right w:val="single" w:sz="4" w:space="0" w:color="auto"/>
            </w:tcBorders>
            <w:shd w:val="clear" w:color="000000" w:fill="FFFFFF"/>
            <w:vAlign w:val="center"/>
            <w:hideMark/>
          </w:tcPr>
          <w:p>
            <w:pPr>
              <w:spacing w:after="0" w:line="240" w:lineRule="auto"/>
              <w:jc w:val="both"/>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Primárne saldo očistené od cyklických vplyvov</w:t>
            </w:r>
          </w:p>
        </w:tc>
        <w:tc>
          <w:tcPr>
            <w:tcW w:w="333" w:type="dxa"/>
            <w:tcBorders>
              <w:top w:val="nil"/>
              <w:left w:val="single" w:sz="8" w:space="0" w:color="auto"/>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3,8</w:t>
            </w:r>
          </w:p>
        </w:tc>
        <w:tc>
          <w:tcPr>
            <w:tcW w:w="661" w:type="dxa"/>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3,9</w:t>
            </w:r>
          </w:p>
        </w:tc>
        <w:tc>
          <w:tcPr>
            <w:tcW w:w="661"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-3,7</w:t>
            </w:r>
          </w:p>
        </w:tc>
        <w:tc>
          <w:tcPr>
            <w:tcW w:w="961"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3,5</w:t>
            </w:r>
          </w:p>
        </w:tc>
        <w:tc>
          <w:tcPr>
            <w:tcW w:w="992"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3,8</w:t>
            </w:r>
          </w:p>
        </w:tc>
        <w:tc>
          <w:tcPr>
            <w:tcW w:w="992"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2,7</w:t>
            </w:r>
          </w:p>
        </w:tc>
        <w:tc>
          <w:tcPr>
            <w:tcW w:w="992" w:type="dxa"/>
            <w:tcBorders>
              <w:top w:val="nil"/>
              <w:left w:val="nil"/>
              <w:bottom w:val="single" w:sz="4" w:space="0" w:color="auto"/>
              <w:right w:val="single" w:sz="8"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2,2</w:t>
            </w:r>
          </w:p>
        </w:tc>
      </w:tr>
      <w:tr>
        <w:trPr>
          <w:gridAfter w:val="10"/>
          <w:wAfter w:w="1628" w:type="dxa"/>
          <w:trHeight w:val="300"/>
        </w:trPr>
        <w:tc>
          <w:tcPr>
            <w:tcW w:w="3392" w:type="dxa"/>
            <w:tcBorders>
              <w:top w:val="nil"/>
              <w:left w:val="single" w:sz="8" w:space="0" w:color="auto"/>
              <w:bottom w:val="single" w:sz="4" w:space="0" w:color="auto"/>
              <w:right w:val="single" w:sz="4" w:space="0" w:color="auto"/>
            </w:tcBorders>
            <w:shd w:val="clear" w:color="000000" w:fill="FFFFFF"/>
            <w:vAlign w:val="center"/>
            <w:hideMark/>
          </w:tcPr>
          <w:p>
            <w:pPr>
              <w:spacing w:after="0" w:line="240" w:lineRule="auto"/>
              <w:jc w:val="both"/>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 xml:space="preserve">Štrukturálne saldo </w:t>
            </w:r>
            <w:r>
              <w:rPr>
                <w:rFonts w:ascii="Times New Roman" w:eastAsia="Times New Roman" w:hAnsi="Times New Roman" w:cs="Times New Roman"/>
                <w:i/>
                <w:iCs/>
                <w:noProof/>
                <w:color w:val="000000"/>
                <w:sz w:val="20"/>
                <w:szCs w:val="20"/>
                <w:lang w:eastAsia="en-US" w:bidi="ar-SA"/>
              </w:rPr>
              <w:t>i)</w:t>
            </w:r>
          </w:p>
        </w:tc>
        <w:tc>
          <w:tcPr>
            <w:tcW w:w="333" w:type="dxa"/>
            <w:tcBorders>
              <w:top w:val="nil"/>
              <w:left w:val="single" w:sz="8" w:space="0" w:color="auto"/>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1,1</w:t>
            </w:r>
          </w:p>
        </w:tc>
        <w:tc>
          <w:tcPr>
            <w:tcW w:w="661" w:type="dxa"/>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1,3</w:t>
            </w:r>
          </w:p>
        </w:tc>
        <w:tc>
          <w:tcPr>
            <w:tcW w:w="661"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2,0</w:t>
            </w:r>
          </w:p>
        </w:tc>
        <w:tc>
          <w:tcPr>
            <w:tcW w:w="961"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1,1</w:t>
            </w:r>
          </w:p>
        </w:tc>
        <w:tc>
          <w:tcPr>
            <w:tcW w:w="992"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1,5</w:t>
            </w:r>
          </w:p>
        </w:tc>
        <w:tc>
          <w:tcPr>
            <w:tcW w:w="992"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0,7</w:t>
            </w:r>
          </w:p>
        </w:tc>
        <w:tc>
          <w:tcPr>
            <w:tcW w:w="992" w:type="dxa"/>
            <w:tcBorders>
              <w:top w:val="nil"/>
              <w:left w:val="nil"/>
              <w:bottom w:val="single" w:sz="4" w:space="0" w:color="auto"/>
              <w:right w:val="single" w:sz="8"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1</w:t>
            </w:r>
          </w:p>
        </w:tc>
      </w:tr>
      <w:tr>
        <w:trPr>
          <w:gridAfter w:val="10"/>
          <w:wAfter w:w="1628" w:type="dxa"/>
          <w:trHeight w:val="315"/>
        </w:trPr>
        <w:tc>
          <w:tcPr>
            <w:tcW w:w="3392" w:type="dxa"/>
            <w:tcBorders>
              <w:top w:val="nil"/>
              <w:left w:val="single" w:sz="8" w:space="0" w:color="auto"/>
              <w:bottom w:val="single" w:sz="8" w:space="0" w:color="auto"/>
              <w:right w:val="single" w:sz="4" w:space="0" w:color="auto"/>
            </w:tcBorders>
            <w:shd w:val="clear" w:color="000000" w:fill="FFFFFF"/>
            <w:vAlign w:val="center"/>
            <w:hideMark/>
          </w:tcPr>
          <w:p>
            <w:pPr>
              <w:spacing w:after="0" w:line="240" w:lineRule="auto"/>
              <w:jc w:val="both"/>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Štrukturálne primárne saldo</w:t>
            </w:r>
          </w:p>
        </w:tc>
        <w:tc>
          <w:tcPr>
            <w:tcW w:w="333" w:type="dxa"/>
            <w:tcBorders>
              <w:top w:val="nil"/>
              <w:left w:val="single" w:sz="8" w:space="0" w:color="auto"/>
              <w:bottom w:val="single" w:sz="8"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3,9</w:t>
            </w:r>
          </w:p>
        </w:tc>
        <w:tc>
          <w:tcPr>
            <w:tcW w:w="661" w:type="dxa"/>
            <w:tcBorders>
              <w:top w:val="nil"/>
              <w:left w:val="nil"/>
              <w:bottom w:val="single" w:sz="8"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3,9</w:t>
            </w:r>
          </w:p>
        </w:tc>
        <w:tc>
          <w:tcPr>
            <w:tcW w:w="661" w:type="dxa"/>
            <w:tcBorders>
              <w:top w:val="nil"/>
              <w:left w:val="nil"/>
              <w:bottom w:val="single" w:sz="8"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4,5</w:t>
            </w:r>
          </w:p>
        </w:tc>
        <w:tc>
          <w:tcPr>
            <w:tcW w:w="961" w:type="dxa"/>
            <w:tcBorders>
              <w:top w:val="nil"/>
              <w:left w:val="nil"/>
              <w:bottom w:val="single" w:sz="8"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3,5</w:t>
            </w:r>
          </w:p>
        </w:tc>
        <w:tc>
          <w:tcPr>
            <w:tcW w:w="992" w:type="dxa"/>
            <w:tcBorders>
              <w:top w:val="nil"/>
              <w:left w:val="nil"/>
              <w:bottom w:val="single" w:sz="8"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3,8</w:t>
            </w:r>
          </w:p>
        </w:tc>
        <w:tc>
          <w:tcPr>
            <w:tcW w:w="992" w:type="dxa"/>
            <w:tcBorders>
              <w:top w:val="nil"/>
              <w:left w:val="nil"/>
              <w:bottom w:val="single" w:sz="8" w:space="0" w:color="auto"/>
              <w:right w:val="single" w:sz="4"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2,7</w:t>
            </w:r>
          </w:p>
        </w:tc>
        <w:tc>
          <w:tcPr>
            <w:tcW w:w="992" w:type="dxa"/>
            <w:tcBorders>
              <w:top w:val="nil"/>
              <w:left w:val="nil"/>
              <w:bottom w:val="single" w:sz="8" w:space="0" w:color="auto"/>
              <w:right w:val="single" w:sz="8" w:space="0" w:color="auto"/>
            </w:tcBorders>
            <w:shd w:val="clear" w:color="000000" w:fill="D9D9D9"/>
            <w:vAlign w:val="center"/>
            <w:hideMark/>
          </w:tcPr>
          <w:p>
            <w:pPr>
              <w:spacing w:after="0" w:line="240" w:lineRule="auto"/>
              <w:jc w:val="center"/>
              <w:rPr>
                <w:rFonts w:ascii="Times New Roman" w:eastAsia="Times New Roman" w:hAnsi="Times New Roman" w:cs="Times New Roman"/>
                <w:noProof/>
                <w:color w:val="000000"/>
                <w:sz w:val="20"/>
                <w:szCs w:val="20"/>
                <w:lang w:eastAsia="en-US" w:bidi="ar-SA"/>
              </w:rPr>
            </w:pPr>
            <w:r>
              <w:rPr>
                <w:rFonts w:ascii="Times New Roman" w:eastAsia="Times New Roman" w:hAnsi="Times New Roman" w:cs="Times New Roman"/>
                <w:noProof/>
                <w:color w:val="000000"/>
                <w:sz w:val="20"/>
                <w:szCs w:val="20"/>
                <w:lang w:eastAsia="en-US" w:bidi="ar-SA"/>
              </w:rPr>
              <w:t>2,2</w:t>
            </w:r>
          </w:p>
        </w:tc>
      </w:tr>
      <w:tr>
        <w:trPr>
          <w:gridAfter w:val="4"/>
          <w:wAfter w:w="681" w:type="dxa"/>
          <w:trHeight w:val="300"/>
        </w:trPr>
        <w:tc>
          <w:tcPr>
            <w:tcW w:w="9489" w:type="dxa"/>
            <w:gridSpan w:val="10"/>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i/>
                <w:iCs/>
                <w:noProof/>
                <w:color w:val="000000"/>
                <w:sz w:val="20"/>
                <w:szCs w:val="20"/>
                <w:lang w:eastAsia="en-US" w:bidi="ar-SA"/>
              </w:rPr>
            </w:pPr>
            <w:r>
              <w:rPr>
                <w:rFonts w:ascii="Times New Roman" w:eastAsia="Times New Roman" w:hAnsi="Times New Roman" w:cs="Times New Roman"/>
                <w:i/>
                <w:iCs/>
                <w:noProof/>
                <w:color w:val="000000"/>
                <w:sz w:val="20"/>
                <w:szCs w:val="20"/>
                <w:lang w:eastAsia="en-US" w:bidi="ar-SA"/>
              </w:rPr>
              <w:t>Zdroj: Program stability z roku 2019 (PS) a prognóza Komisie z jari 2019 (KOM).</w:t>
            </w:r>
          </w:p>
        </w:tc>
        <w:tc>
          <w:tcPr>
            <w:tcW w:w="221" w:type="dxa"/>
            <w:gridSpan w:val="2"/>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i/>
                <w:iCs/>
                <w:noProof/>
                <w:color w:val="000000"/>
                <w:sz w:val="20"/>
                <w:szCs w:val="20"/>
                <w:lang w:eastAsia="en-US" w:bidi="ar-SA"/>
              </w:rPr>
            </w:pPr>
          </w:p>
        </w:tc>
        <w:tc>
          <w:tcPr>
            <w:tcW w:w="221" w:type="dxa"/>
            <w:gridSpan w:val="2"/>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sz w:val="20"/>
                <w:szCs w:val="20"/>
                <w:lang w:eastAsia="en-US" w:bidi="ar-SA"/>
              </w:rPr>
            </w:pPr>
          </w:p>
        </w:tc>
      </w:tr>
      <w:tr>
        <w:trPr>
          <w:trHeight w:val="300"/>
        </w:trPr>
        <w:tc>
          <w:tcPr>
            <w:tcW w:w="3392"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i/>
                <w:iCs/>
                <w:noProof/>
                <w:color w:val="000000"/>
                <w:sz w:val="20"/>
                <w:szCs w:val="20"/>
                <w:lang w:eastAsia="en-US" w:bidi="ar-SA"/>
              </w:rPr>
            </w:pPr>
            <w:r>
              <w:rPr>
                <w:rFonts w:ascii="Times New Roman" w:eastAsia="Times New Roman" w:hAnsi="Times New Roman" w:cs="Times New Roman"/>
                <w:i/>
                <w:iCs/>
                <w:noProof/>
                <w:color w:val="000000"/>
                <w:sz w:val="20"/>
                <w:szCs w:val="20"/>
                <w:lang w:eastAsia="en-US" w:bidi="ar-SA"/>
              </w:rPr>
              <w:t>Poznámky:</w:t>
            </w:r>
          </w:p>
        </w:tc>
        <w:tc>
          <w:tcPr>
            <w:tcW w:w="33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i/>
                <w:iCs/>
                <w:noProof/>
                <w:color w:val="000000"/>
                <w:sz w:val="20"/>
                <w:szCs w:val="20"/>
                <w:lang w:eastAsia="en-US" w:bidi="ar-SA"/>
              </w:rPr>
            </w:pPr>
          </w:p>
        </w:tc>
        <w:tc>
          <w:tcPr>
            <w:tcW w:w="661"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sz w:val="20"/>
                <w:szCs w:val="20"/>
                <w:lang w:eastAsia="en-US" w:bidi="ar-SA"/>
              </w:rPr>
            </w:pPr>
          </w:p>
        </w:tc>
        <w:tc>
          <w:tcPr>
            <w:tcW w:w="661"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sz w:val="20"/>
                <w:szCs w:val="20"/>
                <w:lang w:eastAsia="en-US" w:bidi="ar-SA"/>
              </w:rPr>
            </w:pPr>
          </w:p>
        </w:tc>
        <w:tc>
          <w:tcPr>
            <w:tcW w:w="961"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sz w:val="20"/>
                <w:szCs w:val="20"/>
                <w:lang w:eastAsia="en-US" w:bidi="ar-SA"/>
              </w:rPr>
            </w:pPr>
          </w:p>
        </w:tc>
        <w:tc>
          <w:tcPr>
            <w:tcW w:w="992"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sz w:val="20"/>
                <w:szCs w:val="20"/>
                <w:lang w:eastAsia="en-US" w:bidi="ar-SA"/>
              </w:rPr>
            </w:pPr>
          </w:p>
        </w:tc>
        <w:tc>
          <w:tcPr>
            <w:tcW w:w="992"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sz w:val="20"/>
                <w:szCs w:val="20"/>
                <w:lang w:eastAsia="en-US" w:bidi="ar-SA"/>
              </w:rPr>
            </w:pPr>
          </w:p>
        </w:tc>
        <w:tc>
          <w:tcPr>
            <w:tcW w:w="992"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sz w:val="20"/>
                <w:szCs w:val="20"/>
                <w:lang w:eastAsia="en-US" w:bidi="ar-SA"/>
              </w:rPr>
            </w:pPr>
          </w:p>
        </w:tc>
        <w:tc>
          <w:tcPr>
            <w:tcW w:w="299" w:type="dxa"/>
            <w:vAlign w:val="center"/>
            <w:hideMark/>
          </w:tcPr>
          <w:p>
            <w:pPr>
              <w:spacing w:after="0" w:line="240" w:lineRule="auto"/>
              <w:rPr>
                <w:rFonts w:ascii="Times New Roman" w:eastAsia="Times New Roman" w:hAnsi="Times New Roman" w:cs="Times New Roman"/>
                <w:noProof/>
                <w:sz w:val="20"/>
                <w:szCs w:val="20"/>
                <w:lang w:eastAsia="en-US" w:bidi="ar-SA"/>
              </w:rPr>
            </w:pPr>
          </w:p>
        </w:tc>
        <w:tc>
          <w:tcPr>
            <w:tcW w:w="221" w:type="dxa"/>
            <w:gridSpan w:val="2"/>
            <w:vAlign w:val="center"/>
            <w:hideMark/>
          </w:tcPr>
          <w:p>
            <w:pPr>
              <w:spacing w:after="0" w:line="240" w:lineRule="auto"/>
              <w:rPr>
                <w:rFonts w:ascii="Times New Roman" w:eastAsia="Times New Roman" w:hAnsi="Times New Roman" w:cs="Times New Roman"/>
                <w:noProof/>
                <w:sz w:val="20"/>
                <w:szCs w:val="20"/>
                <w:lang w:eastAsia="en-US" w:bidi="ar-SA"/>
              </w:rPr>
            </w:pPr>
          </w:p>
        </w:tc>
        <w:tc>
          <w:tcPr>
            <w:tcW w:w="221" w:type="dxa"/>
            <w:gridSpan w:val="2"/>
            <w:vAlign w:val="center"/>
            <w:hideMark/>
          </w:tcPr>
          <w:p>
            <w:pPr>
              <w:spacing w:after="0" w:line="240" w:lineRule="auto"/>
              <w:rPr>
                <w:rFonts w:ascii="Times New Roman" w:eastAsia="Times New Roman" w:hAnsi="Times New Roman" w:cs="Times New Roman"/>
                <w:noProof/>
                <w:sz w:val="20"/>
                <w:szCs w:val="20"/>
                <w:lang w:eastAsia="en-US" w:bidi="ar-SA"/>
              </w:rPr>
            </w:pPr>
          </w:p>
        </w:tc>
        <w:tc>
          <w:tcPr>
            <w:tcW w:w="221" w:type="dxa"/>
            <w:gridSpan w:val="2"/>
            <w:vAlign w:val="center"/>
            <w:hideMark/>
          </w:tcPr>
          <w:p>
            <w:pPr>
              <w:spacing w:after="0" w:line="240" w:lineRule="auto"/>
              <w:rPr>
                <w:rFonts w:ascii="Times New Roman" w:eastAsia="Times New Roman" w:hAnsi="Times New Roman" w:cs="Times New Roman"/>
                <w:noProof/>
                <w:sz w:val="20"/>
                <w:szCs w:val="20"/>
                <w:lang w:eastAsia="en-US" w:bidi="ar-SA"/>
              </w:rPr>
            </w:pPr>
          </w:p>
        </w:tc>
        <w:tc>
          <w:tcPr>
            <w:tcW w:w="222" w:type="dxa"/>
            <w:vAlign w:val="center"/>
            <w:hideMark/>
          </w:tcPr>
          <w:p>
            <w:pPr>
              <w:spacing w:after="0" w:line="240" w:lineRule="auto"/>
              <w:rPr>
                <w:rFonts w:ascii="Times New Roman" w:eastAsia="Times New Roman" w:hAnsi="Times New Roman" w:cs="Times New Roman"/>
                <w:noProof/>
                <w:sz w:val="20"/>
                <w:szCs w:val="20"/>
                <w:lang w:eastAsia="en-US" w:bidi="ar-SA"/>
              </w:rPr>
            </w:pPr>
          </w:p>
        </w:tc>
        <w:tc>
          <w:tcPr>
            <w:tcW w:w="222" w:type="dxa"/>
            <w:vAlign w:val="center"/>
            <w:hideMark/>
          </w:tcPr>
          <w:p>
            <w:pPr>
              <w:spacing w:after="0" w:line="240" w:lineRule="auto"/>
              <w:rPr>
                <w:rFonts w:ascii="Times New Roman" w:eastAsia="Times New Roman" w:hAnsi="Times New Roman" w:cs="Times New Roman"/>
                <w:noProof/>
                <w:sz w:val="20"/>
                <w:szCs w:val="20"/>
                <w:lang w:eastAsia="en-US" w:bidi="ar-SA"/>
              </w:rPr>
            </w:pPr>
          </w:p>
        </w:tc>
        <w:tc>
          <w:tcPr>
            <w:tcW w:w="222" w:type="dxa"/>
            <w:vAlign w:val="center"/>
            <w:hideMark/>
          </w:tcPr>
          <w:p>
            <w:pPr>
              <w:spacing w:after="0" w:line="240" w:lineRule="auto"/>
              <w:rPr>
                <w:rFonts w:ascii="Times New Roman" w:eastAsia="Times New Roman" w:hAnsi="Times New Roman" w:cs="Times New Roman"/>
                <w:noProof/>
                <w:sz w:val="20"/>
                <w:szCs w:val="20"/>
                <w:lang w:eastAsia="en-US" w:bidi="ar-SA"/>
              </w:rPr>
            </w:pPr>
          </w:p>
        </w:tc>
      </w:tr>
      <w:tr>
        <w:trPr>
          <w:gridAfter w:val="4"/>
          <w:wAfter w:w="681" w:type="dxa"/>
          <w:trHeight w:val="300"/>
        </w:trPr>
        <w:tc>
          <w:tcPr>
            <w:tcW w:w="9710" w:type="dxa"/>
            <w:gridSpan w:val="12"/>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i/>
                <w:iCs/>
                <w:noProof/>
                <w:color w:val="000000"/>
                <w:sz w:val="20"/>
                <w:szCs w:val="20"/>
                <w:lang w:eastAsia="en-US" w:bidi="ar-SA"/>
              </w:rPr>
            </w:pPr>
            <w:r>
              <w:rPr>
                <w:rFonts w:ascii="Times New Roman" w:eastAsia="Times New Roman" w:hAnsi="Times New Roman" w:cs="Times New Roman"/>
                <w:i/>
                <w:iCs/>
                <w:noProof/>
                <w:color w:val="000000"/>
                <w:sz w:val="20"/>
                <w:szCs w:val="20"/>
                <w:lang w:eastAsia="en-US" w:bidi="ar-SA"/>
              </w:rPr>
              <w:t>i) Saldo očistené od cyklických vplyvov s vylúčením jednorazových a iných dočasných opatrení</w:t>
            </w:r>
            <w:r>
              <w:rPr>
                <w:rFonts w:ascii="Times New Roman" w:eastAsia="Times New Roman" w:hAnsi="Times New Roman" w:cs="Times New Roman"/>
                <w:noProof/>
                <w:color w:val="000000"/>
                <w:sz w:val="18"/>
                <w:szCs w:val="18"/>
                <w:lang w:eastAsia="en-US" w:bidi="ar-SA"/>
              </w:rPr>
              <w:t>.</w:t>
            </w:r>
          </w:p>
        </w:tc>
        <w:tc>
          <w:tcPr>
            <w:tcW w:w="221" w:type="dxa"/>
            <w:gridSpan w:val="2"/>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i/>
                <w:iCs/>
                <w:noProof/>
                <w:color w:val="000000"/>
                <w:sz w:val="20"/>
                <w:szCs w:val="20"/>
                <w:lang w:eastAsia="en-US" w:bidi="ar-SA"/>
              </w:rPr>
            </w:pPr>
          </w:p>
        </w:tc>
      </w:tr>
    </w:tbl>
    <w:p>
      <w:pPr>
        <w:spacing w:before="120" w:after="120" w:line="240" w:lineRule="auto"/>
        <w:jc w:val="both"/>
        <w:rPr>
          <w:rFonts w:ascii="Times New Roman" w:hAnsi="Times New Roman"/>
          <w:noProof/>
          <w:sz w:val="24"/>
        </w:rPr>
      </w:pPr>
      <w:r>
        <w:rPr>
          <w:rFonts w:ascii="Times New Roman" w:hAnsi="Times New Roman"/>
          <w:noProof/>
          <w:sz w:val="24"/>
        </w:rPr>
        <w:t>V budúcnosti sa očakáva, že reálny rast bude pevne založený na domácom dopyte, konkrétne na súkromnej spotrebe a investíciách. Podľa prognózy Komisie z jari 2019 sa predpokladá, že rast HDP dosiahne v roku 2019 úroveň 3,1 % a v roku 2020 úroveň 2,7 %. Inflácia na Cypre je už niekoľko rokov utlmená a očakáva sa, že taká zostane aj naďalej. HICP by mal v roku 2019 stúpnuť na 0,9 % (po 0,8 % inflácii v roku 2018) a ďalej v roku 2020 na 1,1 %. Napriek vykonaniu viacerých štrukturálnych reforiem zostáva potenciálny rast Cypru stále obmedzený, keďže pretrvávajú problémy z minulosti vrátane veľmi vysokého podielu zlyhaných úverov vo finančnom sektore a vysokej súkromnej a verejnej zadlženosti. Potenciálny rast v období 2018 – 2020 sa odhaduje na približne 2 %, pričom najviac k tomu bude prispievať akumulovanie kapitálu a následne celkový príspevok práce (ktorého hnacou silou je zvyšujúca sa zamestnanosť). Odhaduje sa, že celková produktivita faktorov sa po rokoch záporných príspevkov vráti v rokoch 2019 a 2020 do kladných hodnôt, ale stále sa bude pohybovať veľmi blízko nuly.</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Produkčná medzera je kladná a stále sa zvyšuje. Predpokladá sa, že stúpne z 2,8 % v roku 2018 na 4,3 % v roku 2020.</w:t>
      </w:r>
    </w:p>
    <w:p>
      <w:pPr>
        <w:rPr>
          <w:rFonts w:ascii="Times New Roman" w:eastAsia="Times New Roman" w:hAnsi="Times New Roman" w:cs="Times New Roman"/>
          <w:noProof/>
          <w:sz w:val="24"/>
        </w:rPr>
      </w:pPr>
    </w:p>
    <w:p>
      <w:pPr>
        <w:rPr>
          <w:rFonts w:ascii="Times New Roman" w:hAnsi="Times New Roman"/>
          <w:b/>
          <w:noProof/>
          <w:sz w:val="24"/>
        </w:rPr>
      </w:pPr>
      <w:r>
        <w:rPr>
          <w:rFonts w:ascii="Times New Roman" w:hAnsi="Times New Roman"/>
          <w:b/>
          <w:noProof/>
          <w:sz w:val="24"/>
        </w:rPr>
        <w:t>Štrukturálne reformy</w:t>
      </w:r>
    </w:p>
    <w:p>
      <w:pPr>
        <w:spacing w:line="240" w:lineRule="auto"/>
        <w:jc w:val="both"/>
        <w:rPr>
          <w:rFonts w:ascii="Times New Roman" w:hAnsi="Times New Roman"/>
          <w:noProof/>
          <w:sz w:val="24"/>
        </w:rPr>
      </w:pPr>
      <w:r>
        <w:rPr>
          <w:rFonts w:ascii="Times New Roman" w:hAnsi="Times New Roman"/>
          <w:noProof/>
          <w:sz w:val="24"/>
        </w:rPr>
        <w:t>V národnom programe reforiem</w:t>
      </w:r>
      <w:r>
        <w:rPr>
          <w:rStyle w:val="FootnoteReference"/>
          <w:rFonts w:eastAsiaTheme="minorHAnsi"/>
          <w:noProof/>
        </w:rPr>
        <w:footnoteReference w:id="9"/>
      </w:r>
      <w:r>
        <w:rPr>
          <w:rFonts w:ascii="Times New Roman" w:hAnsi="Times New Roman"/>
          <w:noProof/>
          <w:sz w:val="24"/>
        </w:rPr>
        <w:t xml:space="preserve"> (NPR) prijatom 15. apríla 2019 cyperská vláda potvrdila svoj záväzok vykonať rozsiahly program štrukturálnych reforiem, ktorý pomôže zachovať udržateľný rast v dlhodobom horizonte. Hlavné priority reforiem načrtnutých v NPR sa zameriavajú na riešenie problémov uvedených v odporúčaniach Rady pre jednotlivé krajiny z roku 2018</w:t>
      </w:r>
      <w:r>
        <w:rPr>
          <w:rStyle w:val="FootnoteReference"/>
          <w:rFonts w:eastAsiaTheme="minorHAnsi"/>
          <w:noProof/>
        </w:rPr>
        <w:footnoteReference w:id="10"/>
      </w:r>
      <w:r>
        <w:rPr>
          <w:rFonts w:ascii="Times New Roman" w:hAnsi="Times New Roman"/>
          <w:noProof/>
          <w:sz w:val="24"/>
        </w:rPr>
        <w:t xml:space="preserve"> a v správe o Cypre z roku 2019</w:t>
      </w:r>
      <w:r>
        <w:rPr>
          <w:rStyle w:val="FootnoteReference"/>
          <w:rFonts w:eastAsiaTheme="minorHAnsi"/>
          <w:noProof/>
        </w:rPr>
        <w:footnoteReference w:id="11"/>
      </w:r>
      <w:r>
        <w:rPr>
          <w:rFonts w:ascii="Times New Roman" w:hAnsi="Times New Roman"/>
          <w:noProof/>
          <w:sz w:val="24"/>
        </w:rPr>
        <w:t>.</w:t>
      </w:r>
    </w:p>
    <w:p>
      <w:pPr>
        <w:spacing w:before="120" w:after="120" w:line="240" w:lineRule="auto"/>
        <w:jc w:val="both"/>
        <w:rPr>
          <w:rFonts w:ascii="Times New Roman" w:hAnsi="Times New Roman"/>
          <w:noProof/>
          <w:sz w:val="24"/>
        </w:rPr>
      </w:pPr>
      <w:r>
        <w:rPr>
          <w:rFonts w:ascii="Times New Roman" w:hAnsi="Times New Roman"/>
          <w:noProof/>
          <w:sz w:val="24"/>
        </w:rPr>
        <w:t xml:space="preserve">V správe o Cypre z roku 2019 sa dospelo k záveru, že tento členský štát celkovo vykonal určitý pokrok pri vykonávaní odporúčaní pre jednotlivé krajiny z roku 2018. Konkrétne došlo k značnému pokroku pri vykonávaní významných opatrení v kontexte komplexnej stratégie zameranej na zníženie počtu zlyhaných úverov vrátanie posilnenia právnych rámcov pre platobnú neschopnosť, zabavenie a predaj úverov. Cyprus dosiahol určitý pokrok, pokiaľ ide o prístup MSP k finančným prostriedkom, tým, že zaviedol nové finančné nástroje, ako aj prípravou na vykonávanie prvej fázy národného systému zdravotného poistenia. V týchto oblastiach došlo len k obmedzenému pokroku: i) reforma verejnej správy a miestnych samospráv, ii) vykonanie plánovaných projektov privatizácie, iii) riešenie nedostatkov v súdnictve, iv) zriadenie spoľahlivého systému na prenos a vydávanie listov vlastníctva, v) zlepšenie účinnosti verejných služieb zamestnanosti pri oslovovaní mladých ľudí a vi) reforma systému vzdelávania. K žiadnemu pokroku nedošlo, pokiaľ ide o posilnenie dohľadu nad poisťovňami a dôchodkovými fondmi a zjednodušenie administratívnych postupov pri väčších investíciách.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Komisia navyše vo februári 2019 dospela k záveru, že Cyprus podlieha nadmernej makroekonomickej nerovnováhe, konkrétne v podobe vysokej úrovne súkromného, verejného a zahraničného dlhu a zlyhaných úverov v kontexte stále relatívne vysokej, hoci klesajúcej, nezamestnanosti a slabého potenciálneho rastu.</w:t>
      </w:r>
    </w:p>
    <w:p>
      <w:pPr>
        <w:keepNext/>
        <w:tabs>
          <w:tab w:val="left" w:pos="850"/>
        </w:tabs>
        <w:spacing w:before="360" w:after="120" w:line="240" w:lineRule="auto"/>
        <w:ind w:left="851" w:hanging="851"/>
        <w:jc w:val="both"/>
        <w:outlineLvl w:val="1"/>
        <w:rPr>
          <w:rFonts w:ascii="Times New Roman" w:hAnsi="Times New Roman"/>
          <w:b/>
          <w:noProof/>
          <w:sz w:val="24"/>
        </w:rPr>
      </w:pPr>
      <w:r>
        <w:rPr>
          <w:rFonts w:ascii="Times New Roman" w:hAnsi="Times New Roman"/>
          <w:b/>
          <w:noProof/>
          <w:sz w:val="24"/>
        </w:rPr>
        <w:t>4.4.</w:t>
      </w:r>
      <w:r>
        <w:rPr>
          <w:noProof/>
        </w:rPr>
        <w:tab/>
      </w:r>
      <w:r>
        <w:rPr>
          <w:rFonts w:ascii="Times New Roman" w:hAnsi="Times New Roman"/>
          <w:b/>
          <w:noProof/>
          <w:sz w:val="24"/>
        </w:rPr>
        <w:t>Iné faktory, ktoré Komisia považuje za závažné</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S cieľom udržať finančnú stabilitu prijala vláda viacero opatrení na podporu predaja a riadnej likvidácie Cyperskej družstevnej banky. Tieto opatrenia na podporu finančného sektora posunuli saldo verejných financií v roku 2018 do deficitu a zvýšili verejný dlh v roku 2018, ako sa opisuje v oddieloch 4.2 a 4.3. Jednorazové opatrenia na podporu bankového sektora mali konkrétne negatívny vplyv na saldo verejných financií na úrovni 8,3 % HDP (1,7 miliardy EUR) v roku 2018</w:t>
      </w:r>
      <w:r>
        <w:rPr>
          <w:rStyle w:val="FootnoteReference"/>
          <w:rFonts w:eastAsiaTheme="minorHAnsi"/>
          <w:noProof/>
        </w:rPr>
        <w:footnoteReference w:id="12"/>
      </w:r>
      <w:r>
        <w:rPr>
          <w:noProof/>
        </w:rPr>
        <w:t>.</w:t>
      </w:r>
      <w:r>
        <w:rPr>
          <w:rFonts w:ascii="Times New Roman" w:hAnsi="Times New Roman"/>
          <w:noProof/>
          <w:sz w:val="24"/>
        </w:rPr>
        <w:t xml:space="preserve"> Vydanie série štátnych dlhopisov súvisiacich s týmito podpornými opatreniami malo navyše vplyv na verejný dlh na úrovni 15 % HDP (3,2 miliardy EUR).</w:t>
      </w:r>
    </w:p>
    <w:p>
      <w:pPr>
        <w:spacing w:before="120" w:after="120" w:line="240" w:lineRule="auto"/>
        <w:jc w:val="both"/>
        <w:rPr>
          <w:rFonts w:ascii="Times New Roman" w:hAnsi="Times New Roman"/>
          <w:noProof/>
          <w:sz w:val="24"/>
        </w:rPr>
      </w:pPr>
      <w:r>
        <w:rPr>
          <w:rFonts w:ascii="Times New Roman" w:hAnsi="Times New Roman"/>
          <w:noProof/>
          <w:sz w:val="24"/>
        </w:rPr>
        <w:t>Medzi ostatné faktory, ktoré Komisia považuje za závažné, sa osobitná pozornosť venuje finančným príspevkom na podporu medzinárodnej solidarity a na dosiahnutie cieľov politiky Únie, dlhu vzniknutému ako forma dvojstrannej a mnohostrannej podpory medzi členskými štátmi v súvislosti so zabezpečením finančnej stability a dlhu súvisiacemu s operáciami finančnej stabilizácie počas veľkých finančných výkyvov [článok 2 ods. 3 nariadenia (ES) č. 1467/97].</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V článku 12 ods. 1 nariadenia (EÚ) č. 473/2013 sa vyžaduje, aby sa v tejto správe zohľadnil aj „</w:t>
      </w:r>
      <w:r>
        <w:rPr>
          <w:rFonts w:ascii="Times New Roman" w:hAnsi="Times New Roman"/>
          <w:i/>
          <w:noProof/>
          <w:sz w:val="24"/>
        </w:rPr>
        <w:t>rozsah, v akom dotknutý členský štát zohľadnil stanovisko Komisie</w:t>
      </w:r>
      <w:r>
        <w:rPr>
          <w:rFonts w:ascii="Times New Roman" w:hAnsi="Times New Roman"/>
          <w:noProof/>
          <w:sz w:val="24"/>
        </w:rPr>
        <w:t>“ k návrhu rozpočtového plánu členského štátu „</w:t>
      </w:r>
      <w:r>
        <w:rPr>
          <w:rFonts w:ascii="Times New Roman" w:hAnsi="Times New Roman"/>
          <w:i/>
          <w:noProof/>
          <w:sz w:val="24"/>
        </w:rPr>
        <w:t>uvedené v článku 7 ods. 1</w:t>
      </w:r>
      <w:r>
        <w:rPr>
          <w:rFonts w:ascii="Times New Roman" w:hAnsi="Times New Roman"/>
          <w:noProof/>
          <w:sz w:val="24"/>
        </w:rPr>
        <w:t>“ toho istého nariadenia. V stanovisku Komisie k návrhu rozpočtového plánu Cypru na rok 2019 sa dospelo k záveru, že Cyprus dodržal v roku 2018 a 2019 ustanovenia Paktu stability a rastu, a orgány boli vyzvané, aby realizovali rozpočet na rok 2019</w:t>
      </w:r>
      <w:r>
        <w:rPr>
          <w:rStyle w:val="FootnoteReference"/>
          <w:rFonts w:eastAsiaTheme="minorHAnsi"/>
          <w:noProof/>
        </w:rPr>
        <w:footnoteReference w:id="13"/>
      </w:r>
      <w:r>
        <w:rPr>
          <w:noProof/>
        </w:rPr>
        <w:t>.</w:t>
      </w:r>
      <w:r>
        <w:rPr>
          <w:rFonts w:ascii="Times New Roman" w:hAnsi="Times New Roman"/>
          <w:noProof/>
          <w:sz w:val="24"/>
        </w:rPr>
        <w:t xml:space="preserve"> Parlament prijal rozpočet 14. decembra 2018 bez väčších zmien oproti návrhu rozpočtového plánu. Spomedzi pár doplňujúcich opatrení schválených v rámci rozpočtu na rok 2019 bolo zníženie spotrebnej dane z palív opatrením s najvyšším odhadovaným vplyvom vo výške –0,3 % HDP na strane príjmov v roku 2019.</w:t>
      </w:r>
    </w:p>
    <w:p>
      <w:pPr>
        <w:keepNext/>
        <w:tabs>
          <w:tab w:val="left" w:pos="850"/>
        </w:tabs>
        <w:spacing w:before="360" w:after="120" w:line="240" w:lineRule="auto"/>
        <w:ind w:left="851" w:hanging="851"/>
        <w:jc w:val="both"/>
        <w:outlineLvl w:val="1"/>
        <w:rPr>
          <w:rFonts w:ascii="Times New Roman" w:hAnsi="Times New Roman"/>
          <w:b/>
          <w:noProof/>
          <w:sz w:val="24"/>
        </w:rPr>
      </w:pPr>
      <w:r>
        <w:rPr>
          <w:rFonts w:ascii="Times New Roman" w:hAnsi="Times New Roman"/>
          <w:b/>
          <w:noProof/>
          <w:sz w:val="24"/>
        </w:rPr>
        <w:t>4.5.</w:t>
      </w:r>
      <w:r>
        <w:rPr>
          <w:noProof/>
        </w:rPr>
        <w:tab/>
      </w:r>
      <w:r>
        <w:rPr>
          <w:rFonts w:ascii="Times New Roman" w:hAnsi="Times New Roman"/>
          <w:b/>
          <w:noProof/>
          <w:sz w:val="24"/>
        </w:rPr>
        <w:t>Iné faktory predložené zo strany členského štátu</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Cyperské orgány zaslali 31. mája 2019 list, v ktorom v súlade s článkom 2 ods. 3 nariadenia (ES) č. 1467/97 uviedli závažné faktory. V analýze uvedenej v predchádzajúcich oddieloch sa už zoširoka rozobrali kľúčové faktory, ktoré predložili orgány.</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Cyperské orgány zdôrazňujú skutočnosť, že fiškálne výsledky Cypru sú aj naďalej silné a k prekročeniu referenčnej hodnoty 3 % HDP v roku 2018 došlo výlučne z dôvodu dočasných vládnych opatrení na podporu Cyperskej družstevnej banky. Podľa listu sa jednorazové opatrenia poskytnuté Cyperskej družstevnej banke navyše považovali za potrebné z dôvodu finančnej stability, keďže uľahčili odchod banky z finančného trhu prostredníctvom riadnej likvidácie a čiastočného predaja aktivít banky iným bankovým inštitúciám.</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Orgány konkrétnejšie uvádzajú, že dôvodom zhoršenia fiškálnej pozície verejnej správy v roku 2018 (prechod z prebytku 1,8 % HDP v roku 2017 na deficit 4,8 % HDP v roku 2018) boli výlučne jednorazové opatrenia na podporu bankového sektora poskytnuté Cyperskej družstevnej banke. Orgány takisto poukazujú na skutočnosť, že pri vylúčení týchto jednorazových opatrení dosiahlo celkové saldo verejných financií v roku 2018 prebytok vo výške 3,4 % HDP, čo predstavuje zlepšenie o 1,6 percentuálneho bodu HDP v porovnaní s predchádzajúcim rokom a kladnú odchýlku o 0,5 percentuálneho bodu HDP od cieľa stanoveného v návrhu rozpočtového plánu na rok 2019. Štrukturálna rozpočtová pozícia sa v roku 2018 zlepšila, keď dosiahla prebytok 2 % HDP v porovnaní s prebytkom 1,3 % v roku 2017.</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Napokon sa podľa listu očakáva, že celkový deficit verejných financií sa v roku 2019 napraví. Konkrétne sa predpokladá, že celkové saldo verejných financií sa vráti do prebytku približne 3 % HDP v roku 2019 a 2,8 % HDP v roku 2020, čo odzrkadľuje normalizáciu hospodárskej činnosti a zlepšenie trhu práce. V liste sa uvádza, že štrukturálne saldo zostane v období 2019 – 2020 podľa prognózy v prebytku, čím prekročí strednodobý rozpočtový cieľ.</w:t>
      </w:r>
    </w:p>
    <w:p>
      <w:pPr>
        <w:spacing w:before="120" w:after="120" w:line="240" w:lineRule="auto"/>
        <w:jc w:val="both"/>
        <w:rPr>
          <w:rFonts w:ascii="Times New Roman" w:eastAsia="Times New Roman" w:hAnsi="Times New Roman" w:cs="Calibri"/>
          <w:bCs/>
          <w:noProof/>
          <w:sz w:val="24"/>
        </w:rPr>
      </w:pPr>
    </w:p>
    <w:p>
      <w:pPr>
        <w:spacing w:before="120" w:after="120" w:line="240" w:lineRule="auto"/>
        <w:jc w:val="both"/>
        <w:rPr>
          <w:rFonts w:ascii="Times New Roman" w:hAnsi="Times New Roman"/>
          <w:b/>
          <w:smallCaps/>
          <w:noProof/>
          <w:sz w:val="24"/>
        </w:rPr>
      </w:pPr>
      <w:r>
        <w:rPr>
          <w:rFonts w:ascii="Times New Roman" w:hAnsi="Times New Roman"/>
          <w:b/>
          <w:smallCaps/>
          <w:noProof/>
          <w:sz w:val="24"/>
        </w:rPr>
        <w:t xml:space="preserve"> 5.</w:t>
      </w:r>
      <w:r>
        <w:rPr>
          <w:noProof/>
        </w:rPr>
        <w:tab/>
      </w:r>
      <w:r>
        <w:rPr>
          <w:rFonts w:ascii="Times New Roman" w:hAnsi="Times New Roman"/>
          <w:b/>
          <w:smallCaps/>
          <w:noProof/>
          <w:sz w:val="24"/>
        </w:rPr>
        <w:t>Závery</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Hrubý dlh verejnej správy sa od roku 2011 nachádza nad referenčnou úrovňou 60 % HDP a v roku 2018 bol podľa oznámenia na úrovni 102,5 % HDP. V prognóze Komisie z jari 2019 a programe stability sa v roku 2019 očakáva stabilné znižovanie dlhu pod 100 % HDP. Cyprus v roku 2018 dodržal prechodné pravidlo týkajúce sa dlhu a predpokladá sa, že v rokoch 2019 a 2020 dodrží referenčnú hodnotu pre úpravu pomeru dlhu k HDP. To poukazuje na skutočnosť, že je dodržané dlhové kritérium stanovené v zmluve.</w:t>
      </w:r>
    </w:p>
    <w:p>
      <w:pPr>
        <w:autoSpaceDE w:val="0"/>
        <w:autoSpaceDN w:val="0"/>
        <w:adjustRightInd w:val="0"/>
        <w:spacing w:before="120" w:after="0" w:line="240" w:lineRule="auto"/>
        <w:jc w:val="both"/>
        <w:rPr>
          <w:rFonts w:ascii="Times New Roman" w:hAnsi="Times New Roman"/>
          <w:noProof/>
          <w:sz w:val="24"/>
        </w:rPr>
      </w:pPr>
      <w:r>
        <w:rPr>
          <w:rFonts w:ascii="Times New Roman" w:hAnsi="Times New Roman"/>
          <w:noProof/>
          <w:sz w:val="24"/>
        </w:rPr>
        <w:t xml:space="preserve">Po celkových prebytkoch verejných financií vo výške 0,3 % HDP v roku 2016 a 1,8 % HDP v roku 2017 dosiahlo v roku 2018 celkové saldo verejných financií na Cypre deficit 4,8 % HDP, čo je vysoko nad referenčnou hodnotou 3 % HDP uvedenou v zmluve. Po odčítaní vplyvu jednorazových opatrení na podporu bankového sektora vo výške 8,3 % HDP by saldo verejných financií dosiahlo v roku 2018 prebytok 3,5 % HDP. Podľa prognózy Komisie z jari 2019 a programu stability sa predpokladá, že celkové saldo verejných financií sa vráti do prebytku približne 3 % HDP v roku 2019 a vyše 2,5 % HDP v roku 2020, čo je dostatočne pod referenčnou hodnotou (o viac ako 5,5 percentuálneho bodu HDP), ktorá sa tak dodrží. Prekročenie referenčnej hodnoty v roku 2018 nie je výnimočné, hoci v zmysle zmluvy a Paktu stability a rastu je dočasné. Z toho vyplýva, že kritérium deficitu stanovené v zmluve nie je v roku 2018 </w:t>
      </w:r>
      <w:r>
        <w:rPr>
          <w:rFonts w:ascii="Times New Roman" w:hAnsi="Times New Roman"/>
          <w:i/>
          <w:noProof/>
          <w:sz w:val="24"/>
        </w:rPr>
        <w:t>prima facie</w:t>
      </w:r>
      <w:r>
        <w:rPr>
          <w:rFonts w:ascii="Times New Roman" w:hAnsi="Times New Roman"/>
          <w:noProof/>
          <w:sz w:val="24"/>
        </w:rPr>
        <w:t xml:space="preserve"> dodržané.</w:t>
      </w:r>
    </w:p>
    <w:p>
      <w:pPr>
        <w:autoSpaceDE w:val="0"/>
        <w:autoSpaceDN w:val="0"/>
        <w:adjustRightInd w:val="0"/>
        <w:spacing w:before="120" w:after="0" w:line="240" w:lineRule="auto"/>
        <w:jc w:val="both"/>
        <w:rPr>
          <w:rFonts w:ascii="Times New Roman" w:hAnsi="Times New Roman"/>
          <w:noProof/>
          <w:sz w:val="24"/>
        </w:rPr>
      </w:pPr>
      <w:r>
        <w:rPr>
          <w:rFonts w:ascii="Times New Roman" w:hAnsi="Times New Roman"/>
          <w:noProof/>
          <w:color w:val="000000"/>
          <w:sz w:val="24"/>
        </w:rPr>
        <w:t>V súlade so zmluvou sa v tejto správe skúmali závažné faktory.</w:t>
      </w:r>
      <w:r>
        <w:rPr>
          <w:rFonts w:ascii="Times New Roman" w:hAnsi="Times New Roman"/>
          <w:noProof/>
          <w:sz w:val="24"/>
        </w:rPr>
        <w:t xml:space="preserve"> Tieto závažné faktory zahŕňajú skutočnosť, že dôvodom celkového deficitu verejných financií v roku 2018 vrátane prekročenia referenčnej hodnoty bol výlučne vplyv jednorazových opatrení na podporu bankového sektora vo výške 8,3 % HDP, ktorý takisto prispel k zvýšeniu dlhu verejných financií v roku 2018. Štrukturálne saldo navyše dosiahlo v roku 2018 prebytok vo výške 2,0 % HDP a očakáva sa, že v rokoch 2019 a 2020 zostane zo štrukturálneho hľadiska nad strednodobým cieľom vyváženej rozpočtovej pozície. Keďže však pomer verejného dlhu k HDP prekročil referenčnú hodnotu 60 % a nie je dodržaná dvojitá podmienka – t. j., že deficit zostáva v blízkosti referenčnej hodnoty a že jeho prekročenie referenčnej hodnoty je dočasné, – v krokoch vedúcich k rozhodnutiu o existencii nadmerného deficitu na Cypre nie je možné zohľadniť závažné faktory.</w:t>
      </w:r>
    </w:p>
    <w:p>
      <w:pPr>
        <w:autoSpaceDE w:val="0"/>
        <w:autoSpaceDN w:val="0"/>
        <w:adjustRightInd w:val="0"/>
        <w:spacing w:before="120" w:after="0" w:line="240" w:lineRule="auto"/>
        <w:jc w:val="both"/>
        <w:rPr>
          <w:rFonts w:ascii="Times New Roman" w:hAnsi="Times New Roman"/>
          <w:noProof/>
          <w:sz w:val="24"/>
        </w:rPr>
      </w:pPr>
      <w:r>
        <w:rPr>
          <w:rFonts w:ascii="Times New Roman" w:hAnsi="Times New Roman"/>
          <w:noProof/>
          <w:sz w:val="24"/>
        </w:rPr>
        <w:t>Zároveň sa očakáva, že Cyprus v rokoch 2019 a 2020 plne dodrží všetky požiadavky Paktu stability a rastu vrátane predpokladaného prekročenia strednodobého rozpočtového cieľa a predpokladaného značného prebytku verejných financií, čím zabezpečí dodržanie kritéria deficitu a referenčnej hodnoty pre úpravu pomeru dlhu k HDP. So zreteľom na uvedené skutočnosti by začatie postupu pri nadmernom deficite neslúžilo zmysluplnému cieľu rozpočtového dohľadu. Komisia sa preto domnieva, že by sa nemali podniknúť ďalšie kroky vedúce k rozhodnutiu o existencii nadmerného deficitu.</w:t>
      </w:r>
    </w:p>
    <w:p>
      <w:pPr>
        <w:autoSpaceDE w:val="0"/>
        <w:autoSpaceDN w:val="0"/>
        <w:adjustRightInd w:val="0"/>
        <w:spacing w:before="120" w:after="0" w:line="240" w:lineRule="auto"/>
        <w:jc w:val="both"/>
        <w:rPr>
          <w:rFonts w:ascii="Times New Roman" w:eastAsia="Times New Roman" w:hAnsi="Times New Roman" w:cs="Times New Roman"/>
          <w:noProof/>
          <w:sz w:val="24"/>
        </w:rPr>
      </w:pPr>
    </w:p>
    <w:p>
      <w:pPr>
        <w:autoSpaceDE w:val="0"/>
        <w:autoSpaceDN w:val="0"/>
        <w:adjustRightInd w:val="0"/>
        <w:spacing w:before="120" w:after="0" w:line="240" w:lineRule="auto"/>
        <w:jc w:val="both"/>
        <w:rPr>
          <w:rFonts w:ascii="Times New Roman" w:eastAsia="Times New Roman" w:hAnsi="Times New Roman" w:cs="Times New Roman"/>
          <w:noProof/>
          <w:sz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vertAlign w:val="superscript"/>
        </w:rPr>
        <w:t>1</w:t>
      </w:r>
      <w:r>
        <w:tab/>
        <w:t>Ú. v. ES L 209, 2.8.1997, s. 6. V tejto správe sa zohľadňujú aj „Špecifikácie implementácie Paktu stability a rastu a usmernenia k forme a obsahu programov stability a konvergenčných programov“, ktoré prijal Hospodársky a finančný výbor 5. júla 2016 a ktoré sú k dispozícii na adrese:</w:t>
      </w:r>
      <w:r>
        <w:tab/>
      </w:r>
      <w:r>
        <w:br/>
      </w:r>
      <w:hyperlink r:id="rId1">
        <w:r>
          <w:rPr>
            <w:rStyle w:val="Hyperlink"/>
          </w:rPr>
          <w:t>http://ec.europa.eu/economy_finance/economic_governance/sg</w:t>
        </w:r>
        <w:bookmarkStart w:id="2" w:name="_Hlt367983414"/>
        <w:r>
          <w:rPr>
            <w:rStyle w:val="Hyperlink"/>
          </w:rPr>
          <w:t>p</w:t>
        </w:r>
        <w:bookmarkEnd w:id="2"/>
        <w:r>
          <w:rPr>
            <w:rStyle w:val="Hyperlink"/>
          </w:rPr>
          <w:t>/legal_texts/index_en.htm</w:t>
        </w:r>
      </w:hyperlink>
      <w:r>
        <w:t>.</w:t>
      </w:r>
    </w:p>
  </w:footnote>
  <w:footnote w:id="3">
    <w:p>
      <w:pPr>
        <w:pStyle w:val="FootnoteText"/>
      </w:pPr>
      <w:r>
        <w:rPr>
          <w:vertAlign w:val="superscript"/>
        </w:rPr>
        <w:t>2</w:t>
      </w:r>
      <w:r>
        <w:tab/>
        <w:t>Nariadenie Európskeho parlamentu a Rady (EÚ) č. 473/2013 o spoločných ustanoveniach o monitorovaní a posudzovaní návrhov rozpočtových plánov a zabezpečení nápravy nadmerného deficitu členských štátov v eurozóne (Ú. v. EÚ L 140, 27.5.2013, s. 11).</w:t>
      </w:r>
    </w:p>
  </w:footnote>
  <w:footnote w:id="4">
    <w:p>
      <w:pPr>
        <w:pStyle w:val="FootnoteText"/>
      </w:pPr>
      <w:r>
        <w:rPr>
          <w:rStyle w:val="FootnoteReference"/>
        </w:rPr>
        <w:footnoteRef/>
      </w:r>
      <w:r>
        <w:t xml:space="preserve"> </w:t>
      </w:r>
      <w:r>
        <w:tab/>
        <w:t>Podmienky „dostatočne sa znižujúci“ a „vyhovujúce tempo“ sa v súlade s článkom 2 ods. 1a nariadenia (ES) č. 1467/97 považujú za splnené, ak „sa rozdiel [pomeru dlhu] vzhľadom na referenčnú hodnotu znižoval za predchádzajúce tri roky priemerným tempom o jednu dvadsatinu ročne ako referenčné kritérium“. V nariadení sa následne stanovuje, že „požiadavka vyplývajúca z dlhového kritéria sa považuje za splnenú aj vtedy, ak sa v rozpočtových prognózach Komisie uvádza, že k požadovanému zníženiu rozdielu dôjde počas trojročného obdobia zahŕňajúceho dva roky nasledujúce po poslednom roku, za ktorý sú údaje k dispozícii“. V nariadení (ES) č. 1467/97 sa ďalej stanovuje, že by sa mal zohľadniť „vplyv cyklu na tempo znižovania dlhu“. Z týchto prvkov vychádza referenčná hodnota pre úpravu pomeru dlhu k HDP stanovená v Kódexe správania týkajúcom sa Paktu stability a rastu a schválená Radou. Dodržanie referenčnej hodnoty pre úpravu pomeru dlhu k HDP sa posudzuje na základe troch rôznych konfigurácií, ktorými sú spätná perspektíva, výhľadová perspektíva a referenčná hodnota pre úpravu pomeru dlhu k HDP prispôsobená vplyvu cyklu.</w:t>
      </w:r>
    </w:p>
  </w:footnote>
  <w:footnote w:id="5">
    <w:p>
      <w:pPr>
        <w:pStyle w:val="FootnoteText"/>
        <w:ind w:left="284" w:hanging="284"/>
      </w:pPr>
      <w:r>
        <w:rPr>
          <w:rStyle w:val="FootnoteReference"/>
        </w:rPr>
        <w:footnoteRef/>
      </w:r>
      <w:r>
        <w:tab/>
        <w:t xml:space="preserve">Podľa nariadenia (ES) č. 479/2009 musia členské štáty Komisii dvakrát ročne oznamovať plánovanú a skutočnú úroveň deficitu a dlhu verejných financií. Najnovšie oznámenie Cypru možno nájsť tu: </w:t>
      </w:r>
      <w:hyperlink r:id="rId2">
        <w:r>
          <w:rPr>
            <w:rStyle w:val="Hyperlink"/>
          </w:rPr>
          <w:t>http://ec.europa.eu/eurostat/web/government-finance-statistics/excessive-deficit-procedure/edp-notification-tables</w:t>
        </w:r>
      </w:hyperlink>
      <w:r>
        <w:t>.</w:t>
      </w:r>
    </w:p>
  </w:footnote>
  <w:footnote w:id="6">
    <w:p>
      <w:pPr>
        <w:pStyle w:val="FootnoteText"/>
        <w:ind w:left="284" w:hanging="284"/>
      </w:pPr>
      <w:r>
        <w:rPr>
          <w:rStyle w:val="FootnoteReference"/>
        </w:rPr>
        <w:footnoteRef/>
      </w:r>
      <w:r>
        <w:tab/>
        <w:t xml:space="preserve">Tlačová správa Eurostatu č. 67/2019, </w:t>
      </w:r>
      <w:hyperlink r:id="rId3">
        <w:r>
          <w:rPr>
            <w:rStyle w:val="Hyperlink"/>
          </w:rPr>
          <w:t>https://ec.europa.eu/eurostat/documents/2995521/9731224/2-23042019-AP-EN/bb78015c-c547-4b7d-b2f7-4fffe7bcdfad</w:t>
        </w:r>
      </w:hyperlink>
      <w:r>
        <w:t xml:space="preserve">. </w:t>
      </w:r>
    </w:p>
  </w:footnote>
  <w:footnote w:id="7">
    <w:p>
      <w:pPr>
        <w:pStyle w:val="FootnoteText"/>
      </w:pPr>
      <w:r>
        <w:rPr>
          <w:rStyle w:val="FootnoteReference"/>
        </w:rPr>
        <w:footnoteRef/>
      </w:r>
      <w:r>
        <w:t xml:space="preserve"> </w:t>
      </w:r>
      <w:r>
        <w:tab/>
        <w:t>Ďalšie informácie nájdete v správe o fiškálnej udržateľnosti v roku 2018 (</w:t>
      </w:r>
      <w:r>
        <w:rPr>
          <w:i/>
        </w:rPr>
        <w:t>Fiscal Sustainability Report 2018</w:t>
      </w:r>
      <w:r>
        <w:t>), European Economy Institutional Paper, č. 094.</w:t>
      </w:r>
    </w:p>
  </w:footnote>
  <w:footnote w:id="8">
    <w:p>
      <w:pPr>
        <w:pStyle w:val="FootnoteText"/>
      </w:pPr>
      <w:r>
        <w:rPr>
          <w:rStyle w:val="FootnoteReference"/>
        </w:rPr>
        <w:footnoteRef/>
      </w:r>
      <w:r>
        <w:t xml:space="preserve"> </w:t>
      </w:r>
      <w:r>
        <w:tab/>
        <w:t>Táto analýza udržateľnosti dlhovej služby vychádza z prognózy Komisie z jari 2019 (na roky 2019 a 2020). Na obdobie po roku 2020 sa analýza zakladá na týchto štandardných predpokladoch v rámci metodiky Komisie: i) štrukturálne primárne saldo pred zohľadnením nákladov súvisiacich so starnutím sa udržiava v prebytku vo výške 2,7 % HDP za predpokladu, že sa fiškálna politika nijako nezmení;  ii) inflácia sa do roku 2023 priblíži k 2,0 % a následne zostáva stabilná; iii) reálna dlhodobá úroková miera na nový a obnovený dlh sa na konci 10-ročného obdobia prognózy lineárne približuje k 3 % (nominálne k 5 %) v súlade s predpokladmi pracovnej skupiny pre starnutie obyvateľstva Výboru pre hospodársku politiku; iv) reálny HDP rastie v miere predpokladanej v súlade s metódami dohodnutými spoločne s pracovnou skupinou pre produkčné medzery Výboru pre hospodársku politiku až do t+10 a následne rastie v súlade s predpokladmi pracovnej skupiny pre starnutie obyvateľstva Európskej komisie (priemerné tempo približne 1,5 % v rokoch 2018 – 2029) a v) náklady súvisiace so starnutím sa vyvíjajú v súlade s predpokladmi Správy o starnutí obyvateľstva z roku 2018.</w:t>
      </w:r>
    </w:p>
  </w:footnote>
  <w:footnote w:id="9">
    <w:p>
      <w:pPr>
        <w:pStyle w:val="FootnoteText"/>
      </w:pPr>
      <w:r>
        <w:rPr>
          <w:rStyle w:val="FootnoteReference"/>
        </w:rPr>
        <w:footnoteRef/>
      </w:r>
      <w:r>
        <w:t xml:space="preserve"> </w:t>
      </w:r>
      <w:r>
        <w:tab/>
        <w:t xml:space="preserve">Národný program reforiem Cypru, 2019. </w:t>
      </w:r>
      <w:hyperlink r:id="rId4" w:history="1">
        <w:r>
          <w:rPr>
            <w:rStyle w:val="Hyperlink"/>
          </w:rPr>
          <w:t>https://ec.europa.eu/info/sites/info/files/2019-european-semester-national-reform-programme-cyprus-en.pdf</w:t>
        </w:r>
      </w:hyperlink>
      <w:r>
        <w:rPr>
          <w:rStyle w:val="Hyperlink"/>
        </w:rPr>
        <w:t>.</w:t>
      </w:r>
    </w:p>
  </w:footnote>
  <w:footnote w:id="10">
    <w:p>
      <w:pPr>
        <w:pStyle w:val="FootnoteText"/>
      </w:pPr>
      <w:r>
        <w:rPr>
          <w:rStyle w:val="FootnoteReference"/>
        </w:rPr>
        <w:footnoteRef/>
      </w:r>
      <w:r>
        <w:t xml:space="preserve"> </w:t>
      </w:r>
      <w:r>
        <w:tab/>
      </w:r>
      <w:hyperlink r:id="rId5">
        <w:r>
          <w:rPr>
            <w:rStyle w:val="Hyperlink"/>
          </w:rPr>
          <w:t>https://eur-lex.europa.eu/legal-content/SK/TXT/PDF/?uri=CELEX:32018H0910(12)&amp;from=SK</w:t>
        </w:r>
      </w:hyperlink>
      <w:r>
        <w:rPr>
          <w:rStyle w:val="Hyperlink"/>
        </w:rPr>
        <w:t>.</w:t>
      </w:r>
    </w:p>
  </w:footnote>
  <w:footnote w:id="11">
    <w:p>
      <w:pPr>
        <w:pStyle w:val="FootnoteText"/>
      </w:pPr>
      <w:r>
        <w:rPr>
          <w:rStyle w:val="FootnoteReference"/>
        </w:rPr>
        <w:footnoteRef/>
      </w:r>
      <w:r>
        <w:t xml:space="preserve"> </w:t>
      </w:r>
      <w:r>
        <w:tab/>
        <w:t xml:space="preserve">Správa o Cypre, 2019. </w:t>
      </w:r>
      <w:hyperlink r:id="rId6" w:history="1">
        <w:r>
          <w:rPr>
            <w:rStyle w:val="Hyperlink"/>
          </w:rPr>
          <w:t>https://ec.europa.eu/info/sites/info/files/file_import/2019-european-semester-country-report-cyprus_en.pdf</w:t>
        </w:r>
      </w:hyperlink>
      <w:r>
        <w:t>.</w:t>
      </w:r>
    </w:p>
  </w:footnote>
  <w:footnote w:id="12">
    <w:p>
      <w:pPr>
        <w:pStyle w:val="FootnoteText"/>
      </w:pPr>
      <w:r>
        <w:rPr>
          <w:rStyle w:val="FootnoteReference"/>
        </w:rPr>
        <w:footnoteRef/>
      </w:r>
      <w:r>
        <w:t xml:space="preserve"> </w:t>
      </w:r>
      <w:r>
        <w:tab/>
        <w:t>Vplyv opatrení na podporu bankového sektora súvisiacich s Cyperskou družstevnou bankou vo výške 1,7 miliardy EUR na fiškálne účty verejnej správy v roku 2018 sa prevažne vypočíta takto:  i) prevod kapitálu vo výške 710 miliónov EUR ako výsledok nadobúdacej hodnoty (2,17 miliardy EUR) mínus skutočná ekonomická hodnota zlyhaných úverov, ktoré prijali nové subjekty (1,46 miliardy EUR ako výsledok skutočnej ekonomickej hodnoty nominálnej hodnoty zlyhaných úverov, t. j. 20,94 % zo 6,97 miliardy EUR); ii) investície vo výške približne 670 miliónov EUR, čo zodpovedá fixnému kapitálu získanému ako kolaterál od bývalej Cyperskej družstevnej banky; iii) záruka, ktorú získala Helénska banka (t. j. prevod kapitálu), vo výške 155 miliónov EUR a iv) program dobrovoľného odchodu zamestnancov (náhrady za skorý odchod do dôchodku) pre zamestnancov Cyperskej družstevnej banky (t. j. prevod kapitálu) vo výške 133 miliónov EUR.</w:t>
      </w:r>
    </w:p>
  </w:footnote>
  <w:footnote w:id="13">
    <w:p>
      <w:pPr>
        <w:pStyle w:val="FootnoteText"/>
      </w:pPr>
      <w:r>
        <w:rPr>
          <w:rStyle w:val="FootnoteReference"/>
        </w:rPr>
        <w:footnoteRef/>
      </w:r>
      <w:r>
        <w:t xml:space="preserve"> </w:t>
      </w:r>
      <w:r>
        <w:tab/>
        <w:t>V stanovisku Komisie sa však zdôraznilo, že návrh rozpočtového plánu na rok 2019 a prognóza Komisie z jesene 2018 ešte nezahŕňali (jednorazový) vplyv opatrení na podporu bankového sektora súvisiacich s Cyperskou družstevnou bankou na saldo verejných financií v roku 2018 v podobe zvýšeného deficitu.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4">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2">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0">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6">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0">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1">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2">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4">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5">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4"/>
  </w:num>
  <w:num w:numId="2">
    <w:abstractNumId w:val="32"/>
  </w:num>
  <w:num w:numId="3">
    <w:abstractNumId w:val="7"/>
  </w:num>
  <w:num w:numId="4">
    <w:abstractNumId w:val="2"/>
  </w:num>
  <w:num w:numId="5">
    <w:abstractNumId w:val="1"/>
  </w:num>
  <w:num w:numId="6">
    <w:abstractNumId w:val="29"/>
  </w:num>
  <w:num w:numId="7">
    <w:abstractNumId w:val="3"/>
  </w:num>
  <w:num w:numId="8">
    <w:abstractNumId w:val="11"/>
  </w:num>
  <w:num w:numId="9">
    <w:abstractNumId w:val="35"/>
  </w:num>
  <w:num w:numId="10">
    <w:abstractNumId w:val="12"/>
  </w:num>
  <w:num w:numId="11">
    <w:abstractNumId w:val="25"/>
  </w:num>
  <w:num w:numId="12">
    <w:abstractNumId w:val="19"/>
  </w:num>
  <w:num w:numId="13">
    <w:abstractNumId w:val="31"/>
  </w:num>
  <w:num w:numId="14">
    <w:abstractNumId w:val="34"/>
  </w:num>
  <w:num w:numId="15">
    <w:abstractNumId w:val="23"/>
  </w:num>
  <w:num w:numId="16">
    <w:abstractNumId w:val="13"/>
  </w:num>
  <w:num w:numId="17">
    <w:abstractNumId w:val="28"/>
  </w:num>
  <w:num w:numId="18">
    <w:abstractNumId w:val="9"/>
  </w:num>
  <w:num w:numId="19">
    <w:abstractNumId w:val="14"/>
  </w:num>
  <w:num w:numId="20">
    <w:abstractNumId w:val="6"/>
  </w:num>
  <w:num w:numId="21">
    <w:abstractNumId w:val="27"/>
  </w:num>
  <w:num w:numId="22">
    <w:abstractNumId w:val="5"/>
  </w:num>
  <w:num w:numId="23">
    <w:abstractNumId w:val="15"/>
  </w:num>
  <w:num w:numId="24">
    <w:abstractNumId w:val="21"/>
  </w:num>
  <w:num w:numId="25">
    <w:abstractNumId w:val="22"/>
  </w:num>
  <w:num w:numId="26">
    <w:abstractNumId w:val="8"/>
  </w:num>
  <w:num w:numId="27">
    <w:abstractNumId w:val="18"/>
  </w:num>
  <w:num w:numId="28">
    <w:abstractNumId w:val="33"/>
  </w:num>
  <w:num w:numId="29">
    <w:abstractNumId w:val="0"/>
  </w:num>
  <w:num w:numId="30">
    <w:abstractNumId w:val="16"/>
  </w:num>
  <w:num w:numId="31">
    <w:abstractNumId w:val="26"/>
  </w:num>
  <w:num w:numId="32">
    <w:abstractNumId w:val="10"/>
  </w:num>
  <w:num w:numId="33">
    <w:abstractNumId w:val="20"/>
  </w:num>
  <w:num w:numId="34">
    <w:abstractNumId w:val="4"/>
  </w:num>
  <w:num w:numId="35">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A033A70-24E1-4DCB-A308-49639F036763"/>
    <w:docVar w:name="LW_COVERPAGE_TYPE" w:val="1"/>
    <w:docVar w:name="LW_CROSSREFERENCE" w:val="&lt;UNUSED&gt;"/>
    <w:docVar w:name="LW_DocType" w:val="NORMAL"/>
    <w:docVar w:name="LW_EMISSION" w:val="5. 6. 2019"/>
    <w:docVar w:name="LW_EMISSION_ISODATE" w:val="2019-06-05"/>
    <w:docVar w:name="LW_EMISSION_LOCATION" w:val="BRX"/>
    <w:docVar w:name="LW_EMISSION_PREFIX" w:val="V Bruseli"/>
    <w:docVar w:name="LW_EMISSION_SUFFIX" w:val=" "/>
    <w:docVar w:name="LW_ID_DOCTYPE_NONLW" w:val="CP-003"/>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5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Cyprus_x000b__x000b_Správa vypracovaná v súlade s \u269?lánkom 126 ods. 3 Zmluvy o fungovaní Európskej únie"/>
    <w:docVar w:name="LW_TYPE.DOC.CP" w:val="SPRÁVA KOMISI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sk-SK"/>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sk-SK"/>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sk-SK"/>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sk-SK"/>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rPr>
  </w:style>
  <w:style w:type="paragraph" w:customStyle="1" w:styleId="ListNumber1">
    <w:name w:val="List Number 1"/>
    <w:basedOn w:val="Text1"/>
    <w:pPr>
      <w:numPr>
        <w:numId w:val="2"/>
      </w:numPr>
    </w:p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rPr>
  </w:style>
  <w:style w:type="paragraph" w:customStyle="1" w:styleId="ListNumber1Level2">
    <w:name w:val="List Number 1 (Level 2)"/>
    <w:basedOn w:val="Text1"/>
    <w:pPr>
      <w:numPr>
        <w:ilvl w:val="1"/>
        <w:numId w:val="2"/>
      </w:numPr>
    </w:pPr>
  </w:style>
  <w:style w:type="paragraph" w:customStyle="1" w:styleId="ListNumber2Level2">
    <w:name w:val="List Number 2 (Level 2)"/>
    <w:basedOn w:val="Text2"/>
    <w:pPr>
      <w:numPr>
        <w:ilvl w:val="1"/>
        <w:numId w:val="3"/>
      </w:numPr>
    </w:pPr>
  </w:style>
  <w:style w:type="paragraph" w:customStyle="1" w:styleId="ListNumber3Level2">
    <w:name w:val="List Number 3 (Level 2)"/>
    <w:basedOn w:val="Text3"/>
    <w:pPr>
      <w:numPr>
        <w:ilvl w:val="1"/>
        <w:numId w:val="4"/>
      </w:numPr>
    </w:pPr>
  </w:style>
  <w:style w:type="paragraph" w:customStyle="1" w:styleId="ListNumber4Level2">
    <w:name w:val="List Number 4 (Level 2)"/>
    <w:basedOn w:val="Text4"/>
    <w:pPr>
      <w:numPr>
        <w:ilvl w:val="1"/>
        <w:numId w:val="5"/>
      </w:numPr>
    </w:p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rPr>
  </w:style>
  <w:style w:type="paragraph" w:customStyle="1" w:styleId="ListNumber1Level3">
    <w:name w:val="List Number 1 (Level 3)"/>
    <w:basedOn w:val="Text1"/>
    <w:pPr>
      <w:numPr>
        <w:ilvl w:val="2"/>
        <w:numId w:val="2"/>
      </w:numPr>
    </w:pPr>
  </w:style>
  <w:style w:type="paragraph" w:customStyle="1" w:styleId="ListNumber2Level3">
    <w:name w:val="List Number 2 (Level 3)"/>
    <w:basedOn w:val="Text2"/>
    <w:pPr>
      <w:numPr>
        <w:ilvl w:val="2"/>
        <w:numId w:val="3"/>
      </w:numPr>
    </w:pPr>
  </w:style>
  <w:style w:type="paragraph" w:customStyle="1" w:styleId="ListNumber3Level3">
    <w:name w:val="List Number 3 (Level 3)"/>
    <w:basedOn w:val="Text3"/>
    <w:pPr>
      <w:numPr>
        <w:ilvl w:val="2"/>
        <w:numId w:val="4"/>
      </w:numPr>
    </w:pPr>
  </w:style>
  <w:style w:type="paragraph" w:customStyle="1" w:styleId="ListNumber4Level3">
    <w:name w:val="List Number 4 (Level 3)"/>
    <w:basedOn w:val="Text4"/>
    <w:pPr>
      <w:numPr>
        <w:ilvl w:val="2"/>
        <w:numId w:val="5"/>
      </w:numPr>
    </w:p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rPr>
  </w:style>
  <w:style w:type="paragraph" w:customStyle="1" w:styleId="ListNumber1Level4">
    <w:name w:val="List Number 1 (Level 4)"/>
    <w:basedOn w:val="Text1"/>
    <w:pPr>
      <w:numPr>
        <w:ilvl w:val="3"/>
        <w:numId w:val="2"/>
      </w:numPr>
    </w:pPr>
  </w:style>
  <w:style w:type="paragraph" w:customStyle="1" w:styleId="ListNumber2Level4">
    <w:name w:val="List Number 2 (Level 4)"/>
    <w:basedOn w:val="Text2"/>
    <w:pPr>
      <w:numPr>
        <w:ilvl w:val="3"/>
        <w:numId w:val="3"/>
      </w:numPr>
    </w:pPr>
  </w:style>
  <w:style w:type="paragraph" w:customStyle="1" w:styleId="ListNumber3Level4">
    <w:name w:val="List Number 3 (Level 4)"/>
    <w:basedOn w:val="Text3"/>
    <w:pPr>
      <w:numPr>
        <w:ilvl w:val="3"/>
        <w:numId w:val="4"/>
      </w:numPr>
    </w:pPr>
  </w:style>
  <w:style w:type="paragraph" w:customStyle="1" w:styleId="ListNumber4Level4">
    <w:name w:val="List Number 4 (Level 4)"/>
    <w:basedOn w:val="Text4"/>
    <w:pPr>
      <w:numPr>
        <w:ilvl w:val="3"/>
        <w:numId w:val="5"/>
      </w:numPr>
    </w:p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sk-SK"/>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sk-SK"/>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sk-SK"/>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sk-SK"/>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sk-SK"/>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rPr>
  </w:style>
  <w:style w:type="character" w:customStyle="1" w:styleId="TypedudocumentChar">
    <w:name w:val="Type du document Char"/>
    <w:link w:val="Typedudocument"/>
    <w:rPr>
      <w:rFonts w:ascii="Times New Roman" w:eastAsia="Times New Roman" w:hAnsi="Times New Roman" w:cs="Times New Roman"/>
      <w:b/>
      <w:sz w:val="24"/>
      <w:lang w:eastAsia="sk-SK"/>
    </w:rPr>
  </w:style>
  <w:style w:type="paragraph" w:styleId="NoSpacing">
    <w:name w:val="No Spacing"/>
    <w:uiPriority w:val="1"/>
    <w:qFormat/>
    <w:pPr>
      <w:spacing w:after="0" w:line="240" w:lineRule="auto"/>
      <w:jc w:val="both"/>
    </w:pPr>
    <w:rPr>
      <w:rFonts w:ascii="Times New Roman" w:eastAsia="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sk-SK"/>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sk-SK"/>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sk-SK"/>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sk-SK"/>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rPr>
  </w:style>
  <w:style w:type="paragraph" w:customStyle="1" w:styleId="ListNumber1">
    <w:name w:val="List Number 1"/>
    <w:basedOn w:val="Text1"/>
    <w:pPr>
      <w:numPr>
        <w:numId w:val="2"/>
      </w:numPr>
    </w:p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rPr>
  </w:style>
  <w:style w:type="paragraph" w:customStyle="1" w:styleId="ListNumber1Level2">
    <w:name w:val="List Number 1 (Level 2)"/>
    <w:basedOn w:val="Text1"/>
    <w:pPr>
      <w:numPr>
        <w:ilvl w:val="1"/>
        <w:numId w:val="2"/>
      </w:numPr>
    </w:pPr>
  </w:style>
  <w:style w:type="paragraph" w:customStyle="1" w:styleId="ListNumber2Level2">
    <w:name w:val="List Number 2 (Level 2)"/>
    <w:basedOn w:val="Text2"/>
    <w:pPr>
      <w:numPr>
        <w:ilvl w:val="1"/>
        <w:numId w:val="3"/>
      </w:numPr>
    </w:pPr>
  </w:style>
  <w:style w:type="paragraph" w:customStyle="1" w:styleId="ListNumber3Level2">
    <w:name w:val="List Number 3 (Level 2)"/>
    <w:basedOn w:val="Text3"/>
    <w:pPr>
      <w:numPr>
        <w:ilvl w:val="1"/>
        <w:numId w:val="4"/>
      </w:numPr>
    </w:pPr>
  </w:style>
  <w:style w:type="paragraph" w:customStyle="1" w:styleId="ListNumber4Level2">
    <w:name w:val="List Number 4 (Level 2)"/>
    <w:basedOn w:val="Text4"/>
    <w:pPr>
      <w:numPr>
        <w:ilvl w:val="1"/>
        <w:numId w:val="5"/>
      </w:numPr>
    </w:p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rPr>
  </w:style>
  <w:style w:type="paragraph" w:customStyle="1" w:styleId="ListNumber1Level3">
    <w:name w:val="List Number 1 (Level 3)"/>
    <w:basedOn w:val="Text1"/>
    <w:pPr>
      <w:numPr>
        <w:ilvl w:val="2"/>
        <w:numId w:val="2"/>
      </w:numPr>
    </w:pPr>
  </w:style>
  <w:style w:type="paragraph" w:customStyle="1" w:styleId="ListNumber2Level3">
    <w:name w:val="List Number 2 (Level 3)"/>
    <w:basedOn w:val="Text2"/>
    <w:pPr>
      <w:numPr>
        <w:ilvl w:val="2"/>
        <w:numId w:val="3"/>
      </w:numPr>
    </w:pPr>
  </w:style>
  <w:style w:type="paragraph" w:customStyle="1" w:styleId="ListNumber3Level3">
    <w:name w:val="List Number 3 (Level 3)"/>
    <w:basedOn w:val="Text3"/>
    <w:pPr>
      <w:numPr>
        <w:ilvl w:val="2"/>
        <w:numId w:val="4"/>
      </w:numPr>
    </w:pPr>
  </w:style>
  <w:style w:type="paragraph" w:customStyle="1" w:styleId="ListNumber4Level3">
    <w:name w:val="List Number 4 (Level 3)"/>
    <w:basedOn w:val="Text4"/>
    <w:pPr>
      <w:numPr>
        <w:ilvl w:val="2"/>
        <w:numId w:val="5"/>
      </w:numPr>
    </w:p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rPr>
  </w:style>
  <w:style w:type="paragraph" w:customStyle="1" w:styleId="ListNumber1Level4">
    <w:name w:val="List Number 1 (Level 4)"/>
    <w:basedOn w:val="Text1"/>
    <w:pPr>
      <w:numPr>
        <w:ilvl w:val="3"/>
        <w:numId w:val="2"/>
      </w:numPr>
    </w:pPr>
  </w:style>
  <w:style w:type="paragraph" w:customStyle="1" w:styleId="ListNumber2Level4">
    <w:name w:val="List Number 2 (Level 4)"/>
    <w:basedOn w:val="Text2"/>
    <w:pPr>
      <w:numPr>
        <w:ilvl w:val="3"/>
        <w:numId w:val="3"/>
      </w:numPr>
    </w:pPr>
  </w:style>
  <w:style w:type="paragraph" w:customStyle="1" w:styleId="ListNumber3Level4">
    <w:name w:val="List Number 3 (Level 4)"/>
    <w:basedOn w:val="Text3"/>
    <w:pPr>
      <w:numPr>
        <w:ilvl w:val="3"/>
        <w:numId w:val="4"/>
      </w:numPr>
    </w:pPr>
  </w:style>
  <w:style w:type="paragraph" w:customStyle="1" w:styleId="ListNumber4Level4">
    <w:name w:val="List Number 4 (Level 4)"/>
    <w:basedOn w:val="Text4"/>
    <w:pPr>
      <w:numPr>
        <w:ilvl w:val="3"/>
        <w:numId w:val="5"/>
      </w:numPr>
    </w:p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sk-SK"/>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sk-SK"/>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sk-SK"/>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sk-SK"/>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sk-SK"/>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rPr>
  </w:style>
  <w:style w:type="character" w:customStyle="1" w:styleId="TypedudocumentChar">
    <w:name w:val="Type du document Char"/>
    <w:link w:val="Typedudocument"/>
    <w:rPr>
      <w:rFonts w:ascii="Times New Roman" w:eastAsia="Times New Roman" w:hAnsi="Times New Roman" w:cs="Times New Roman"/>
      <w:b/>
      <w:sz w:val="24"/>
      <w:lang w:eastAsia="sk-SK"/>
    </w:rPr>
  </w:style>
  <w:style w:type="paragraph" w:styleId="NoSpacing">
    <w:name w:val="No Spacing"/>
    <w:uiPriority w:val="1"/>
    <w:qFormat/>
    <w:pPr>
      <w:spacing w:after="0" w:line="240" w:lineRule="auto"/>
      <w:jc w:val="both"/>
    </w:pPr>
    <w:rPr>
      <w:rFonts w:ascii="Times New Roman" w:eastAsia="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3640">
      <w:bodyDiv w:val="1"/>
      <w:marLeft w:val="0"/>
      <w:marRight w:val="0"/>
      <w:marTop w:val="0"/>
      <w:marBottom w:val="0"/>
      <w:divBdr>
        <w:top w:val="none" w:sz="0" w:space="0" w:color="auto"/>
        <w:left w:val="none" w:sz="0" w:space="0" w:color="auto"/>
        <w:bottom w:val="none" w:sz="0" w:space="0" w:color="auto"/>
        <w:right w:val="none" w:sz="0" w:space="0" w:color="auto"/>
      </w:divBdr>
      <w:divsChild>
        <w:div w:id="482164058">
          <w:marLeft w:val="0"/>
          <w:marRight w:val="0"/>
          <w:marTop w:val="0"/>
          <w:marBottom w:val="0"/>
          <w:divBdr>
            <w:top w:val="none" w:sz="0" w:space="0" w:color="auto"/>
            <w:left w:val="none" w:sz="0" w:space="0" w:color="auto"/>
            <w:bottom w:val="none" w:sz="0" w:space="0" w:color="auto"/>
            <w:right w:val="none" w:sz="0" w:space="0" w:color="auto"/>
          </w:divBdr>
        </w:div>
        <w:div w:id="881669523">
          <w:marLeft w:val="0"/>
          <w:marRight w:val="0"/>
          <w:marTop w:val="0"/>
          <w:marBottom w:val="0"/>
          <w:divBdr>
            <w:top w:val="none" w:sz="0" w:space="0" w:color="auto"/>
            <w:left w:val="none" w:sz="0" w:space="0" w:color="auto"/>
            <w:bottom w:val="none" w:sz="0" w:space="0" w:color="auto"/>
            <w:right w:val="none" w:sz="0" w:space="0" w:color="auto"/>
          </w:divBdr>
        </w:div>
        <w:div w:id="1483084069">
          <w:marLeft w:val="0"/>
          <w:marRight w:val="0"/>
          <w:marTop w:val="0"/>
          <w:marBottom w:val="0"/>
          <w:divBdr>
            <w:top w:val="none" w:sz="0" w:space="0" w:color="auto"/>
            <w:left w:val="none" w:sz="0" w:space="0" w:color="auto"/>
            <w:bottom w:val="none" w:sz="0" w:space="0" w:color="auto"/>
            <w:right w:val="none" w:sz="0" w:space="0" w:color="auto"/>
          </w:divBdr>
        </w:div>
        <w:div w:id="1428649158">
          <w:marLeft w:val="0"/>
          <w:marRight w:val="0"/>
          <w:marTop w:val="0"/>
          <w:marBottom w:val="0"/>
          <w:divBdr>
            <w:top w:val="none" w:sz="0" w:space="0" w:color="auto"/>
            <w:left w:val="none" w:sz="0" w:space="0" w:color="auto"/>
            <w:bottom w:val="none" w:sz="0" w:space="0" w:color="auto"/>
            <w:right w:val="none" w:sz="0" w:space="0" w:color="auto"/>
          </w:divBdr>
        </w:div>
      </w:divsChild>
    </w:div>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247617896">
      <w:bodyDiv w:val="1"/>
      <w:marLeft w:val="0"/>
      <w:marRight w:val="0"/>
      <w:marTop w:val="0"/>
      <w:marBottom w:val="0"/>
      <w:divBdr>
        <w:top w:val="none" w:sz="0" w:space="0" w:color="auto"/>
        <w:left w:val="none" w:sz="0" w:space="0" w:color="auto"/>
        <w:bottom w:val="none" w:sz="0" w:space="0" w:color="auto"/>
        <w:right w:val="none" w:sz="0" w:space="0" w:color="auto"/>
      </w:divBdr>
      <w:divsChild>
        <w:div w:id="681517605">
          <w:marLeft w:val="0"/>
          <w:marRight w:val="0"/>
          <w:marTop w:val="0"/>
          <w:marBottom w:val="0"/>
          <w:divBdr>
            <w:top w:val="none" w:sz="0" w:space="0" w:color="auto"/>
            <w:left w:val="none" w:sz="0" w:space="0" w:color="auto"/>
            <w:bottom w:val="none" w:sz="0" w:space="0" w:color="auto"/>
            <w:right w:val="none" w:sz="0" w:space="0" w:color="auto"/>
          </w:divBdr>
        </w:div>
        <w:div w:id="1813911224">
          <w:marLeft w:val="0"/>
          <w:marRight w:val="0"/>
          <w:marTop w:val="0"/>
          <w:marBottom w:val="0"/>
          <w:divBdr>
            <w:top w:val="none" w:sz="0" w:space="0" w:color="auto"/>
            <w:left w:val="none" w:sz="0" w:space="0" w:color="auto"/>
            <w:bottom w:val="none" w:sz="0" w:space="0" w:color="auto"/>
            <w:right w:val="none" w:sz="0" w:space="0" w:color="auto"/>
          </w:divBdr>
        </w:div>
      </w:divsChild>
    </w:div>
    <w:div w:id="250434387">
      <w:bodyDiv w:val="1"/>
      <w:marLeft w:val="0"/>
      <w:marRight w:val="0"/>
      <w:marTop w:val="0"/>
      <w:marBottom w:val="0"/>
      <w:divBdr>
        <w:top w:val="none" w:sz="0" w:space="0" w:color="auto"/>
        <w:left w:val="none" w:sz="0" w:space="0" w:color="auto"/>
        <w:bottom w:val="none" w:sz="0" w:space="0" w:color="auto"/>
        <w:right w:val="none" w:sz="0" w:space="0" w:color="auto"/>
      </w:divBdr>
      <w:divsChild>
        <w:div w:id="1496722564">
          <w:marLeft w:val="0"/>
          <w:marRight w:val="0"/>
          <w:marTop w:val="0"/>
          <w:marBottom w:val="0"/>
          <w:divBdr>
            <w:top w:val="none" w:sz="0" w:space="0" w:color="auto"/>
            <w:left w:val="none" w:sz="0" w:space="0" w:color="auto"/>
            <w:bottom w:val="none" w:sz="0" w:space="0" w:color="auto"/>
            <w:right w:val="none" w:sz="0" w:space="0" w:color="auto"/>
          </w:divBdr>
        </w:div>
        <w:div w:id="1630667843">
          <w:marLeft w:val="0"/>
          <w:marRight w:val="0"/>
          <w:marTop w:val="0"/>
          <w:marBottom w:val="0"/>
          <w:divBdr>
            <w:top w:val="none" w:sz="0" w:space="0" w:color="auto"/>
            <w:left w:val="none" w:sz="0" w:space="0" w:color="auto"/>
            <w:bottom w:val="none" w:sz="0" w:space="0" w:color="auto"/>
            <w:right w:val="none" w:sz="0" w:space="0" w:color="auto"/>
          </w:divBdr>
        </w:div>
        <w:div w:id="350569642">
          <w:marLeft w:val="0"/>
          <w:marRight w:val="0"/>
          <w:marTop w:val="0"/>
          <w:marBottom w:val="0"/>
          <w:divBdr>
            <w:top w:val="none" w:sz="0" w:space="0" w:color="auto"/>
            <w:left w:val="none" w:sz="0" w:space="0" w:color="auto"/>
            <w:bottom w:val="none" w:sz="0" w:space="0" w:color="auto"/>
            <w:right w:val="none" w:sz="0" w:space="0" w:color="auto"/>
          </w:divBdr>
        </w:div>
        <w:div w:id="1021784292">
          <w:marLeft w:val="0"/>
          <w:marRight w:val="0"/>
          <w:marTop w:val="0"/>
          <w:marBottom w:val="0"/>
          <w:divBdr>
            <w:top w:val="none" w:sz="0" w:space="0" w:color="auto"/>
            <w:left w:val="none" w:sz="0" w:space="0" w:color="auto"/>
            <w:bottom w:val="none" w:sz="0" w:space="0" w:color="auto"/>
            <w:right w:val="none" w:sz="0" w:space="0" w:color="auto"/>
          </w:divBdr>
        </w:div>
        <w:div w:id="643656409">
          <w:marLeft w:val="0"/>
          <w:marRight w:val="0"/>
          <w:marTop w:val="0"/>
          <w:marBottom w:val="0"/>
          <w:divBdr>
            <w:top w:val="none" w:sz="0" w:space="0" w:color="auto"/>
            <w:left w:val="none" w:sz="0" w:space="0" w:color="auto"/>
            <w:bottom w:val="none" w:sz="0" w:space="0" w:color="auto"/>
            <w:right w:val="none" w:sz="0" w:space="0" w:color="auto"/>
          </w:divBdr>
        </w:div>
        <w:div w:id="781413060">
          <w:marLeft w:val="0"/>
          <w:marRight w:val="0"/>
          <w:marTop w:val="0"/>
          <w:marBottom w:val="0"/>
          <w:divBdr>
            <w:top w:val="none" w:sz="0" w:space="0" w:color="auto"/>
            <w:left w:val="none" w:sz="0" w:space="0" w:color="auto"/>
            <w:bottom w:val="none" w:sz="0" w:space="0" w:color="auto"/>
            <w:right w:val="none" w:sz="0" w:space="0" w:color="auto"/>
          </w:divBdr>
        </w:div>
        <w:div w:id="359163288">
          <w:marLeft w:val="0"/>
          <w:marRight w:val="0"/>
          <w:marTop w:val="0"/>
          <w:marBottom w:val="0"/>
          <w:divBdr>
            <w:top w:val="none" w:sz="0" w:space="0" w:color="auto"/>
            <w:left w:val="none" w:sz="0" w:space="0" w:color="auto"/>
            <w:bottom w:val="none" w:sz="0" w:space="0" w:color="auto"/>
            <w:right w:val="none" w:sz="0" w:space="0" w:color="auto"/>
          </w:divBdr>
        </w:div>
        <w:div w:id="429397179">
          <w:marLeft w:val="0"/>
          <w:marRight w:val="0"/>
          <w:marTop w:val="0"/>
          <w:marBottom w:val="0"/>
          <w:divBdr>
            <w:top w:val="none" w:sz="0" w:space="0" w:color="auto"/>
            <w:left w:val="none" w:sz="0" w:space="0" w:color="auto"/>
            <w:bottom w:val="none" w:sz="0" w:space="0" w:color="auto"/>
            <w:right w:val="none" w:sz="0" w:space="0" w:color="auto"/>
          </w:divBdr>
        </w:div>
        <w:div w:id="1549998132">
          <w:marLeft w:val="0"/>
          <w:marRight w:val="0"/>
          <w:marTop w:val="0"/>
          <w:marBottom w:val="0"/>
          <w:divBdr>
            <w:top w:val="none" w:sz="0" w:space="0" w:color="auto"/>
            <w:left w:val="none" w:sz="0" w:space="0" w:color="auto"/>
            <w:bottom w:val="none" w:sz="0" w:space="0" w:color="auto"/>
            <w:right w:val="none" w:sz="0" w:space="0" w:color="auto"/>
          </w:divBdr>
        </w:div>
        <w:div w:id="174543188">
          <w:marLeft w:val="0"/>
          <w:marRight w:val="0"/>
          <w:marTop w:val="0"/>
          <w:marBottom w:val="0"/>
          <w:divBdr>
            <w:top w:val="none" w:sz="0" w:space="0" w:color="auto"/>
            <w:left w:val="none" w:sz="0" w:space="0" w:color="auto"/>
            <w:bottom w:val="none" w:sz="0" w:space="0" w:color="auto"/>
            <w:right w:val="none" w:sz="0" w:space="0" w:color="auto"/>
          </w:divBdr>
        </w:div>
        <w:div w:id="357127273">
          <w:marLeft w:val="0"/>
          <w:marRight w:val="0"/>
          <w:marTop w:val="0"/>
          <w:marBottom w:val="0"/>
          <w:divBdr>
            <w:top w:val="none" w:sz="0" w:space="0" w:color="auto"/>
            <w:left w:val="none" w:sz="0" w:space="0" w:color="auto"/>
            <w:bottom w:val="none" w:sz="0" w:space="0" w:color="auto"/>
            <w:right w:val="none" w:sz="0" w:space="0" w:color="auto"/>
          </w:divBdr>
        </w:div>
        <w:div w:id="1472215258">
          <w:marLeft w:val="0"/>
          <w:marRight w:val="0"/>
          <w:marTop w:val="0"/>
          <w:marBottom w:val="0"/>
          <w:divBdr>
            <w:top w:val="none" w:sz="0" w:space="0" w:color="auto"/>
            <w:left w:val="none" w:sz="0" w:space="0" w:color="auto"/>
            <w:bottom w:val="none" w:sz="0" w:space="0" w:color="auto"/>
            <w:right w:val="none" w:sz="0" w:space="0" w:color="auto"/>
          </w:divBdr>
        </w:div>
        <w:div w:id="551815400">
          <w:marLeft w:val="0"/>
          <w:marRight w:val="0"/>
          <w:marTop w:val="0"/>
          <w:marBottom w:val="0"/>
          <w:divBdr>
            <w:top w:val="none" w:sz="0" w:space="0" w:color="auto"/>
            <w:left w:val="none" w:sz="0" w:space="0" w:color="auto"/>
            <w:bottom w:val="none" w:sz="0" w:space="0" w:color="auto"/>
            <w:right w:val="none" w:sz="0" w:space="0" w:color="auto"/>
          </w:divBdr>
        </w:div>
        <w:div w:id="658193522">
          <w:marLeft w:val="0"/>
          <w:marRight w:val="0"/>
          <w:marTop w:val="0"/>
          <w:marBottom w:val="0"/>
          <w:divBdr>
            <w:top w:val="none" w:sz="0" w:space="0" w:color="auto"/>
            <w:left w:val="none" w:sz="0" w:space="0" w:color="auto"/>
            <w:bottom w:val="none" w:sz="0" w:space="0" w:color="auto"/>
            <w:right w:val="none" w:sz="0" w:space="0" w:color="auto"/>
          </w:divBdr>
        </w:div>
        <w:div w:id="1975134406">
          <w:marLeft w:val="0"/>
          <w:marRight w:val="0"/>
          <w:marTop w:val="0"/>
          <w:marBottom w:val="0"/>
          <w:divBdr>
            <w:top w:val="none" w:sz="0" w:space="0" w:color="auto"/>
            <w:left w:val="none" w:sz="0" w:space="0" w:color="auto"/>
            <w:bottom w:val="none" w:sz="0" w:space="0" w:color="auto"/>
            <w:right w:val="none" w:sz="0" w:space="0" w:color="auto"/>
          </w:divBdr>
        </w:div>
        <w:div w:id="1356152010">
          <w:marLeft w:val="0"/>
          <w:marRight w:val="0"/>
          <w:marTop w:val="0"/>
          <w:marBottom w:val="0"/>
          <w:divBdr>
            <w:top w:val="none" w:sz="0" w:space="0" w:color="auto"/>
            <w:left w:val="none" w:sz="0" w:space="0" w:color="auto"/>
            <w:bottom w:val="none" w:sz="0" w:space="0" w:color="auto"/>
            <w:right w:val="none" w:sz="0" w:space="0" w:color="auto"/>
          </w:divBdr>
        </w:div>
        <w:div w:id="433552708">
          <w:marLeft w:val="0"/>
          <w:marRight w:val="0"/>
          <w:marTop w:val="0"/>
          <w:marBottom w:val="0"/>
          <w:divBdr>
            <w:top w:val="none" w:sz="0" w:space="0" w:color="auto"/>
            <w:left w:val="none" w:sz="0" w:space="0" w:color="auto"/>
            <w:bottom w:val="none" w:sz="0" w:space="0" w:color="auto"/>
            <w:right w:val="none" w:sz="0" w:space="0" w:color="auto"/>
          </w:divBdr>
        </w:div>
        <w:div w:id="1464731927">
          <w:marLeft w:val="0"/>
          <w:marRight w:val="0"/>
          <w:marTop w:val="0"/>
          <w:marBottom w:val="0"/>
          <w:divBdr>
            <w:top w:val="none" w:sz="0" w:space="0" w:color="auto"/>
            <w:left w:val="none" w:sz="0" w:space="0" w:color="auto"/>
            <w:bottom w:val="none" w:sz="0" w:space="0" w:color="auto"/>
            <w:right w:val="none" w:sz="0" w:space="0" w:color="auto"/>
          </w:divBdr>
        </w:div>
        <w:div w:id="1300957374">
          <w:marLeft w:val="0"/>
          <w:marRight w:val="0"/>
          <w:marTop w:val="0"/>
          <w:marBottom w:val="0"/>
          <w:divBdr>
            <w:top w:val="none" w:sz="0" w:space="0" w:color="auto"/>
            <w:left w:val="none" w:sz="0" w:space="0" w:color="auto"/>
            <w:bottom w:val="none" w:sz="0" w:space="0" w:color="auto"/>
            <w:right w:val="none" w:sz="0" w:space="0" w:color="auto"/>
          </w:divBdr>
        </w:div>
        <w:div w:id="1697733879">
          <w:marLeft w:val="0"/>
          <w:marRight w:val="0"/>
          <w:marTop w:val="0"/>
          <w:marBottom w:val="0"/>
          <w:divBdr>
            <w:top w:val="none" w:sz="0" w:space="0" w:color="auto"/>
            <w:left w:val="none" w:sz="0" w:space="0" w:color="auto"/>
            <w:bottom w:val="none" w:sz="0" w:space="0" w:color="auto"/>
            <w:right w:val="none" w:sz="0" w:space="0" w:color="auto"/>
          </w:divBdr>
        </w:div>
        <w:div w:id="212280351">
          <w:marLeft w:val="0"/>
          <w:marRight w:val="0"/>
          <w:marTop w:val="0"/>
          <w:marBottom w:val="0"/>
          <w:divBdr>
            <w:top w:val="none" w:sz="0" w:space="0" w:color="auto"/>
            <w:left w:val="none" w:sz="0" w:space="0" w:color="auto"/>
            <w:bottom w:val="none" w:sz="0" w:space="0" w:color="auto"/>
            <w:right w:val="none" w:sz="0" w:space="0" w:color="auto"/>
          </w:divBdr>
        </w:div>
        <w:div w:id="1419866851">
          <w:marLeft w:val="0"/>
          <w:marRight w:val="0"/>
          <w:marTop w:val="0"/>
          <w:marBottom w:val="0"/>
          <w:divBdr>
            <w:top w:val="none" w:sz="0" w:space="0" w:color="auto"/>
            <w:left w:val="none" w:sz="0" w:space="0" w:color="auto"/>
            <w:bottom w:val="none" w:sz="0" w:space="0" w:color="auto"/>
            <w:right w:val="none" w:sz="0" w:space="0" w:color="auto"/>
          </w:divBdr>
        </w:div>
        <w:div w:id="238179179">
          <w:marLeft w:val="0"/>
          <w:marRight w:val="0"/>
          <w:marTop w:val="0"/>
          <w:marBottom w:val="0"/>
          <w:divBdr>
            <w:top w:val="none" w:sz="0" w:space="0" w:color="auto"/>
            <w:left w:val="none" w:sz="0" w:space="0" w:color="auto"/>
            <w:bottom w:val="none" w:sz="0" w:space="0" w:color="auto"/>
            <w:right w:val="none" w:sz="0" w:space="0" w:color="auto"/>
          </w:divBdr>
        </w:div>
        <w:div w:id="1653756047">
          <w:marLeft w:val="0"/>
          <w:marRight w:val="0"/>
          <w:marTop w:val="0"/>
          <w:marBottom w:val="0"/>
          <w:divBdr>
            <w:top w:val="none" w:sz="0" w:space="0" w:color="auto"/>
            <w:left w:val="none" w:sz="0" w:space="0" w:color="auto"/>
            <w:bottom w:val="none" w:sz="0" w:space="0" w:color="auto"/>
            <w:right w:val="none" w:sz="0" w:space="0" w:color="auto"/>
          </w:divBdr>
        </w:div>
        <w:div w:id="375467300">
          <w:marLeft w:val="0"/>
          <w:marRight w:val="0"/>
          <w:marTop w:val="0"/>
          <w:marBottom w:val="0"/>
          <w:divBdr>
            <w:top w:val="none" w:sz="0" w:space="0" w:color="auto"/>
            <w:left w:val="none" w:sz="0" w:space="0" w:color="auto"/>
            <w:bottom w:val="none" w:sz="0" w:space="0" w:color="auto"/>
            <w:right w:val="none" w:sz="0" w:space="0" w:color="auto"/>
          </w:divBdr>
        </w:div>
        <w:div w:id="1586961778">
          <w:marLeft w:val="0"/>
          <w:marRight w:val="0"/>
          <w:marTop w:val="0"/>
          <w:marBottom w:val="0"/>
          <w:divBdr>
            <w:top w:val="none" w:sz="0" w:space="0" w:color="auto"/>
            <w:left w:val="none" w:sz="0" w:space="0" w:color="auto"/>
            <w:bottom w:val="none" w:sz="0" w:space="0" w:color="auto"/>
            <w:right w:val="none" w:sz="0" w:space="0" w:color="auto"/>
          </w:divBdr>
        </w:div>
        <w:div w:id="718087410">
          <w:marLeft w:val="0"/>
          <w:marRight w:val="0"/>
          <w:marTop w:val="0"/>
          <w:marBottom w:val="0"/>
          <w:divBdr>
            <w:top w:val="none" w:sz="0" w:space="0" w:color="auto"/>
            <w:left w:val="none" w:sz="0" w:space="0" w:color="auto"/>
            <w:bottom w:val="none" w:sz="0" w:space="0" w:color="auto"/>
            <w:right w:val="none" w:sz="0" w:space="0" w:color="auto"/>
          </w:divBdr>
        </w:div>
        <w:div w:id="1723095420">
          <w:marLeft w:val="0"/>
          <w:marRight w:val="0"/>
          <w:marTop w:val="0"/>
          <w:marBottom w:val="0"/>
          <w:divBdr>
            <w:top w:val="none" w:sz="0" w:space="0" w:color="auto"/>
            <w:left w:val="none" w:sz="0" w:space="0" w:color="auto"/>
            <w:bottom w:val="none" w:sz="0" w:space="0" w:color="auto"/>
            <w:right w:val="none" w:sz="0" w:space="0" w:color="auto"/>
          </w:divBdr>
        </w:div>
        <w:div w:id="188955354">
          <w:marLeft w:val="0"/>
          <w:marRight w:val="0"/>
          <w:marTop w:val="0"/>
          <w:marBottom w:val="0"/>
          <w:divBdr>
            <w:top w:val="none" w:sz="0" w:space="0" w:color="auto"/>
            <w:left w:val="none" w:sz="0" w:space="0" w:color="auto"/>
            <w:bottom w:val="none" w:sz="0" w:space="0" w:color="auto"/>
            <w:right w:val="none" w:sz="0" w:space="0" w:color="auto"/>
          </w:divBdr>
        </w:div>
        <w:div w:id="1388263846">
          <w:marLeft w:val="0"/>
          <w:marRight w:val="0"/>
          <w:marTop w:val="0"/>
          <w:marBottom w:val="0"/>
          <w:divBdr>
            <w:top w:val="none" w:sz="0" w:space="0" w:color="auto"/>
            <w:left w:val="none" w:sz="0" w:space="0" w:color="auto"/>
            <w:bottom w:val="none" w:sz="0" w:space="0" w:color="auto"/>
            <w:right w:val="none" w:sz="0" w:space="0" w:color="auto"/>
          </w:divBdr>
        </w:div>
        <w:div w:id="840389938">
          <w:marLeft w:val="0"/>
          <w:marRight w:val="0"/>
          <w:marTop w:val="0"/>
          <w:marBottom w:val="0"/>
          <w:divBdr>
            <w:top w:val="none" w:sz="0" w:space="0" w:color="auto"/>
            <w:left w:val="none" w:sz="0" w:space="0" w:color="auto"/>
            <w:bottom w:val="none" w:sz="0" w:space="0" w:color="auto"/>
            <w:right w:val="none" w:sz="0" w:space="0" w:color="auto"/>
          </w:divBdr>
        </w:div>
        <w:div w:id="99684138">
          <w:marLeft w:val="0"/>
          <w:marRight w:val="0"/>
          <w:marTop w:val="0"/>
          <w:marBottom w:val="0"/>
          <w:divBdr>
            <w:top w:val="none" w:sz="0" w:space="0" w:color="auto"/>
            <w:left w:val="none" w:sz="0" w:space="0" w:color="auto"/>
            <w:bottom w:val="none" w:sz="0" w:space="0" w:color="auto"/>
            <w:right w:val="none" w:sz="0" w:space="0" w:color="auto"/>
          </w:divBdr>
        </w:div>
        <w:div w:id="1530291837">
          <w:marLeft w:val="0"/>
          <w:marRight w:val="0"/>
          <w:marTop w:val="0"/>
          <w:marBottom w:val="0"/>
          <w:divBdr>
            <w:top w:val="none" w:sz="0" w:space="0" w:color="auto"/>
            <w:left w:val="none" w:sz="0" w:space="0" w:color="auto"/>
            <w:bottom w:val="none" w:sz="0" w:space="0" w:color="auto"/>
            <w:right w:val="none" w:sz="0" w:space="0" w:color="auto"/>
          </w:divBdr>
        </w:div>
        <w:div w:id="1860191597">
          <w:marLeft w:val="0"/>
          <w:marRight w:val="0"/>
          <w:marTop w:val="0"/>
          <w:marBottom w:val="0"/>
          <w:divBdr>
            <w:top w:val="none" w:sz="0" w:space="0" w:color="auto"/>
            <w:left w:val="none" w:sz="0" w:space="0" w:color="auto"/>
            <w:bottom w:val="none" w:sz="0" w:space="0" w:color="auto"/>
            <w:right w:val="none" w:sz="0" w:space="0" w:color="auto"/>
          </w:divBdr>
        </w:div>
        <w:div w:id="130439292">
          <w:marLeft w:val="0"/>
          <w:marRight w:val="0"/>
          <w:marTop w:val="0"/>
          <w:marBottom w:val="0"/>
          <w:divBdr>
            <w:top w:val="none" w:sz="0" w:space="0" w:color="auto"/>
            <w:left w:val="none" w:sz="0" w:space="0" w:color="auto"/>
            <w:bottom w:val="none" w:sz="0" w:space="0" w:color="auto"/>
            <w:right w:val="none" w:sz="0" w:space="0" w:color="auto"/>
          </w:divBdr>
        </w:div>
        <w:div w:id="807556854">
          <w:marLeft w:val="0"/>
          <w:marRight w:val="0"/>
          <w:marTop w:val="0"/>
          <w:marBottom w:val="0"/>
          <w:divBdr>
            <w:top w:val="none" w:sz="0" w:space="0" w:color="auto"/>
            <w:left w:val="none" w:sz="0" w:space="0" w:color="auto"/>
            <w:bottom w:val="none" w:sz="0" w:space="0" w:color="auto"/>
            <w:right w:val="none" w:sz="0" w:space="0" w:color="auto"/>
          </w:divBdr>
        </w:div>
        <w:div w:id="862015540">
          <w:marLeft w:val="0"/>
          <w:marRight w:val="0"/>
          <w:marTop w:val="0"/>
          <w:marBottom w:val="0"/>
          <w:divBdr>
            <w:top w:val="none" w:sz="0" w:space="0" w:color="auto"/>
            <w:left w:val="none" w:sz="0" w:space="0" w:color="auto"/>
            <w:bottom w:val="none" w:sz="0" w:space="0" w:color="auto"/>
            <w:right w:val="none" w:sz="0" w:space="0" w:color="auto"/>
          </w:divBdr>
        </w:div>
        <w:div w:id="170026407">
          <w:marLeft w:val="0"/>
          <w:marRight w:val="0"/>
          <w:marTop w:val="0"/>
          <w:marBottom w:val="0"/>
          <w:divBdr>
            <w:top w:val="none" w:sz="0" w:space="0" w:color="auto"/>
            <w:left w:val="none" w:sz="0" w:space="0" w:color="auto"/>
            <w:bottom w:val="none" w:sz="0" w:space="0" w:color="auto"/>
            <w:right w:val="none" w:sz="0" w:space="0" w:color="auto"/>
          </w:divBdr>
        </w:div>
        <w:div w:id="1845898173">
          <w:marLeft w:val="0"/>
          <w:marRight w:val="0"/>
          <w:marTop w:val="0"/>
          <w:marBottom w:val="0"/>
          <w:divBdr>
            <w:top w:val="none" w:sz="0" w:space="0" w:color="auto"/>
            <w:left w:val="none" w:sz="0" w:space="0" w:color="auto"/>
            <w:bottom w:val="none" w:sz="0" w:space="0" w:color="auto"/>
            <w:right w:val="none" w:sz="0" w:space="0" w:color="auto"/>
          </w:divBdr>
        </w:div>
        <w:div w:id="80152655">
          <w:marLeft w:val="0"/>
          <w:marRight w:val="0"/>
          <w:marTop w:val="0"/>
          <w:marBottom w:val="0"/>
          <w:divBdr>
            <w:top w:val="none" w:sz="0" w:space="0" w:color="auto"/>
            <w:left w:val="none" w:sz="0" w:space="0" w:color="auto"/>
            <w:bottom w:val="none" w:sz="0" w:space="0" w:color="auto"/>
            <w:right w:val="none" w:sz="0" w:space="0" w:color="auto"/>
          </w:divBdr>
        </w:div>
        <w:div w:id="1091505261">
          <w:marLeft w:val="0"/>
          <w:marRight w:val="0"/>
          <w:marTop w:val="0"/>
          <w:marBottom w:val="0"/>
          <w:divBdr>
            <w:top w:val="none" w:sz="0" w:space="0" w:color="auto"/>
            <w:left w:val="none" w:sz="0" w:space="0" w:color="auto"/>
            <w:bottom w:val="none" w:sz="0" w:space="0" w:color="auto"/>
            <w:right w:val="none" w:sz="0" w:space="0" w:color="auto"/>
          </w:divBdr>
        </w:div>
        <w:div w:id="924146282">
          <w:marLeft w:val="0"/>
          <w:marRight w:val="0"/>
          <w:marTop w:val="0"/>
          <w:marBottom w:val="0"/>
          <w:divBdr>
            <w:top w:val="none" w:sz="0" w:space="0" w:color="auto"/>
            <w:left w:val="none" w:sz="0" w:space="0" w:color="auto"/>
            <w:bottom w:val="none" w:sz="0" w:space="0" w:color="auto"/>
            <w:right w:val="none" w:sz="0" w:space="0" w:color="auto"/>
          </w:divBdr>
        </w:div>
        <w:div w:id="765882092">
          <w:marLeft w:val="0"/>
          <w:marRight w:val="0"/>
          <w:marTop w:val="0"/>
          <w:marBottom w:val="0"/>
          <w:divBdr>
            <w:top w:val="none" w:sz="0" w:space="0" w:color="auto"/>
            <w:left w:val="none" w:sz="0" w:space="0" w:color="auto"/>
            <w:bottom w:val="none" w:sz="0" w:space="0" w:color="auto"/>
            <w:right w:val="none" w:sz="0" w:space="0" w:color="auto"/>
          </w:divBdr>
        </w:div>
        <w:div w:id="148331179">
          <w:marLeft w:val="0"/>
          <w:marRight w:val="0"/>
          <w:marTop w:val="0"/>
          <w:marBottom w:val="0"/>
          <w:divBdr>
            <w:top w:val="none" w:sz="0" w:space="0" w:color="auto"/>
            <w:left w:val="none" w:sz="0" w:space="0" w:color="auto"/>
            <w:bottom w:val="none" w:sz="0" w:space="0" w:color="auto"/>
            <w:right w:val="none" w:sz="0" w:space="0" w:color="auto"/>
          </w:divBdr>
        </w:div>
        <w:div w:id="1707169914">
          <w:marLeft w:val="0"/>
          <w:marRight w:val="0"/>
          <w:marTop w:val="0"/>
          <w:marBottom w:val="0"/>
          <w:divBdr>
            <w:top w:val="none" w:sz="0" w:space="0" w:color="auto"/>
            <w:left w:val="none" w:sz="0" w:space="0" w:color="auto"/>
            <w:bottom w:val="none" w:sz="0" w:space="0" w:color="auto"/>
            <w:right w:val="none" w:sz="0" w:space="0" w:color="auto"/>
          </w:divBdr>
        </w:div>
        <w:div w:id="1500197665">
          <w:marLeft w:val="0"/>
          <w:marRight w:val="0"/>
          <w:marTop w:val="0"/>
          <w:marBottom w:val="0"/>
          <w:divBdr>
            <w:top w:val="none" w:sz="0" w:space="0" w:color="auto"/>
            <w:left w:val="none" w:sz="0" w:space="0" w:color="auto"/>
            <w:bottom w:val="none" w:sz="0" w:space="0" w:color="auto"/>
            <w:right w:val="none" w:sz="0" w:space="0" w:color="auto"/>
          </w:divBdr>
        </w:div>
      </w:divsChild>
    </w:div>
    <w:div w:id="255600383">
      <w:bodyDiv w:val="1"/>
      <w:marLeft w:val="0"/>
      <w:marRight w:val="0"/>
      <w:marTop w:val="0"/>
      <w:marBottom w:val="0"/>
      <w:divBdr>
        <w:top w:val="none" w:sz="0" w:space="0" w:color="auto"/>
        <w:left w:val="none" w:sz="0" w:space="0" w:color="auto"/>
        <w:bottom w:val="none" w:sz="0" w:space="0" w:color="auto"/>
        <w:right w:val="none" w:sz="0" w:space="0" w:color="auto"/>
      </w:divBdr>
    </w:div>
    <w:div w:id="266156338">
      <w:bodyDiv w:val="1"/>
      <w:marLeft w:val="0"/>
      <w:marRight w:val="0"/>
      <w:marTop w:val="0"/>
      <w:marBottom w:val="0"/>
      <w:divBdr>
        <w:top w:val="none" w:sz="0" w:space="0" w:color="auto"/>
        <w:left w:val="none" w:sz="0" w:space="0" w:color="auto"/>
        <w:bottom w:val="none" w:sz="0" w:space="0" w:color="auto"/>
        <w:right w:val="none" w:sz="0" w:space="0" w:color="auto"/>
      </w:divBdr>
      <w:divsChild>
        <w:div w:id="1851985311">
          <w:marLeft w:val="0"/>
          <w:marRight w:val="0"/>
          <w:marTop w:val="0"/>
          <w:marBottom w:val="0"/>
          <w:divBdr>
            <w:top w:val="none" w:sz="0" w:space="0" w:color="auto"/>
            <w:left w:val="none" w:sz="0" w:space="0" w:color="auto"/>
            <w:bottom w:val="none" w:sz="0" w:space="0" w:color="auto"/>
            <w:right w:val="none" w:sz="0" w:space="0" w:color="auto"/>
          </w:divBdr>
        </w:div>
        <w:div w:id="348332004">
          <w:marLeft w:val="0"/>
          <w:marRight w:val="0"/>
          <w:marTop w:val="0"/>
          <w:marBottom w:val="0"/>
          <w:divBdr>
            <w:top w:val="none" w:sz="0" w:space="0" w:color="auto"/>
            <w:left w:val="none" w:sz="0" w:space="0" w:color="auto"/>
            <w:bottom w:val="none" w:sz="0" w:space="0" w:color="auto"/>
            <w:right w:val="none" w:sz="0" w:space="0" w:color="auto"/>
          </w:divBdr>
        </w:div>
      </w:divsChild>
    </w:div>
    <w:div w:id="269707194">
      <w:bodyDiv w:val="1"/>
      <w:marLeft w:val="0"/>
      <w:marRight w:val="0"/>
      <w:marTop w:val="0"/>
      <w:marBottom w:val="0"/>
      <w:divBdr>
        <w:top w:val="none" w:sz="0" w:space="0" w:color="auto"/>
        <w:left w:val="none" w:sz="0" w:space="0" w:color="auto"/>
        <w:bottom w:val="none" w:sz="0" w:space="0" w:color="auto"/>
        <w:right w:val="none" w:sz="0" w:space="0" w:color="auto"/>
      </w:divBdr>
      <w:divsChild>
        <w:div w:id="1828087686">
          <w:marLeft w:val="0"/>
          <w:marRight w:val="0"/>
          <w:marTop w:val="0"/>
          <w:marBottom w:val="0"/>
          <w:divBdr>
            <w:top w:val="none" w:sz="0" w:space="0" w:color="auto"/>
            <w:left w:val="none" w:sz="0" w:space="0" w:color="auto"/>
            <w:bottom w:val="none" w:sz="0" w:space="0" w:color="auto"/>
            <w:right w:val="none" w:sz="0" w:space="0" w:color="auto"/>
          </w:divBdr>
        </w:div>
        <w:div w:id="453212928">
          <w:marLeft w:val="0"/>
          <w:marRight w:val="0"/>
          <w:marTop w:val="0"/>
          <w:marBottom w:val="0"/>
          <w:divBdr>
            <w:top w:val="none" w:sz="0" w:space="0" w:color="auto"/>
            <w:left w:val="none" w:sz="0" w:space="0" w:color="auto"/>
            <w:bottom w:val="none" w:sz="0" w:space="0" w:color="auto"/>
            <w:right w:val="none" w:sz="0" w:space="0" w:color="auto"/>
          </w:divBdr>
        </w:div>
        <w:div w:id="1562672565">
          <w:marLeft w:val="0"/>
          <w:marRight w:val="0"/>
          <w:marTop w:val="0"/>
          <w:marBottom w:val="0"/>
          <w:divBdr>
            <w:top w:val="none" w:sz="0" w:space="0" w:color="auto"/>
            <w:left w:val="none" w:sz="0" w:space="0" w:color="auto"/>
            <w:bottom w:val="none" w:sz="0" w:space="0" w:color="auto"/>
            <w:right w:val="none" w:sz="0" w:space="0" w:color="auto"/>
          </w:divBdr>
        </w:div>
        <w:div w:id="960107618">
          <w:marLeft w:val="0"/>
          <w:marRight w:val="0"/>
          <w:marTop w:val="0"/>
          <w:marBottom w:val="0"/>
          <w:divBdr>
            <w:top w:val="none" w:sz="0" w:space="0" w:color="auto"/>
            <w:left w:val="none" w:sz="0" w:space="0" w:color="auto"/>
            <w:bottom w:val="none" w:sz="0" w:space="0" w:color="auto"/>
            <w:right w:val="none" w:sz="0" w:space="0" w:color="auto"/>
          </w:divBdr>
        </w:div>
        <w:div w:id="93287043">
          <w:marLeft w:val="0"/>
          <w:marRight w:val="0"/>
          <w:marTop w:val="0"/>
          <w:marBottom w:val="0"/>
          <w:divBdr>
            <w:top w:val="none" w:sz="0" w:space="0" w:color="auto"/>
            <w:left w:val="none" w:sz="0" w:space="0" w:color="auto"/>
            <w:bottom w:val="none" w:sz="0" w:space="0" w:color="auto"/>
            <w:right w:val="none" w:sz="0" w:space="0" w:color="auto"/>
          </w:divBdr>
        </w:div>
        <w:div w:id="1132286383">
          <w:marLeft w:val="0"/>
          <w:marRight w:val="0"/>
          <w:marTop w:val="0"/>
          <w:marBottom w:val="0"/>
          <w:divBdr>
            <w:top w:val="none" w:sz="0" w:space="0" w:color="auto"/>
            <w:left w:val="none" w:sz="0" w:space="0" w:color="auto"/>
            <w:bottom w:val="none" w:sz="0" w:space="0" w:color="auto"/>
            <w:right w:val="none" w:sz="0" w:space="0" w:color="auto"/>
          </w:divBdr>
        </w:div>
        <w:div w:id="1347320317">
          <w:marLeft w:val="0"/>
          <w:marRight w:val="0"/>
          <w:marTop w:val="0"/>
          <w:marBottom w:val="0"/>
          <w:divBdr>
            <w:top w:val="none" w:sz="0" w:space="0" w:color="auto"/>
            <w:left w:val="none" w:sz="0" w:space="0" w:color="auto"/>
            <w:bottom w:val="none" w:sz="0" w:space="0" w:color="auto"/>
            <w:right w:val="none" w:sz="0" w:space="0" w:color="auto"/>
          </w:divBdr>
        </w:div>
        <w:div w:id="265893527">
          <w:marLeft w:val="0"/>
          <w:marRight w:val="0"/>
          <w:marTop w:val="0"/>
          <w:marBottom w:val="0"/>
          <w:divBdr>
            <w:top w:val="none" w:sz="0" w:space="0" w:color="auto"/>
            <w:left w:val="none" w:sz="0" w:space="0" w:color="auto"/>
            <w:bottom w:val="none" w:sz="0" w:space="0" w:color="auto"/>
            <w:right w:val="none" w:sz="0" w:space="0" w:color="auto"/>
          </w:divBdr>
        </w:div>
        <w:div w:id="1269972359">
          <w:marLeft w:val="0"/>
          <w:marRight w:val="0"/>
          <w:marTop w:val="0"/>
          <w:marBottom w:val="0"/>
          <w:divBdr>
            <w:top w:val="none" w:sz="0" w:space="0" w:color="auto"/>
            <w:left w:val="none" w:sz="0" w:space="0" w:color="auto"/>
            <w:bottom w:val="none" w:sz="0" w:space="0" w:color="auto"/>
            <w:right w:val="none" w:sz="0" w:space="0" w:color="auto"/>
          </w:divBdr>
        </w:div>
      </w:divsChild>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50405690">
      <w:bodyDiv w:val="1"/>
      <w:marLeft w:val="0"/>
      <w:marRight w:val="0"/>
      <w:marTop w:val="0"/>
      <w:marBottom w:val="0"/>
      <w:divBdr>
        <w:top w:val="none" w:sz="0" w:space="0" w:color="auto"/>
        <w:left w:val="none" w:sz="0" w:space="0" w:color="auto"/>
        <w:bottom w:val="none" w:sz="0" w:space="0" w:color="auto"/>
        <w:right w:val="none" w:sz="0" w:space="0" w:color="auto"/>
      </w:divBdr>
      <w:divsChild>
        <w:div w:id="1151367239">
          <w:marLeft w:val="0"/>
          <w:marRight w:val="0"/>
          <w:marTop w:val="0"/>
          <w:marBottom w:val="0"/>
          <w:divBdr>
            <w:top w:val="none" w:sz="0" w:space="0" w:color="auto"/>
            <w:left w:val="none" w:sz="0" w:space="0" w:color="auto"/>
            <w:bottom w:val="none" w:sz="0" w:space="0" w:color="auto"/>
            <w:right w:val="none" w:sz="0" w:space="0" w:color="auto"/>
          </w:divBdr>
        </w:div>
        <w:div w:id="1937788858">
          <w:marLeft w:val="0"/>
          <w:marRight w:val="0"/>
          <w:marTop w:val="0"/>
          <w:marBottom w:val="0"/>
          <w:divBdr>
            <w:top w:val="none" w:sz="0" w:space="0" w:color="auto"/>
            <w:left w:val="none" w:sz="0" w:space="0" w:color="auto"/>
            <w:bottom w:val="none" w:sz="0" w:space="0" w:color="auto"/>
            <w:right w:val="none" w:sz="0" w:space="0" w:color="auto"/>
          </w:divBdr>
        </w:div>
        <w:div w:id="1002902558">
          <w:marLeft w:val="0"/>
          <w:marRight w:val="0"/>
          <w:marTop w:val="0"/>
          <w:marBottom w:val="0"/>
          <w:divBdr>
            <w:top w:val="none" w:sz="0" w:space="0" w:color="auto"/>
            <w:left w:val="none" w:sz="0" w:space="0" w:color="auto"/>
            <w:bottom w:val="none" w:sz="0" w:space="0" w:color="auto"/>
            <w:right w:val="none" w:sz="0" w:space="0" w:color="auto"/>
          </w:divBdr>
        </w:div>
        <w:div w:id="1316564179">
          <w:marLeft w:val="0"/>
          <w:marRight w:val="0"/>
          <w:marTop w:val="0"/>
          <w:marBottom w:val="0"/>
          <w:divBdr>
            <w:top w:val="none" w:sz="0" w:space="0" w:color="auto"/>
            <w:left w:val="none" w:sz="0" w:space="0" w:color="auto"/>
            <w:bottom w:val="none" w:sz="0" w:space="0" w:color="auto"/>
            <w:right w:val="none" w:sz="0" w:space="0" w:color="auto"/>
          </w:divBdr>
        </w:div>
        <w:div w:id="961962532">
          <w:marLeft w:val="0"/>
          <w:marRight w:val="0"/>
          <w:marTop w:val="0"/>
          <w:marBottom w:val="0"/>
          <w:divBdr>
            <w:top w:val="none" w:sz="0" w:space="0" w:color="auto"/>
            <w:left w:val="none" w:sz="0" w:space="0" w:color="auto"/>
            <w:bottom w:val="none" w:sz="0" w:space="0" w:color="auto"/>
            <w:right w:val="none" w:sz="0" w:space="0" w:color="auto"/>
          </w:divBdr>
        </w:div>
      </w:divsChild>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0742307">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731078055">
      <w:bodyDiv w:val="1"/>
      <w:marLeft w:val="0"/>
      <w:marRight w:val="0"/>
      <w:marTop w:val="0"/>
      <w:marBottom w:val="0"/>
      <w:divBdr>
        <w:top w:val="none" w:sz="0" w:space="0" w:color="auto"/>
        <w:left w:val="none" w:sz="0" w:space="0" w:color="auto"/>
        <w:bottom w:val="none" w:sz="0" w:space="0" w:color="auto"/>
        <w:right w:val="none" w:sz="0" w:space="0" w:color="auto"/>
      </w:divBdr>
    </w:div>
    <w:div w:id="820386562">
      <w:bodyDiv w:val="1"/>
      <w:marLeft w:val="0"/>
      <w:marRight w:val="0"/>
      <w:marTop w:val="0"/>
      <w:marBottom w:val="0"/>
      <w:divBdr>
        <w:top w:val="none" w:sz="0" w:space="0" w:color="auto"/>
        <w:left w:val="none" w:sz="0" w:space="0" w:color="auto"/>
        <w:bottom w:val="none" w:sz="0" w:space="0" w:color="auto"/>
        <w:right w:val="none" w:sz="0" w:space="0" w:color="auto"/>
      </w:divBdr>
    </w:div>
    <w:div w:id="849369773">
      <w:bodyDiv w:val="1"/>
      <w:marLeft w:val="0"/>
      <w:marRight w:val="0"/>
      <w:marTop w:val="0"/>
      <w:marBottom w:val="0"/>
      <w:divBdr>
        <w:top w:val="none" w:sz="0" w:space="0" w:color="auto"/>
        <w:left w:val="none" w:sz="0" w:space="0" w:color="auto"/>
        <w:bottom w:val="none" w:sz="0" w:space="0" w:color="auto"/>
        <w:right w:val="none" w:sz="0" w:space="0" w:color="auto"/>
      </w:divBdr>
    </w:div>
    <w:div w:id="871962493">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800300946">
      <w:bodyDiv w:val="1"/>
      <w:marLeft w:val="0"/>
      <w:marRight w:val="0"/>
      <w:marTop w:val="0"/>
      <w:marBottom w:val="0"/>
      <w:divBdr>
        <w:top w:val="none" w:sz="0" w:space="0" w:color="auto"/>
        <w:left w:val="none" w:sz="0" w:space="0" w:color="auto"/>
        <w:bottom w:val="none" w:sz="0" w:space="0" w:color="auto"/>
        <w:right w:val="none" w:sz="0" w:space="0" w:color="auto"/>
      </w:divBdr>
    </w:div>
    <w:div w:id="20876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ocuments/2995521/9731224/2-23042019-AP-EN/bb78015c-c547-4b7d-b2f7-4fffe7bcdfad" TargetMode="External"/><Relationship Id="rId2" Type="http://schemas.openxmlformats.org/officeDocument/2006/relationships/hyperlink" Target="http://ec.europa.eu/eurostat/web/government-finance-statistics/excessive-deficit-procedure/edp-notification-tables" TargetMode="External"/><Relationship Id="rId1" Type="http://schemas.openxmlformats.org/officeDocument/2006/relationships/hyperlink" Target="http://ec.europa.eu/economy_finance/economic_governance/sgp/legal_texts/index_en.htm" TargetMode="External"/><Relationship Id="rId6" Type="http://schemas.openxmlformats.org/officeDocument/2006/relationships/hyperlink" Target="https://ec.europa.eu/info/sites/info/files/file_import/2019-european-semester-country-report-cyprus_en.pdf" TargetMode="External"/><Relationship Id="rId5" Type="http://schemas.openxmlformats.org/officeDocument/2006/relationships/hyperlink" Target="https://eur-lex.europa.eu/legal-content/SK/TXT/PDF/?uri=CELEX:32018H0910(12)&amp;from=SK" TargetMode="External"/><Relationship Id="rId4" Type="http://schemas.openxmlformats.org/officeDocument/2006/relationships/hyperlink" Target="https://ec.europa.eu/info/sites/info/files/2019-european-semester-national-reform-programme-cypru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C850F-B0B8-416D-A44D-FE8EE8B9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5492</Words>
  <Characters>29608</Characters>
  <Application>Microsoft Office Word</Application>
  <DocSecurity>0</DocSecurity>
  <Lines>657</Lines>
  <Paragraphs>290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22</cp:revision>
  <cp:lastPrinted>2019-05-17T09:35:00Z</cp:lastPrinted>
  <dcterms:created xsi:type="dcterms:W3CDTF">2019-06-03T11:24:00Z</dcterms:created>
  <dcterms:modified xsi:type="dcterms:W3CDTF">2019-07-03T13:41:00Z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