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DC0CBFE-75F3-4645-BE4E-955B59776E88" style="width:450.55pt;height:306.55pt">
            <v:imagedata r:id="rId9" o:title=""/>
          </v:shape>
        </w:pict>
      </w:r>
    </w:p>
    <w:bookmarkEnd w:id="0"/>
    <w:p>
      <w:pPr>
        <w:spacing w:line="240" w:lineRule="auto"/>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KOMISIJOS ATASKAITA EUROPOS PARLAMENTUI IR TARYBAI</w:t>
      </w:r>
    </w:p>
    <w:p>
      <w:pPr>
        <w:spacing w:after="24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 xml:space="preserve">Mokslinių tyrimų ir technologinės plėtros veikla Europos Sąjungoje </w:t>
      </w:r>
      <w:r>
        <w:rPr>
          <w:rFonts w:ascii="Times New Roman" w:hAnsi="Times New Roman"/>
          <w:b/>
          <w:bCs/>
          <w:noProof/>
          <w:sz w:val="24"/>
          <w:szCs w:val="24"/>
        </w:rPr>
        <w:t xml:space="preserve">ir programos „Horizontas 2020“ stebėsena </w:t>
      </w:r>
      <w:r>
        <w:rPr>
          <w:rFonts w:ascii="Times New Roman" w:hAnsi="Times New Roman"/>
          <w:b/>
          <w:noProof/>
          <w:sz w:val="24"/>
          <w:szCs w:val="24"/>
        </w:rPr>
        <w:t>2018 m.</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1.</w:t>
      </w:r>
      <w:r>
        <w:rPr>
          <w:rFonts w:ascii="Times New Roman" w:hAnsi="Times New Roman"/>
          <w:b/>
          <w:smallCaps/>
          <w:noProof/>
          <w:sz w:val="24"/>
          <w:szCs w:val="24"/>
        </w:rPr>
        <w:tab/>
        <w:t xml:space="preserve">Pagrindiniai faktai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Mokslinių tyrimų ir technologinės plėtros veiklos Europos Sąjungoje ir rezultatų sklaidos metinė ataskaita parengta pagal Sutarties dėl Europos Sąjungos veikimo 190 straipsnį ir Euratomo sutarties 7 straipsnį. Joje pateikiama glausta, neišsami pagrindinių priemonių, kurių buvo imtasi 2018 m., apžvalga.</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2.</w:t>
      </w:r>
      <w:r>
        <w:rPr>
          <w:rFonts w:ascii="Times New Roman" w:hAnsi="Times New Roman"/>
          <w:b/>
          <w:smallCaps/>
          <w:noProof/>
          <w:sz w:val="24"/>
          <w:szCs w:val="24"/>
        </w:rPr>
        <w:tab/>
        <w:t xml:space="preserve">Politinės aplinkybės </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szCs w:val="24"/>
        </w:rPr>
        <w:t>Komunikatu</w:t>
      </w:r>
      <w:r>
        <w:rPr>
          <w:rFonts w:ascii="Times New Roman" w:hAnsi="Times New Roman"/>
          <w:b/>
          <w:noProof/>
          <w:color w:val="000000"/>
          <w:sz w:val="24"/>
          <w:szCs w:val="24"/>
        </w:rPr>
        <w:t xml:space="preserve"> </w:t>
      </w:r>
      <w:r>
        <w:rPr>
          <w:rFonts w:ascii="Times New Roman" w:hAnsi="Times New Roman"/>
          <w:b/>
          <w:i/>
          <w:noProof/>
          <w:color w:val="000000"/>
          <w:sz w:val="24"/>
          <w:szCs w:val="24"/>
        </w:rPr>
        <w:t>„Atnaujinta Europos mokslinių tyrimų ir inovacijų darbotvarkė – Europos galimybė formuoti savo ateitį“</w:t>
      </w:r>
      <w:r>
        <w:rPr>
          <w:rStyle w:val="FootnoteReference"/>
          <w:rFonts w:eastAsia="Calibri"/>
          <w:noProof/>
          <w:sz w:val="24"/>
          <w:szCs w:val="24"/>
        </w:rPr>
        <w:footnoteReference w:id="1"/>
      </w:r>
      <w:r>
        <w:rPr>
          <w:rFonts w:ascii="Times New Roman" w:hAnsi="Times New Roman"/>
          <w:noProof/>
          <w:color w:val="000000"/>
          <w:sz w:val="24"/>
          <w:szCs w:val="24"/>
        </w:rPr>
        <w:t>, kurį Komisija parengė neoficialiam 2018 m. gegužės 16 d. Sofijoje vykusiam Europos Vadovų Tarybos susitikimui, darbo vietų kūrimo, ekonomikos augimo, teisingumo ir demokratinių pokyčių darbotvarkėje ir ES ateities parengiamuosiuose darbuose moksliniams tyrimams ir inovacijoms (MTI) skirta ypač daug dėmesio. Į tai atsižvelgdama, Komisija priėmė pasiūlymus dėl teisėkūros procedūra priimamų aktų dėl 2021–2027 m. ES biudžeto išlaidų programų ir šiuo metu dėl šių pasiūlymų derasi institucijos.</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szCs w:val="24"/>
        </w:rPr>
        <w:t>2018 m.</w:t>
      </w:r>
      <w:r>
        <w:rPr>
          <w:rFonts w:ascii="Times New Roman" w:hAnsi="Times New Roman"/>
          <w:b/>
          <w:noProof/>
          <w:color w:val="000000"/>
          <w:sz w:val="24"/>
          <w:szCs w:val="24"/>
        </w:rPr>
        <w:t xml:space="preserve"> ES ekonomika</w:t>
      </w:r>
      <w:r>
        <w:rPr>
          <w:rFonts w:ascii="Times New Roman" w:hAnsi="Times New Roman"/>
          <w:noProof/>
          <w:color w:val="000000"/>
          <w:sz w:val="24"/>
          <w:szCs w:val="24"/>
        </w:rPr>
        <w:t xml:space="preserve"> penktus metus iš eilės toliau augo, tačiau nerimą kelia visuotinis netikrumas. </w:t>
      </w:r>
      <w:r>
        <w:rPr>
          <w:rFonts w:ascii="Times New Roman" w:hAnsi="Times New Roman"/>
          <w:noProof/>
          <w:sz w:val="24"/>
          <w:szCs w:val="24"/>
        </w:rPr>
        <w:t>Makroekonominių rodiklių, kaip antai nedarbo ir investicijų, tendencijos vėl tokios kaip prieš krizę</w:t>
      </w:r>
      <w:r>
        <w:rPr>
          <w:rStyle w:val="FootnoteReference"/>
          <w:rFonts w:eastAsia="Calibri"/>
          <w:noProof/>
          <w:sz w:val="24"/>
          <w:szCs w:val="24"/>
        </w:rPr>
        <w:footnoteReference w:id="2"/>
      </w:r>
      <w:r>
        <w:rPr>
          <w:rFonts w:ascii="Times New Roman" w:hAnsi="Times New Roman"/>
          <w:noProof/>
          <w:sz w:val="24"/>
          <w:szCs w:val="24"/>
        </w:rPr>
        <w:t>, tačiau vangiai didėjantis našumas ir toliau stabdo ekonomikos augimą</w:t>
      </w:r>
      <w:r>
        <w:rPr>
          <w:rStyle w:val="FootnoteReference"/>
          <w:rFonts w:eastAsia="Calibri"/>
          <w:noProof/>
          <w:sz w:val="24"/>
          <w:szCs w:val="24"/>
        </w:rPr>
        <w:footnoteReference w:id="3"/>
      </w:r>
      <w:r>
        <w:rPr>
          <w:rFonts w:ascii="Times New Roman" w:hAnsi="Times New Roman"/>
          <w:noProof/>
          <w:sz w:val="24"/>
          <w:szCs w:val="24"/>
        </w:rPr>
        <w:t>.</w:t>
      </w:r>
      <w:r>
        <w:rPr>
          <w:rFonts w:ascii="Times New Roman" w:hAnsi="Times New Roman"/>
          <w:noProof/>
          <w:color w:val="000000"/>
          <w:sz w:val="24"/>
          <w:szCs w:val="24"/>
        </w:rPr>
        <w:t xml:space="preserve"> Iki lapkričio mėn. Europos strateginių investicijų fondo parama buvo skirta visose valstybėse narėse vykdytiems projektams; bendra investicijų vertė siekė 360 mlrd. EUR, o du trečdaliai šios sumos gauti iš privačiojo sektoriaus išteklių</w:t>
      </w:r>
      <w:r>
        <w:rPr>
          <w:rStyle w:val="FootnoteReference"/>
          <w:rFonts w:eastAsia="Calibri"/>
          <w:noProof/>
          <w:sz w:val="24"/>
          <w:szCs w:val="24"/>
        </w:rPr>
        <w:footnoteReference w:id="4"/>
      </w:r>
      <w:r>
        <w:rPr>
          <w:rFonts w:ascii="Times New Roman" w:hAnsi="Times New Roman"/>
          <w:noProof/>
          <w:color w:val="000000"/>
          <w:sz w:val="24"/>
          <w:szCs w:val="24"/>
        </w:rPr>
        <w:t>. Įgyvendinant programą „Horizontas 2020“ tiesiogiai prisidėta prie šių teigiamų pokyčių – 2014–2018 m. sukurta 592 000 naujų darbo vietų</w:t>
      </w:r>
      <w:r>
        <w:rPr>
          <w:rStyle w:val="FootnoteReference"/>
          <w:rFonts w:eastAsia="Calibri"/>
          <w:noProof/>
          <w:sz w:val="24"/>
          <w:szCs w:val="24"/>
        </w:rPr>
        <w:footnoteReference w:id="5"/>
      </w:r>
      <w:r>
        <w:rPr>
          <w:rFonts w:ascii="Times New Roman" w:hAnsi="Times New Roman"/>
          <w:noProof/>
          <w:color w:val="000000"/>
          <w:sz w:val="24"/>
          <w:szCs w:val="24"/>
        </w:rPr>
        <w:t>.</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szCs w:val="24"/>
        </w:rPr>
        <w:t>ES darbotvarkėje labai daug dėmesio skirta klausimams, susijusiems su</w:t>
      </w:r>
      <w:r>
        <w:rPr>
          <w:rFonts w:ascii="Times New Roman" w:hAnsi="Times New Roman"/>
          <w:b/>
          <w:noProof/>
          <w:color w:val="000000"/>
          <w:sz w:val="24"/>
          <w:szCs w:val="24"/>
        </w:rPr>
        <w:t xml:space="preserve"> bendrąja skaitmenine rinka</w:t>
      </w:r>
      <w:r>
        <w:rPr>
          <w:rFonts w:ascii="Times New Roman" w:hAnsi="Times New Roman"/>
          <w:noProof/>
          <w:color w:val="000000"/>
          <w:sz w:val="24"/>
          <w:szCs w:val="24"/>
        </w:rPr>
        <w:t>. Naujais Bendrasis duomenų apsaugos reglamentas (kuris įsigaliojo 2018 m. gegužės 25 d.</w:t>
      </w:r>
      <w:r>
        <w:rPr>
          <w:rStyle w:val="FootnoteReference"/>
          <w:rFonts w:eastAsia="Calibri"/>
          <w:noProof/>
          <w:sz w:val="24"/>
          <w:szCs w:val="24"/>
        </w:rPr>
        <w:footnoteReference w:id="6"/>
      </w:r>
      <w:r>
        <w:rPr>
          <w:rFonts w:ascii="Times New Roman" w:hAnsi="Times New Roman"/>
          <w:noProof/>
          <w:color w:val="000000"/>
          <w:sz w:val="24"/>
          <w:szCs w:val="24"/>
        </w:rPr>
        <w:t>) ne tik užtikrina asmens duomenų apsauga, bet ir naudingas MTI. Komisija parėmė valstybių narių pastangų pasidalijimą kuriant dirbtinį intelektą</w:t>
      </w:r>
      <w:r>
        <w:rPr>
          <w:rStyle w:val="FootnoteReference"/>
          <w:rFonts w:eastAsia="Calibri"/>
          <w:noProof/>
          <w:sz w:val="24"/>
          <w:szCs w:val="24"/>
        </w:rPr>
        <w:footnoteReference w:id="7"/>
      </w:r>
      <w:r>
        <w:rPr>
          <w:rFonts w:ascii="Times New Roman" w:hAnsi="Times New Roman"/>
          <w:noProof/>
          <w:color w:val="000000"/>
          <w:sz w:val="24"/>
          <w:szCs w:val="24"/>
        </w:rPr>
        <w:t>. Šioje srityje programa „Horizontas 2020“ taip pat atliko labai svarbų vaidmenį, visų pirma, dėl to, kad ja buvo remiamas naujos bendrosios įmonės, kuriančios itin našias kompiuterines sistemas, kūrimas – ši įmonė turėtų užtikrinti Europos strateginį autonomiškumą šioje srityje</w:t>
      </w:r>
      <w:r>
        <w:rPr>
          <w:rStyle w:val="FootnoteReference"/>
          <w:rFonts w:eastAsia="Calibri"/>
          <w:noProof/>
          <w:sz w:val="24"/>
          <w:szCs w:val="24"/>
        </w:rPr>
        <w:footnoteReference w:id="8"/>
      </w:r>
      <w:r>
        <w:rPr>
          <w:rFonts w:ascii="Times New Roman" w:hAnsi="Times New Roman"/>
          <w:noProof/>
          <w:color w:val="000000"/>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Pasaulinės ir Europos darbotvarkės centre ir toliau buvo su </w:t>
      </w:r>
      <w:r>
        <w:rPr>
          <w:rFonts w:ascii="Times New Roman" w:hAnsi="Times New Roman"/>
          <w:b/>
          <w:noProof/>
          <w:sz w:val="24"/>
          <w:szCs w:val="24"/>
        </w:rPr>
        <w:t xml:space="preserve">energetika ir klimatu </w:t>
      </w:r>
      <w:r>
        <w:rPr>
          <w:rFonts w:ascii="Times New Roman" w:hAnsi="Times New Roman"/>
          <w:noProof/>
          <w:sz w:val="24"/>
          <w:szCs w:val="24"/>
        </w:rPr>
        <w:t>susiję klausimai. Tarpvyriausybinės klimato kaitos komisijos (IPCC) specialiojoje ataskaitoje politikos formuotojams labai stipriai akcentuota, kad būtina skubiai spręsti su klimato kaita susijusias problemas</w:t>
      </w:r>
      <w:r>
        <w:rPr>
          <w:rStyle w:val="FootnoteReference"/>
          <w:rFonts w:eastAsia="Calibri"/>
          <w:noProof/>
          <w:sz w:val="24"/>
          <w:szCs w:val="24"/>
        </w:rPr>
        <w:footnoteReference w:id="9"/>
      </w:r>
      <w:r>
        <w:rPr>
          <w:rFonts w:ascii="Times New Roman" w:hAnsi="Times New Roman"/>
          <w:noProof/>
          <w:sz w:val="24"/>
          <w:szCs w:val="24"/>
        </w:rPr>
        <w:t>. Komisija, atsižvelgdama į 2015 m. Paryžiaus klimato susitarimą ir Jungtinių Tautų darnaus vystymosi tikslus (DVT), ir toliau laikėsi ES įsipareigojimų energetikos ir klimato srityse</w:t>
      </w:r>
      <w:r>
        <w:rPr>
          <w:rStyle w:val="FootnoteReference"/>
          <w:rFonts w:eastAsia="Calibri"/>
          <w:noProof/>
          <w:sz w:val="24"/>
          <w:szCs w:val="24"/>
        </w:rPr>
        <w:footnoteReference w:id="10"/>
      </w:r>
      <w:r>
        <w:rPr>
          <w:rFonts w:ascii="Times New Roman" w:hAnsi="Times New Roman"/>
          <w:noProof/>
          <w:sz w:val="24"/>
          <w:szCs w:val="24"/>
        </w:rPr>
        <w:t>. Todėl Komisija įgyvendino teisės aktus, kurių reikia norint įvykdyti ES šalims nustatytas privalomas pastangas, kad iki 2030 m. išmetamas šiltnamio efektą sukeliančių dujų kiekis sumažėtų 40 proc. (palyginti su 1990 m.). Be to, 2018 m. lapkričio mėn. Europos Komisija pristatė savo viziją, kaip iki 2050 m. pasiekti tikslą į atmosferą visiškai nebeišmesti šiltnamio efektą sukeliančių dujų</w:t>
      </w:r>
      <w:r>
        <w:rPr>
          <w:rStyle w:val="FootnoteReference"/>
          <w:rFonts w:eastAsiaTheme="minorHAnsi"/>
          <w:noProof/>
        </w:rPr>
        <w:footnoteReference w:id="11"/>
      </w:r>
      <w:r>
        <w:rPr>
          <w:rFonts w:ascii="Times New Roman" w:hAnsi="Times New Roman"/>
          <w:noProof/>
          <w:sz w:val="24"/>
          <w:szCs w:val="24"/>
        </w:rPr>
        <w:t>. Ilgalaikėje strategijoje bendrais bruožais apibūdinami technologiniai, ekonominiai ir socialiniai pokyčiai, kurių reikia norint neutralizuoti poveikį klimatui ir užtikrinti socialiniu požiūriu teisingą perėjimą. Toks įsipareigojimų lygis turėtų sustiprinti pasaulio mastu pirmaujančios ES vaidmenį šioje srityje – kaip tokio įtakingo vaidmens siūlė imtis Pirmininkas J.-C. Junckeris 2018 m. pranešime apie Sąjungos padėtį.</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3.</w:t>
      </w:r>
      <w:r>
        <w:rPr>
          <w:rFonts w:ascii="Times New Roman" w:hAnsi="Times New Roman"/>
          <w:b/>
          <w:smallCaps/>
          <w:noProof/>
          <w:sz w:val="24"/>
          <w:szCs w:val="24"/>
        </w:rPr>
        <w:tab/>
        <w:t>Politikos programa</w:t>
      </w:r>
    </w:p>
    <w:p>
      <w:pPr>
        <w:spacing w:after="24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„Europos horizontas“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Birželio 7 d. Komisija priėmė su programa </w:t>
      </w:r>
      <w:r>
        <w:rPr>
          <w:rFonts w:ascii="Times New Roman" w:hAnsi="Times New Roman"/>
          <w:b/>
          <w:noProof/>
          <w:sz w:val="24"/>
          <w:szCs w:val="24"/>
        </w:rPr>
        <w:t>„Europos horizontas“</w:t>
      </w:r>
      <w:r>
        <w:rPr>
          <w:rFonts w:ascii="Times New Roman" w:hAnsi="Times New Roman"/>
          <w:noProof/>
          <w:sz w:val="24"/>
          <w:szCs w:val="24"/>
        </w:rPr>
        <w:t xml:space="preserve"> susijusius pasiūlymus, t. y. 2021–2027 m. (kitos daugiametės finansinės programos laikotarpiui) skirtą MTI politikos programą. Teisės aktų rinkinį sudaro pasiūlymai dėl: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reglamento dėl programos „Europos horizontas“ ir su ja susijusių dalyvavimo taisyklių;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sprendimo dėl specialiosios programos, kuria įgyvendinama programa „Europos horizontas“, taip pat </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reglamento dėl 2021–2025 m. laikotarpio Europos atominės energijos bendrijos (Euratomo) mokslinių tyrimų ir mokymo programos.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Šiuo dokumentų rinkiniu siekiama dar labiau supaprastinti taisykles, bet kartu užtikrinti jų tęstinumą, pvz., ir toliau bus taikomi pagrindiniai ES MTI bendrųjų programų principai (kokybės, poveikio ir atvirumo). Jis parengtas remiantis išsamiomis konsultacijomis su suinteresuotaisiais subjektais ir visuomenės veikėjais, taip pat kito pobūdžio svarbia informacija, kaip antai dokumentu </w:t>
      </w:r>
      <w:r>
        <w:rPr>
          <w:rFonts w:ascii="Times New Roman" w:hAnsi="Times New Roman"/>
          <w:i/>
          <w:noProof/>
          <w:sz w:val="24"/>
          <w:szCs w:val="24"/>
        </w:rPr>
        <w:t>LAB FAB APP. Investicijos į tokią Europos ateitį, kokios norime</w:t>
      </w:r>
      <w:r>
        <w:rPr>
          <w:rFonts w:ascii="Times New Roman" w:eastAsia="Times New Roman" w:hAnsi="Times New Roman" w:cs="Times New Roman"/>
          <w:noProof/>
          <w:sz w:val="24"/>
          <w:szCs w:val="24"/>
          <w:vertAlign w:val="superscript"/>
        </w:rPr>
        <w:footnoteReference w:id="12"/>
      </w:r>
      <w:r>
        <w:rPr>
          <w:rFonts w:ascii="Times New Roman" w:hAnsi="Times New Roman"/>
          <w:noProof/>
          <w:sz w:val="24"/>
          <w:szCs w:val="24"/>
        </w:rPr>
        <w:t> – ES MTI programų poveikio didinimo klausimams suburtos Pascalio Lamy pirmininkaujamos nepriklausomos aukšto lygio grupės ataskaita.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Iki 2018 m. pabaigos Konkurencingumo taryba susitarė dėl dalinio bendro požiūrio dėl pagrindinio reglamento</w:t>
      </w:r>
      <w:r>
        <w:rPr>
          <w:rStyle w:val="FootnoteReference"/>
          <w:rFonts w:eastAsia="Calibri"/>
          <w:noProof/>
          <w:sz w:val="24"/>
          <w:szCs w:val="24"/>
        </w:rPr>
        <w:footnoteReference w:id="13"/>
      </w:r>
      <w:r>
        <w:rPr>
          <w:rFonts w:ascii="Times New Roman" w:hAnsi="Times New Roman"/>
          <w:noProof/>
          <w:sz w:val="24"/>
          <w:szCs w:val="24"/>
        </w:rPr>
        <w:t>, o Europos Parlamentas</w:t>
      </w:r>
      <w:r>
        <w:rPr>
          <w:rStyle w:val="FootnoteReference"/>
          <w:rFonts w:eastAsia="Calibri"/>
          <w:noProof/>
          <w:sz w:val="24"/>
          <w:szCs w:val="24"/>
        </w:rPr>
        <w:footnoteReference w:id="14"/>
      </w:r>
      <w:r>
        <w:rPr>
          <w:rFonts w:ascii="Times New Roman" w:hAnsi="Times New Roman"/>
          <w:noProof/>
          <w:sz w:val="24"/>
          <w:szCs w:val="24"/>
        </w:rPr>
        <w:t xml:space="preserve"> per plenarinį posėdį pritarė Pramonės, mokslinių tyrimų ir energetikos komiteto (ITRE) pranešimui dėl dokumentų rinkinio.</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Komisijos pasiūlymų struktūra sudaryta pagal tris ašis: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atvirąjį mokslą;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pasaulinius uždavinius bei pramonės konkurencingumą ir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atvirąsias inovacijas.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Taip pat bus įtraukta papildoma dalis dėl Europos mokslinių tyrimų erdvės (EMTE) stiprinimo.</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Atsižvelgiant į tai, kad, laikantis Sąjungos įsipareigojimų įgyvendinti Paryžiaus susitarimą ir siekti DVT, svarbu spręsti su klimato kaita susijusias problemas, programoje „Europos horizontas“ numatytas klimato aspekto integravimo tikslas, kuriam reikėtų skirti ne mažiau kaip 35 proc. viso finansinio paketo.</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Kalbant apie programavimo atvirumą, buvo pasiūlytas</w:t>
      </w:r>
      <w:r>
        <w:rPr>
          <w:rFonts w:ascii="Times New Roman" w:hAnsi="Times New Roman"/>
          <w:b/>
          <w:noProof/>
          <w:sz w:val="24"/>
          <w:szCs w:val="24"/>
        </w:rPr>
        <w:t xml:space="preserve"> strateginis planavimo procesas</w:t>
      </w:r>
      <w:r>
        <w:rPr>
          <w:rFonts w:ascii="Times New Roman" w:hAnsi="Times New Roman"/>
          <w:noProof/>
          <w:sz w:val="24"/>
          <w:szCs w:val="24"/>
        </w:rPr>
        <w:t>, pagal kurį bus pateiktos daugiametės strateginės gairės, grindžiamos valstybių narių ir suinteresuotųjų subjektų bendro projektavimo principu. Šis įtraukus procesas taip pat skatins sąveiką su kitomis ES programomis bei politikos sritimis ir nuolatinį dialogą su pilietine visuomene.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Pagal antrąją veiklos sritį („pasauliniai uždaviniai ir pramonės konkurencingumas“) bus pradėtos įgyvendinti kelios kartu su galutiniais naudotojais parengtos </w:t>
      </w:r>
      <w:r>
        <w:rPr>
          <w:rFonts w:ascii="Times New Roman" w:hAnsi="Times New Roman"/>
          <w:b/>
          <w:noProof/>
          <w:sz w:val="24"/>
          <w:szCs w:val="24"/>
        </w:rPr>
        <w:t>misijos</w:t>
      </w:r>
      <w:r>
        <w:rPr>
          <w:rFonts w:ascii="Times New Roman" w:hAnsi="Times New Roman"/>
          <w:noProof/>
          <w:sz w:val="24"/>
          <w:szCs w:val="24"/>
        </w:rPr>
        <w:t xml:space="preserve">, pagrįstos tarpsektoriniu ir tarpdalykiniu modeliais ir aiškiais pradžioje nustatytais uždaviniais. Taikant iš ataskaitos </w:t>
      </w:r>
      <w:r>
        <w:rPr>
          <w:rFonts w:ascii="Times New Roman" w:hAnsi="Times New Roman"/>
          <w:i/>
          <w:noProof/>
          <w:sz w:val="24"/>
          <w:szCs w:val="24"/>
        </w:rPr>
        <w:t>Misijos. Į misijas orientuoti moksliniai tyrimai ir inovacijos Europos Sąjungoje</w:t>
      </w:r>
      <w:r>
        <w:rPr>
          <w:rFonts w:ascii="Times New Roman" w:hAnsi="Times New Roman"/>
          <w:noProof/>
          <w:sz w:val="24"/>
          <w:szCs w:val="24"/>
        </w:rPr>
        <w:t xml:space="preserve"> (angl. </w:t>
      </w:r>
      <w:r>
        <w:rPr>
          <w:rFonts w:ascii="Times New Roman" w:hAnsi="Times New Roman"/>
          <w:i/>
          <w:noProof/>
          <w:sz w:val="24"/>
          <w:szCs w:val="24"/>
        </w:rPr>
        <w:t>Missions: Mission-oriented research &amp; innovation in the European Union</w:t>
      </w:r>
      <w:r>
        <w:rPr>
          <w:rFonts w:ascii="Times New Roman" w:hAnsi="Times New Roman"/>
          <w:noProof/>
          <w:sz w:val="24"/>
          <w:szCs w:val="24"/>
        </w:rPr>
        <w:t>)</w:t>
      </w:r>
      <w:r>
        <w:rPr>
          <w:rStyle w:val="FootnoteReference"/>
          <w:rFonts w:eastAsia="Calibri"/>
          <w:noProof/>
          <w:sz w:val="24"/>
          <w:szCs w:val="24"/>
        </w:rPr>
        <w:footnoteReference w:id="15"/>
      </w:r>
      <w:r>
        <w:rPr>
          <w:rFonts w:ascii="Times New Roman" w:hAnsi="Times New Roman"/>
          <w:noProof/>
          <w:sz w:val="24"/>
          <w:szCs w:val="24"/>
        </w:rPr>
        <w:t xml:space="preserve"> perimtą į misijas orientuotą metodą, bus pabrėžiamas MTI politikos kryptingumas.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Trečiojoje veiklos srityje (atvirosios inovacijos) siekiant, kad </w:t>
      </w:r>
      <w:r>
        <w:rPr>
          <w:rFonts w:ascii="Times New Roman" w:hAnsi="Times New Roman"/>
          <w:b/>
          <w:noProof/>
          <w:sz w:val="24"/>
          <w:szCs w:val="24"/>
        </w:rPr>
        <w:t>Europos inovacijų tarybos (EIC)</w:t>
      </w:r>
      <w:r>
        <w:rPr>
          <w:rFonts w:ascii="Times New Roman" w:hAnsi="Times New Roman"/>
          <w:noProof/>
          <w:sz w:val="24"/>
          <w:szCs w:val="24"/>
        </w:rPr>
        <w:t xml:space="preserve"> parama būtų nukreipta proveržio inovacijoms ir rinkas formuojančioms inovacijoms užtikrinant tęstinumą pereinant nuo MTI prie diegimo rinkoje ir novatoriškų bendrovių veiklos masto plėtimo, bus naudojamos dvi papildomos priemonės:</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pagal </w:t>
      </w:r>
      <w:r>
        <w:rPr>
          <w:rFonts w:ascii="Times New Roman" w:hAnsi="Times New Roman"/>
          <w:noProof/>
          <w:sz w:val="24"/>
          <w:szCs w:val="24"/>
          <w:u w:val="single"/>
        </w:rPr>
        <w:t>Europos inovacijų tarybos programą „Pathfinder“</w:t>
      </w:r>
      <w:r>
        <w:rPr>
          <w:rFonts w:ascii="Times New Roman" w:hAnsi="Times New Roman"/>
          <w:noProof/>
          <w:sz w:val="24"/>
          <w:szCs w:val="24"/>
        </w:rPr>
        <w:t xml:space="preserve"> bus remiami moksliniai tyrimai, kuriais prisidedama prie radikalių pokyčių ir rinkas formuojančių inovacijų kūrimo, ir </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pagal </w:t>
      </w:r>
      <w:r>
        <w:rPr>
          <w:rFonts w:ascii="Times New Roman" w:hAnsi="Times New Roman"/>
          <w:noProof/>
          <w:sz w:val="24"/>
          <w:szCs w:val="24"/>
          <w:u w:val="single"/>
        </w:rPr>
        <w:t>Europos inovacijų tarybos programą „Accelerator“</w:t>
      </w:r>
      <w:r>
        <w:rPr>
          <w:rFonts w:ascii="Times New Roman" w:hAnsi="Times New Roman"/>
          <w:noProof/>
          <w:sz w:val="24"/>
          <w:szCs w:val="24"/>
        </w:rPr>
        <w:t xml:space="preserve"> bus teikiamas konkrečiai pritaikytas mišrus finansavimas, siekiant remti rinkas formuojančias inovacijas ir plėsti novatoriškų bendrovių veiklos mastą.</w:t>
      </w:r>
    </w:p>
    <w:p>
      <w:pPr>
        <w:spacing w:after="24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Europos semestras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Rengdamasi Europos semestro ekonominės politikos ciklui, Komisija paskelbė ataskaitas apie kiekvieną valstybę narę</w:t>
      </w:r>
      <w:r>
        <w:rPr>
          <w:rStyle w:val="FootnoteReference"/>
          <w:rFonts w:eastAsia="Calibri"/>
          <w:noProof/>
          <w:sz w:val="24"/>
          <w:szCs w:val="24"/>
        </w:rPr>
        <w:footnoteReference w:id="16"/>
      </w:r>
      <w:r>
        <w:rPr>
          <w:rFonts w:ascii="Times New Roman" w:hAnsi="Times New Roman"/>
          <w:noProof/>
          <w:sz w:val="24"/>
          <w:szCs w:val="24"/>
        </w:rPr>
        <w:t>. Iš viso 13 valstybių narių gavo konkrečiai šaliai skirtas rekomendacijas, kuriose akcentuotos problemos, susijusios su nacionalinių MTI sistemų kokybe ir efektyvumu, daugiausia dėmesio skiriant tam, kad:</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naudojantis viešosiomis investicijomis į MTI būtų užtikrinta aukštesnė mokslinės veiklos kokybė, geresnė mokslinė bazė ir daugiau poveikio;</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būtų stiprinami mokslininkų ir verslininkų ryšiai ir </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būtų pašalintos kliūtys, turinčios įtakos verslo aplinkai ir investicijoms į inovacijas.</w:t>
      </w:r>
    </w:p>
    <w:p>
      <w:pPr>
        <w:spacing w:after="240" w:line="240" w:lineRule="auto"/>
        <w:jc w:val="both"/>
        <w:rPr>
          <w:rFonts w:ascii="Times New Roman" w:eastAsia="Calibri" w:hAnsi="Times New Roman" w:cs="Times New Roman"/>
          <w:b/>
          <w:i/>
          <w:noProof/>
          <w:sz w:val="24"/>
          <w:szCs w:val="24"/>
        </w:rPr>
      </w:pPr>
      <w:r>
        <w:rPr>
          <w:rFonts w:ascii="Times New Roman" w:hAnsi="Times New Roman"/>
          <w:b/>
          <w:i/>
          <w:noProof/>
          <w:sz w:val="24"/>
          <w:szCs w:val="24"/>
        </w:rPr>
        <w:t>Atvirosios inovacijos</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Pirmuoju EIC bandomojo projekto etapu (žr. 4.2 skyrių) buvo remiama labai daug novatorių – iki metų pabaigos 1 276 projektams iš viso skirta 731,15 mln. EUR</w:t>
      </w:r>
      <w:r>
        <w:rPr>
          <w:rStyle w:val="FootnoteReference"/>
          <w:rFonts w:eastAsia="Calibri"/>
          <w:noProof/>
          <w:sz w:val="24"/>
          <w:szCs w:val="24"/>
        </w:rPr>
        <w:footnoteReference w:id="17"/>
      </w:r>
      <w:r>
        <w:rPr>
          <w:rFonts w:ascii="Times New Roman" w:hAnsi="Times New Roman"/>
          <w:noProof/>
          <w:sz w:val="24"/>
          <w:szCs w:val="24"/>
        </w:rPr>
        <w:t xml:space="preserv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Komisija ėmėsi veiksmų, siekdama užtikrinti, kad novatoriškos Europos įmonės turėtų geresnes galimybes gauti finansavimą, reikalingą našumui didinti</w:t>
      </w:r>
      <w:r>
        <w:rPr>
          <w:rStyle w:val="FootnoteReference"/>
          <w:rFonts w:eastAsia="Calibri"/>
          <w:noProof/>
          <w:sz w:val="24"/>
          <w:szCs w:val="24"/>
        </w:rPr>
        <w:footnoteReference w:id="18"/>
      </w:r>
      <w:r>
        <w:rPr>
          <w:rFonts w:ascii="Times New Roman" w:hAnsi="Times New Roman"/>
          <w:noProof/>
          <w:sz w:val="24"/>
          <w:szCs w:val="24"/>
        </w:rPr>
        <w:t>. Ji pradėjo įgyvendinti „VentureEU“</w:t>
      </w:r>
      <w:r>
        <w:rPr>
          <w:rStyle w:val="FootnoteReference"/>
          <w:rFonts w:eastAsia="Calibri"/>
          <w:noProof/>
          <w:sz w:val="24"/>
          <w:szCs w:val="24"/>
        </w:rPr>
        <w:footnoteReference w:id="19"/>
      </w:r>
      <w:r>
        <w:rPr>
          <w:rFonts w:ascii="Times New Roman" w:hAnsi="Times New Roman"/>
          <w:noProof/>
          <w:sz w:val="24"/>
          <w:szCs w:val="24"/>
        </w:rPr>
        <w:t> – Europos masto rizikos kapitalo fondų fondo programą, kuria siekiama padvigubinti Europos rizikos kapitalo sumą.</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2018 m. leidinyje </w:t>
      </w:r>
      <w:r>
        <w:rPr>
          <w:rFonts w:ascii="Times New Roman" w:hAnsi="Times New Roman"/>
          <w:b/>
          <w:i/>
          <w:noProof/>
          <w:sz w:val="24"/>
          <w:szCs w:val="24"/>
        </w:rPr>
        <w:t>Mokslinių tyrimų ir inovacijų veiklos rezultatai ES</w:t>
      </w:r>
      <w:r>
        <w:rPr>
          <w:rStyle w:val="FootnoteReference"/>
          <w:rFonts w:eastAsia="Calibri"/>
          <w:noProof/>
          <w:sz w:val="24"/>
          <w:szCs w:val="24"/>
        </w:rPr>
        <w:footnoteReference w:id="20"/>
      </w:r>
      <w:r>
        <w:rPr>
          <w:rFonts w:ascii="Times New Roman" w:hAnsi="Times New Roman"/>
          <w:noProof/>
          <w:sz w:val="24"/>
          <w:szCs w:val="24"/>
        </w:rPr>
        <w:t xml:space="preserve"> (angl. </w:t>
      </w:r>
      <w:r>
        <w:rPr>
          <w:rFonts w:ascii="Times New Roman" w:hAnsi="Times New Roman"/>
          <w:i/>
          <w:noProof/>
          <w:sz w:val="24"/>
          <w:szCs w:val="24"/>
        </w:rPr>
        <w:t>Science research and innovation performance of the EU</w:t>
      </w:r>
      <w:r>
        <w:rPr>
          <w:rFonts w:ascii="Times New Roman" w:hAnsi="Times New Roman"/>
          <w:noProof/>
          <w:sz w:val="24"/>
          <w:szCs w:val="24"/>
        </w:rPr>
        <w:t>) pabrėžta, kad ES ekonomikos klestėjimas ir socialinis modelis priklauso nuo jos gebėjimo kurti ir platinti inovacijas. ES, norėdama įveikti didelę našumo problemą ir išlaikyti ekonomikos augimą, turi naudotis atsirandančiomis inovacijomis ir technologijomis.</w:t>
      </w:r>
    </w:p>
    <w:p>
      <w:pPr>
        <w:spacing w:after="240" w:line="240" w:lineRule="auto"/>
        <w:jc w:val="both"/>
        <w:rPr>
          <w:rFonts w:ascii="Times New Roman" w:eastAsia="Calibri" w:hAnsi="Times New Roman" w:cs="Times New Roman"/>
          <w:b/>
          <w:i/>
          <w:noProof/>
          <w:sz w:val="24"/>
          <w:szCs w:val="24"/>
        </w:rPr>
      </w:pPr>
      <w:r>
        <w:rPr>
          <w:rFonts w:ascii="Times New Roman" w:hAnsi="Times New Roman"/>
          <w:b/>
          <w:i/>
          <w:noProof/>
          <w:sz w:val="24"/>
          <w:szCs w:val="24"/>
        </w:rPr>
        <w:t>Atvirasis mokslas</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Komisija nustatė </w:t>
      </w:r>
      <w:r>
        <w:rPr>
          <w:rFonts w:ascii="Times New Roman" w:hAnsi="Times New Roman"/>
          <w:b/>
          <w:noProof/>
          <w:sz w:val="24"/>
          <w:szCs w:val="24"/>
        </w:rPr>
        <w:t>Europos atvirojo mokslo debesijos</w:t>
      </w:r>
      <w:r>
        <w:rPr>
          <w:rFonts w:ascii="Times New Roman" w:hAnsi="Times New Roman"/>
          <w:noProof/>
          <w:sz w:val="24"/>
          <w:szCs w:val="24"/>
        </w:rPr>
        <w:t xml:space="preserve"> (angl. </w:t>
      </w:r>
      <w:r>
        <w:rPr>
          <w:rFonts w:ascii="Times New Roman" w:hAnsi="Times New Roman"/>
          <w:i/>
          <w:noProof/>
          <w:sz w:val="24"/>
          <w:szCs w:val="24"/>
        </w:rPr>
        <w:t>European Science Cloud</w:t>
      </w:r>
      <w:r>
        <w:rPr>
          <w:rFonts w:ascii="Times New Roman" w:hAnsi="Times New Roman"/>
          <w:noProof/>
          <w:sz w:val="24"/>
          <w:szCs w:val="24"/>
        </w:rPr>
        <w:t>, EOSC) valdymo tvarką, kuria siekiama išnaudoti ES MTI potencialą susiejant „žmones, duomenis, paslaugas ir mokymą, taip pat leidinius &lt;...&gt; iš įvairių šalių ir skirtingų mokslo disciplinų“</w:t>
      </w:r>
      <w:r>
        <w:rPr>
          <w:rStyle w:val="FootnoteReference"/>
          <w:rFonts w:eastAsia="Calibri"/>
          <w:noProof/>
          <w:sz w:val="24"/>
          <w:szCs w:val="24"/>
        </w:rPr>
        <w:footnoteReference w:id="21"/>
      </w:r>
      <w:r>
        <w:rPr>
          <w:rFonts w:ascii="Times New Roman" w:hAnsi="Times New Roman"/>
          <w:noProof/>
          <w:sz w:val="24"/>
          <w:szCs w:val="24"/>
        </w:rPr>
        <w:t xml:space="preserve">. Ji sušaukė pirmąjį EOSC valdybos, kurią sudaro valstybių narių ir asocijuotųjų šalių atstovai, posėdį.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Atsižvelgdama į technologinius ir institucinius pokyčius, Komisija atnaujino savo </w:t>
      </w:r>
      <w:r>
        <w:rPr>
          <w:rFonts w:ascii="Times New Roman" w:hAnsi="Times New Roman"/>
          <w:b/>
          <w:noProof/>
          <w:sz w:val="24"/>
          <w:szCs w:val="24"/>
        </w:rPr>
        <w:t>Rekomendaciją dėl prieigos prie mokslinės informacijos ir tos informacijos išsaugojimo</w:t>
      </w:r>
      <w:r>
        <w:rPr>
          <w:rStyle w:val="FootnoteReference"/>
          <w:rFonts w:eastAsia="Calibri"/>
          <w:noProof/>
          <w:sz w:val="24"/>
          <w:szCs w:val="24"/>
        </w:rPr>
        <w:footnoteReference w:id="22"/>
      </w:r>
      <w:r>
        <w:rPr>
          <w:rFonts w:ascii="Times New Roman" w:hAnsi="Times New Roman"/>
          <w:noProof/>
          <w:sz w:val="24"/>
          <w:szCs w:val="24"/>
        </w:rPr>
        <w:t xml:space="preserv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Siekdama paspartinti perėjimą prie atviros prieigos, Komisija bendradarbiavo su nacionalinėmis finansavimo agentūromis, kad paremtų iniciatyvos </w:t>
      </w:r>
      <w:r>
        <w:rPr>
          <w:rFonts w:ascii="Times New Roman" w:hAnsi="Times New Roman"/>
          <w:b/>
          <w:noProof/>
          <w:sz w:val="24"/>
          <w:szCs w:val="24"/>
        </w:rPr>
        <w:t>„Plan S“</w:t>
      </w:r>
      <w:r>
        <w:rPr>
          <w:rStyle w:val="FootnoteReference"/>
          <w:rFonts w:eastAsia="Calibri"/>
          <w:noProof/>
          <w:sz w:val="24"/>
          <w:szCs w:val="24"/>
        </w:rPr>
        <w:footnoteReference w:id="23"/>
      </w:r>
      <w:r>
        <w:rPr>
          <w:rFonts w:ascii="Times New Roman" w:hAnsi="Times New Roman"/>
          <w:noProof/>
          <w:sz w:val="24"/>
          <w:szCs w:val="24"/>
        </w:rPr>
        <w:t xml:space="preserve"> įgyvendinimą. </w:t>
      </w:r>
    </w:p>
    <w:p>
      <w:pPr>
        <w:spacing w:after="240" w:line="240" w:lineRule="auto"/>
        <w:jc w:val="both"/>
        <w:rPr>
          <w:rFonts w:ascii="Times New Roman" w:eastAsia="Calibri" w:hAnsi="Times New Roman" w:cs="Times New Roman"/>
          <w:b/>
          <w:i/>
          <w:noProof/>
          <w:sz w:val="24"/>
          <w:szCs w:val="24"/>
        </w:rPr>
      </w:pPr>
      <w:r>
        <w:rPr>
          <w:rFonts w:ascii="Times New Roman" w:hAnsi="Times New Roman"/>
          <w:b/>
          <w:i/>
          <w:noProof/>
          <w:sz w:val="24"/>
          <w:szCs w:val="24"/>
        </w:rPr>
        <w:t>Atvirumas pasauliui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Kadangi vis daugiau dėmesio skiriama mokslo diplomatijai, tarptautinis bendradarbiavimas MTI srityje sustiprino ES kaip pasaulinio masto veikėjos įtaką.</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Įgyvendinant iniciatyvą „Horizontas 2020“ ir toliau buvo remiama darbinė ir mokslinė Tarpvyriausybinės mokslinės politinės biologinės įvairovės ir ekosisteminių paslaugų platformos</w:t>
      </w:r>
      <w:r>
        <w:rPr>
          <w:rFonts w:ascii="Times New Roman" w:hAnsi="Times New Roman"/>
          <w:noProof/>
          <w:color w:val="0000FF"/>
          <w:sz w:val="24"/>
          <w:szCs w:val="24"/>
        </w:rPr>
        <w:t xml:space="preserve"> </w:t>
      </w:r>
      <w:r>
        <w:rPr>
          <w:rFonts w:ascii="Times New Roman" w:hAnsi="Times New Roman"/>
          <w:noProof/>
          <w:sz w:val="24"/>
          <w:szCs w:val="24"/>
        </w:rPr>
        <w:t>(</w:t>
      </w:r>
      <w:r>
        <w:rPr>
          <w:rFonts w:ascii="Times New Roman" w:hAnsi="Times New Roman"/>
          <w:b/>
          <w:noProof/>
          <w:sz w:val="24"/>
          <w:szCs w:val="24"/>
        </w:rPr>
        <w:t>IPBES</w:t>
      </w:r>
      <w:r>
        <w:rPr>
          <w:rFonts w:ascii="Times New Roman" w:hAnsi="Times New Roman"/>
          <w:noProof/>
          <w:sz w:val="24"/>
          <w:szCs w:val="24"/>
        </w:rPr>
        <w:t>) ir Tarpvyriausybinės klimato kaitos komisijos (</w:t>
      </w:r>
      <w:r>
        <w:rPr>
          <w:rFonts w:ascii="Times New Roman" w:hAnsi="Times New Roman"/>
          <w:b/>
          <w:noProof/>
          <w:sz w:val="24"/>
          <w:szCs w:val="24"/>
        </w:rPr>
        <w:t>IPCC)</w:t>
      </w:r>
      <w:r>
        <w:rPr>
          <w:rFonts w:ascii="Times New Roman" w:hAnsi="Times New Roman"/>
          <w:noProof/>
          <w:sz w:val="24"/>
          <w:szCs w:val="24"/>
        </w:rPr>
        <w:t xml:space="preserve"> veikla. Specialiais programos „Horizontas 2020“ kvietimais remiamas papildomas mokslinių žinių plėtimas</w:t>
      </w:r>
      <w:r>
        <w:rPr>
          <w:rStyle w:val="FootnoteReference"/>
          <w:rFonts w:eastAsia="Calibri"/>
          <w:noProof/>
          <w:sz w:val="24"/>
          <w:szCs w:val="24"/>
        </w:rPr>
        <w:footnoteReference w:id="24"/>
      </w:r>
      <w:r>
        <w:rPr>
          <w:rFonts w:ascii="Times New Roman" w:hAnsi="Times New Roman"/>
          <w:noProof/>
          <w:sz w:val="24"/>
          <w:szCs w:val="24"/>
        </w:rPr>
        <w:t xml:space="preserve"> ir minėtų institucijų veikimas, taigi skatinamas daugiašališkumas.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Komisija kartu su Vokietija ir Suomija surengė</w:t>
      </w:r>
      <w:r>
        <w:rPr>
          <w:rFonts w:ascii="Times New Roman" w:hAnsi="Times New Roman"/>
          <w:b/>
          <w:noProof/>
          <w:sz w:val="24"/>
          <w:szCs w:val="24"/>
        </w:rPr>
        <w:t xml:space="preserve"> antrąjį ministrų posėdį su Arkties tyrimais susijusios mokslinės veiklos klausimais</w:t>
      </w:r>
      <w:r>
        <w:rPr>
          <w:rStyle w:val="FootnoteReference"/>
          <w:rFonts w:eastAsia="Calibri"/>
          <w:noProof/>
          <w:sz w:val="24"/>
          <w:szCs w:val="24"/>
        </w:rPr>
        <w:footnoteReference w:id="25"/>
      </w:r>
      <w:r>
        <w:rPr>
          <w:rFonts w:ascii="Times New Roman" w:hAnsi="Times New Roman"/>
          <w:noProof/>
          <w:sz w:val="24"/>
          <w:szCs w:val="24"/>
        </w:rPr>
        <w:t>, kurio pabaigoje buvo priimtas bendras ES, 23 šalių ir šešių čiabuvių organizacijų pareiškimas</w:t>
      </w:r>
      <w:r>
        <w:rPr>
          <w:rStyle w:val="FootnoteReference"/>
          <w:rFonts w:eastAsia="Calibri"/>
          <w:noProof/>
          <w:sz w:val="24"/>
          <w:szCs w:val="24"/>
        </w:rPr>
        <w:footnoteReference w:id="26"/>
      </w:r>
      <w:r>
        <w:rPr>
          <w:rFonts w:ascii="Times New Roman" w:hAnsi="Times New Roman"/>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Komisija, laikydamasi ilgalaikio ES įsipareigojimo bendradarbiauti su </w:t>
      </w:r>
      <w:r>
        <w:rPr>
          <w:rFonts w:ascii="Times New Roman" w:hAnsi="Times New Roman"/>
          <w:b/>
          <w:noProof/>
          <w:sz w:val="24"/>
          <w:szCs w:val="24"/>
        </w:rPr>
        <w:t>Atlanto vandenyno pakrantės šalimis</w:t>
      </w:r>
      <w:r>
        <w:rPr>
          <w:rFonts w:ascii="Times New Roman" w:hAnsi="Times New Roman"/>
          <w:noProof/>
          <w:sz w:val="24"/>
          <w:szCs w:val="24"/>
        </w:rPr>
        <w:t xml:space="preserve"> MTI srityje, pasirašė susitarimus su Argentina ir Žaliuoju Kyšuliu, kad būtų stiprinamas ir intensyvinamas bendradarbiavimas MTI srityje mėlynojo augimo klausimais ir sprendžiami su Atlanto vandenynu susiję iššūkiai, kaip antai vandenyno stebėjimas, apsirūpinimas maistu, poliarinio regiono moksliniai tyrimai ir klimato sąlygų nepastovumas.</w:t>
      </w:r>
    </w:p>
    <w:p>
      <w:pPr>
        <w:spacing w:after="240" w:line="240" w:lineRule="auto"/>
        <w:jc w:val="both"/>
        <w:rPr>
          <w:rFonts w:ascii="Times New Roman" w:eastAsia="Calibri" w:hAnsi="Times New Roman" w:cs="Times New Roman"/>
          <w:b/>
          <w:i/>
          <w:noProof/>
          <w:sz w:val="24"/>
          <w:szCs w:val="24"/>
        </w:rPr>
      </w:pPr>
      <w:r>
        <w:rPr>
          <w:rFonts w:ascii="Times New Roman" w:hAnsi="Times New Roman"/>
          <w:b/>
          <w:i/>
          <w:noProof/>
          <w:sz w:val="24"/>
          <w:szCs w:val="24"/>
        </w:rPr>
        <w:t>Kitos politikos priemonės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Komisija paskelbė du reikšmingus komunikatus dėl su MTI susijusių pasaulinių iššūkių:</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i/>
          <w:noProof/>
          <w:sz w:val="24"/>
          <w:szCs w:val="24"/>
        </w:rPr>
        <w:t>Tvari Europos bioekonomika. Ekonomikos, visuomenės ir aplinkos sąsajų stiprinimas</w:t>
      </w:r>
      <w:r>
        <w:rPr>
          <w:rStyle w:val="FootnoteReference"/>
          <w:rFonts w:eastAsia="Calibri"/>
          <w:noProof/>
          <w:sz w:val="24"/>
          <w:szCs w:val="24"/>
        </w:rPr>
        <w:footnoteReference w:id="27"/>
      </w:r>
      <w:r>
        <w:rPr>
          <w:rFonts w:ascii="Times New Roman" w:hAnsi="Times New Roman"/>
          <w:noProof/>
          <w:sz w:val="24"/>
          <w:szCs w:val="24"/>
        </w:rPr>
        <w:t xml:space="preserve"> – šiuo komunikatu atnaujinama ES bioekonomikos strategija. MTI ir toliau atliks svarbų vaidmenį visose trijose 2019 m. pradėtų įgyvendinti veiksmų grupėse: </w:t>
      </w:r>
    </w:p>
    <w:p>
      <w:pPr>
        <w:pStyle w:val="ListParagraph"/>
        <w:numPr>
          <w:ilvl w:val="1"/>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stiprinant biologinių produktų sektorius ir plečiant jų veiklą; </w:t>
      </w:r>
    </w:p>
    <w:p>
      <w:pPr>
        <w:pStyle w:val="ListParagraph"/>
        <w:numPr>
          <w:ilvl w:val="1"/>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visoje Europoje diegiant vietos bioekonomiką ir </w:t>
      </w:r>
    </w:p>
    <w:p>
      <w:pPr>
        <w:pStyle w:val="ListParagraph"/>
        <w:numPr>
          <w:ilvl w:val="1"/>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skatinant suprasti bioekonomikos ekologines išgales, taip pat</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i/>
          <w:noProof/>
          <w:sz w:val="24"/>
          <w:szCs w:val="24"/>
        </w:rPr>
        <w:t>Švari mūsų visų planeta: Strateginė klestinčios, modernios ir konkurencingos neutralizuoto poveikio klimatui Europos ekonomikos ateities vizija</w:t>
      </w:r>
      <w:r>
        <w:rPr>
          <w:rStyle w:val="FootnoteReference"/>
          <w:rFonts w:eastAsia="Calibri"/>
          <w:noProof/>
          <w:sz w:val="24"/>
          <w:szCs w:val="24"/>
        </w:rPr>
        <w:footnoteReference w:id="28"/>
      </w:r>
      <w:r>
        <w:rPr>
          <w:rFonts w:ascii="Times New Roman" w:hAnsi="Times New Roman"/>
          <w:noProof/>
          <w:sz w:val="24"/>
          <w:szCs w:val="24"/>
        </w:rPr>
        <w:noBreakHyphen/>
        <w:t xml:space="preserve"> – šiame komunikate nurodyta, kaip ES pradėjo įgyvendinti perėjimą, kurio reikia siekiant klimato atžvilgiu neutralios ekonomikos, taip pat nustatyti septyni konkretūs būdai, kaip siekti sėkmingų rezultatų. Jame taip pat pabrėžiama finansavimo panaudojimo ir MTI įgyvendinimo svarba remiant įvairius veiksmus, kurių reikia norint, kad klimato atžvilgiu neutrali ekonomika taptų realybe.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Vėliau buvo įgyvendinamos komunikate </w:t>
      </w:r>
      <w:r>
        <w:rPr>
          <w:rFonts w:ascii="Times New Roman" w:hAnsi="Times New Roman"/>
          <w:i/>
          <w:noProof/>
          <w:sz w:val="24"/>
          <w:szCs w:val="24"/>
        </w:rPr>
        <w:t>Spartesnis švarios energetikos inovacijų kūrimas ir diegimas</w:t>
      </w:r>
      <w:r>
        <w:rPr>
          <w:rFonts w:ascii="Times New Roman" w:hAnsi="Times New Roman"/>
          <w:noProof/>
          <w:sz w:val="24"/>
          <w:szCs w:val="24"/>
        </w:rPr>
        <w:t xml:space="preserve"> numatytos 20 politikos priemonių</w:t>
      </w:r>
      <w:r>
        <w:rPr>
          <w:rStyle w:val="FootnoteReference"/>
          <w:rFonts w:eastAsia="Calibri"/>
          <w:noProof/>
          <w:sz w:val="24"/>
          <w:szCs w:val="24"/>
        </w:rPr>
        <w:footnoteReference w:id="29"/>
      </w:r>
      <w:r>
        <w:rPr>
          <w:rFonts w:ascii="Times New Roman" w:hAnsi="Times New Roman"/>
          <w:noProof/>
          <w:sz w:val="24"/>
          <w:szCs w:val="24"/>
        </w:rPr>
        <w:t>, kurios, naudojantis MTI, padeda siekti Europos Sąjungos tikslų.</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Aukšto lygio strateginė grupė pramonės technologijų klausimais paskelbė, kokio politikos principo ji siūlo laikytis bazinių didelio poveikio technologijų (angl. </w:t>
      </w:r>
      <w:r>
        <w:rPr>
          <w:rFonts w:ascii="Times New Roman" w:hAnsi="Times New Roman"/>
          <w:i/>
          <w:noProof/>
          <w:sz w:val="24"/>
          <w:szCs w:val="24"/>
        </w:rPr>
        <w:t>key enabling technologies</w:t>
      </w:r>
      <w:r>
        <w:rPr>
          <w:rFonts w:ascii="Times New Roman" w:hAnsi="Times New Roman"/>
          <w:noProof/>
          <w:sz w:val="24"/>
          <w:szCs w:val="24"/>
        </w:rPr>
        <w:t>, KET)</w:t>
      </w:r>
      <w:r>
        <w:rPr>
          <w:rStyle w:val="FootnoteReference"/>
          <w:rFonts w:eastAsia="Calibri"/>
          <w:noProof/>
          <w:sz w:val="24"/>
          <w:szCs w:val="24"/>
        </w:rPr>
        <w:footnoteReference w:id="30"/>
      </w:r>
      <w:r>
        <w:rPr>
          <w:rFonts w:ascii="Times New Roman" w:hAnsi="Times New Roman"/>
          <w:noProof/>
          <w:sz w:val="24"/>
          <w:szCs w:val="24"/>
        </w:rPr>
        <w:t xml:space="preserve"> atžvilgiu. Ji patvirtino 2009 m. nustatytas šešias KET ir pasiūlė įtraukti dvi naujas KET: </w:t>
      </w:r>
    </w:p>
    <w:p>
      <w:pPr>
        <w:pStyle w:val="ListParagraph"/>
        <w:numPr>
          <w:ilvl w:val="0"/>
          <w:numId w:val="5"/>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dirbtinį intelektą ir </w:t>
      </w:r>
    </w:p>
    <w:p>
      <w:pPr>
        <w:pStyle w:val="ListParagraph"/>
        <w:numPr>
          <w:ilvl w:val="0"/>
          <w:numId w:val="5"/>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skaitmeninį saugumą ir junglumą.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Vyriausiųjų mokslinių patarėjų darbo grupė (Mokslinių konsultacijų mechanizmo aukšto lygio darbo grupės veiklą pratęsusi grupė</w:t>
      </w:r>
      <w:r>
        <w:rPr>
          <w:rStyle w:val="FootnoteReference"/>
          <w:rFonts w:eastAsia="Calibri"/>
          <w:noProof/>
          <w:sz w:val="24"/>
          <w:szCs w:val="24"/>
        </w:rPr>
        <w:footnoteReference w:id="31"/>
      </w:r>
      <w:r>
        <w:rPr>
          <w:rFonts w:ascii="Times New Roman" w:hAnsi="Times New Roman"/>
          <w:noProof/>
          <w:sz w:val="24"/>
          <w:szCs w:val="24"/>
        </w:rPr>
        <w:t xml:space="preserve">) pateikė svarbią mokslinę nuomonę dėl </w:t>
      </w:r>
      <w:r>
        <w:rPr>
          <w:rFonts w:ascii="Times New Roman" w:hAnsi="Times New Roman"/>
          <w:i/>
          <w:noProof/>
          <w:sz w:val="24"/>
          <w:szCs w:val="24"/>
        </w:rPr>
        <w:t>naujų anglies dioksido surinkimo ir panaudojimo technologijų</w:t>
      </w:r>
      <w:r>
        <w:rPr>
          <w:rStyle w:val="FootnoteReference"/>
          <w:rFonts w:eastAsia="Calibri"/>
          <w:noProof/>
          <w:sz w:val="24"/>
          <w:szCs w:val="24"/>
        </w:rPr>
        <w:footnoteReference w:id="32"/>
      </w:r>
      <w:r>
        <w:rPr>
          <w:rFonts w:ascii="Times New Roman" w:hAnsi="Times New Roman"/>
          <w:noProof/>
          <w:sz w:val="24"/>
          <w:szCs w:val="24"/>
        </w:rPr>
        <w:t xml:space="preserve"> ir parengė rekomendacijas dėl opių reglamentavimo iššūkių, pvz., susijusių su genų redagavimu</w:t>
      </w:r>
      <w:r>
        <w:rPr>
          <w:rStyle w:val="FootnoteReference"/>
          <w:rFonts w:eastAsia="Calibri"/>
          <w:noProof/>
          <w:sz w:val="24"/>
          <w:szCs w:val="24"/>
        </w:rPr>
        <w:footnoteReference w:id="33"/>
      </w:r>
      <w:r>
        <w:rPr>
          <w:rFonts w:ascii="Times New Roman" w:hAnsi="Times New Roman"/>
          <w:noProof/>
          <w:sz w:val="24"/>
          <w:szCs w:val="24"/>
        </w:rPr>
        <w:t>. Darbo grupė taip pat tiesiogiai bendradarbiavo su plačiąja visuomene</w:t>
      </w:r>
      <w:r>
        <w:rPr>
          <w:noProof/>
          <w:sz w:val="24"/>
          <w:szCs w:val="24"/>
        </w:rPr>
        <w:t>.</w:t>
      </w:r>
      <w:r>
        <w:rPr>
          <w:rFonts w:ascii="Times New Roman" w:hAnsi="Times New Roman"/>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Kitos aukšto lygio iniciatyvos, skirtos daugeliui sričių svarbiems politikos prioritetams, – Europos baterijų aljansas</w:t>
      </w:r>
      <w:r>
        <w:rPr>
          <w:rStyle w:val="FootnoteReference"/>
          <w:rFonts w:eastAsiaTheme="minorHAnsi"/>
          <w:noProof/>
        </w:rPr>
        <w:footnoteReference w:id="34"/>
      </w:r>
      <w:r>
        <w:rPr>
          <w:rFonts w:ascii="Times New Roman" w:hAnsi="Times New Roman"/>
          <w:noProof/>
          <w:sz w:val="24"/>
          <w:szCs w:val="24"/>
        </w:rPr>
        <w:t xml:space="preserve"> ir komunikatas</w:t>
      </w:r>
      <w:r>
        <w:rPr>
          <w:rFonts w:ascii="Times New Roman" w:hAnsi="Times New Roman"/>
          <w:i/>
          <w:noProof/>
          <w:sz w:val="24"/>
          <w:szCs w:val="24"/>
        </w:rPr>
        <w:t xml:space="preserve"> Perėjimas prie automatizuoto susisiekimo. ES ateities susisiekimo strategija</w:t>
      </w:r>
      <w:r>
        <w:rPr>
          <w:rStyle w:val="FootnoteReference"/>
          <w:rFonts w:eastAsia="Calibri"/>
          <w:noProof/>
          <w:sz w:val="24"/>
          <w:szCs w:val="24"/>
        </w:rPr>
        <w:footnoteReference w:id="35"/>
      </w:r>
      <w:r>
        <w:rPr>
          <w:rFonts w:ascii="Times New Roman" w:hAnsi="Times New Roman"/>
          <w:noProof/>
          <w:sz w:val="24"/>
          <w:szCs w:val="24"/>
        </w:rPr>
        <w:t xml:space="preserve"> bei komunikatas dėl </w:t>
      </w:r>
      <w:r>
        <w:rPr>
          <w:rFonts w:ascii="Times New Roman" w:hAnsi="Times New Roman"/>
          <w:i/>
          <w:noProof/>
          <w:sz w:val="24"/>
          <w:szCs w:val="24"/>
        </w:rPr>
        <w:t>endokrininę sistemą ardančių medžiagų</w:t>
      </w:r>
      <w:r>
        <w:rPr>
          <w:rStyle w:val="FootnoteReference"/>
          <w:rFonts w:eastAsiaTheme="minorHAnsi"/>
          <w:i/>
          <w:noProof/>
        </w:rPr>
        <w:footnoteReference w:id="36"/>
      </w:r>
      <w:r>
        <w:rPr>
          <w:rFonts w:ascii="Times New Roman" w:hAnsi="Times New Roman"/>
          <w:noProof/>
          <w:sz w:val="24"/>
          <w:szCs w:val="24"/>
        </w:rPr>
        <w:t>. Įgyvendinant pasiūlytas strategijas ypač svarbūs mokslinio tyrimo aspektai.</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4.</w:t>
      </w:r>
      <w:r>
        <w:rPr>
          <w:rFonts w:ascii="Times New Roman" w:hAnsi="Times New Roman"/>
          <w:b/>
          <w:smallCaps/>
          <w:noProof/>
          <w:sz w:val="24"/>
          <w:szCs w:val="24"/>
        </w:rPr>
        <w:tab/>
        <w:t>Iniciatyvos „Horizontas 2020“ įgyvendinimas</w:t>
      </w:r>
    </w:p>
    <w:p>
      <w:pPr>
        <w:spacing w:after="240" w:line="240" w:lineRule="auto"/>
        <w:ind w:left="567" w:hanging="567"/>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4.1. </w:t>
      </w:r>
      <w:r>
        <w:rPr>
          <w:rFonts w:ascii="Times New Roman" w:hAnsi="Times New Roman"/>
          <w:b/>
          <w:noProof/>
          <w:sz w:val="24"/>
          <w:szCs w:val="24"/>
        </w:rPr>
        <w:tab/>
        <w:t>Atsakas į kvietimus teikti pasiūlymus</w:t>
      </w:r>
    </w:p>
    <w:p>
      <w:pPr>
        <w:autoSpaceDE w:val="0"/>
        <w:autoSpaceDN w:val="0"/>
        <w:adjustRightInd w:val="0"/>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szCs w:val="24"/>
        </w:rPr>
        <w:t>Iki 2018 m. pabaigos</w:t>
      </w:r>
      <w:r>
        <w:rPr>
          <w:rStyle w:val="FootnoteReference"/>
          <w:rFonts w:eastAsia="Calibri"/>
          <w:noProof/>
          <w:sz w:val="24"/>
          <w:szCs w:val="24"/>
        </w:rPr>
        <w:footnoteReference w:id="37"/>
      </w:r>
      <w:r>
        <w:rPr>
          <w:rFonts w:ascii="Times New Roman" w:hAnsi="Times New Roman"/>
          <w:noProof/>
          <w:color w:val="000000"/>
          <w:sz w:val="24"/>
          <w:szCs w:val="24"/>
        </w:rPr>
        <w:t xml:space="preserve"> iš viso baigėsi 679 programos „Horizontas 2020“ kvietimų teikti pasiūlymus terminai; pateikta 191 731 reikalavimus atitinkantis pasiūlymas, kuriuose iš viso prašoma 290,3 mlrd. EUR ES finansinio įnašo. Iš šių pasiūlymų finansavimui gauti buvo atrinkti 23 250 ir per penkerius pirmuosius metus visas reikalavimus atitinkančių ir atrinktų pasiūlymų rodiklis siekė 12,13 proc. Iš viso iki gruodžio mėn. pabaigos pasirašyti 21 599 dotacijų susitarimai, jiems iš ES biudžeto skirtas 38,97 mlrd. EUR finansavimas.</w:t>
      </w:r>
    </w:p>
    <w:p>
      <w:pPr>
        <w:autoSpaceDE w:val="0"/>
        <w:autoSpaceDN w:val="0"/>
        <w:adjustRightInd w:val="0"/>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szCs w:val="24"/>
        </w:rPr>
        <w:t>2014–2018 m. dalyviai iš ES valstybių narių gavo 91,5 proc. finansavimo, o likusios lėšos skirtos dalyviams iš asocijuotųjų šalių (7,2 proc.) ir ES nepriklausančių šalių (1,3 proc.). Nors dalyvių iš asocijuotųjų šalių dalis (7,2 proc.) atitinka gautą finansavimą, dalyvių iš ES nepriklausančių šalių dalis kur kas didesnė (3,9 proc.), o tai rodo, kad atvirumas pasauliui patraukia ir nepriklauso nuo finansavimo.</w:t>
      </w:r>
    </w:p>
    <w:p>
      <w:pPr>
        <w:autoSpaceDE w:val="0"/>
        <w:autoSpaceDN w:val="0"/>
        <w:adjustRightInd w:val="0"/>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szCs w:val="24"/>
        </w:rPr>
        <w:t>Aukštojo mokslo organizacijos ir toliau užimą pirmąją vietą pagal gautą finansavimą (39,8 proc.), o 25,9 proc. 2 ir 3 veiklos srityse skiriamo ES finansavimo tenka MVI.</w:t>
      </w:r>
    </w:p>
    <w:p>
      <w:pPr>
        <w:spacing w:after="240" w:line="240" w:lineRule="auto"/>
        <w:ind w:left="567" w:hanging="567"/>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4.2. </w:t>
      </w:r>
      <w:r>
        <w:rPr>
          <w:rFonts w:ascii="Times New Roman" w:hAnsi="Times New Roman"/>
          <w:b/>
          <w:noProof/>
          <w:sz w:val="24"/>
          <w:szCs w:val="24"/>
        </w:rPr>
        <w:tab/>
        <w:t>Pagrindiniai iniciatyvos „Horizontas 2020“ aspektai</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Pirmasis EIC bandomojo projekto etapas</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b/>
          <w:bCs/>
          <w:noProof/>
          <w:sz w:val="24"/>
          <w:szCs w:val="24"/>
        </w:rPr>
        <w:t>Aukšto lygio novatorių darbo grupė</w:t>
      </w:r>
      <w:r>
        <w:rPr>
          <w:rFonts w:ascii="Times New Roman" w:hAnsi="Times New Roman"/>
          <w:bCs/>
          <w:noProof/>
          <w:sz w:val="24"/>
          <w:szCs w:val="24"/>
        </w:rPr>
        <w:t xml:space="preserve">, paskirta padėti Komisijos nariui C. Moedasui įsteigti EIC, paskelbė ataskaitą </w:t>
      </w:r>
      <w:r>
        <w:rPr>
          <w:rFonts w:ascii="Times New Roman" w:hAnsi="Times New Roman"/>
          <w:bCs/>
          <w:i/>
          <w:noProof/>
          <w:sz w:val="24"/>
          <w:szCs w:val="24"/>
        </w:rPr>
        <w:t>Finansavimas, informuotumas, mastas, talentas</w:t>
      </w:r>
      <w:r>
        <w:rPr>
          <w:rStyle w:val="FootnoteReference"/>
          <w:rFonts w:eastAsia="Calibri"/>
          <w:noProof/>
          <w:sz w:val="24"/>
          <w:szCs w:val="24"/>
        </w:rPr>
        <w:footnoteReference w:id="38"/>
      </w:r>
      <w:r>
        <w:rPr>
          <w:rFonts w:ascii="Times New Roman" w:hAnsi="Times New Roman"/>
          <w:bCs/>
          <w:noProof/>
          <w:sz w:val="24"/>
          <w:szCs w:val="24"/>
        </w:rPr>
        <w:t xml:space="preserve"> (angl. </w:t>
      </w:r>
      <w:r>
        <w:rPr>
          <w:rFonts w:ascii="Times New Roman" w:hAnsi="Times New Roman"/>
          <w:bCs/>
          <w:i/>
          <w:noProof/>
          <w:sz w:val="24"/>
          <w:szCs w:val="24"/>
        </w:rPr>
        <w:t>Funding-Awareness-Scale-Talent</w:t>
      </w:r>
      <w:r>
        <w:rPr>
          <w:rFonts w:ascii="Times New Roman" w:hAnsi="Times New Roman"/>
          <w:bCs/>
          <w:noProof/>
          <w:sz w:val="24"/>
          <w:szCs w:val="24"/>
        </w:rPr>
        <w:t>), kurioje akcentuojami būdai, kaip pagerinti paramą rinkas formuojančioms inovacijoms ES. Remiantis ataskaita ir ankstesniais vykdant šią politiką atliktais Komisijos narių kolegijos veiksmais</w:t>
      </w:r>
      <w:r>
        <w:rPr>
          <w:rStyle w:val="FootnoteReference"/>
          <w:rFonts w:eastAsia="Calibri"/>
          <w:noProof/>
          <w:sz w:val="24"/>
          <w:szCs w:val="24"/>
        </w:rPr>
        <w:footnoteReference w:id="39"/>
      </w:r>
      <w:r>
        <w:rPr>
          <w:rFonts w:ascii="Times New Roman" w:hAnsi="Times New Roman"/>
          <w:bCs/>
          <w:noProof/>
          <w:sz w:val="24"/>
          <w:szCs w:val="24"/>
        </w:rPr>
        <w:t>, EIC bandomasis projektas įtrauktas į 2018–2020 m. darbo programą.</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Atsižvelgiant į Aukšto lygio novatorių darbo grupės rekomendacijas</w:t>
      </w:r>
      <w:r>
        <w:rPr>
          <w:rStyle w:val="FootnoteReference"/>
          <w:rFonts w:eastAsia="Calibri"/>
          <w:noProof/>
          <w:sz w:val="24"/>
          <w:szCs w:val="24"/>
        </w:rPr>
        <w:footnoteReference w:id="40"/>
      </w:r>
      <w:r>
        <w:rPr>
          <w:rFonts w:ascii="Times New Roman" w:hAnsi="Times New Roman"/>
          <w:bCs/>
          <w:noProof/>
          <w:sz w:val="24"/>
          <w:szCs w:val="24"/>
        </w:rPr>
        <w:t xml:space="preserve">, įgyvendinant bandomąjį projektą visi svarbūs iniciatyvos „Horizontas 2020“ inovacijų finansavimo šaltiniai sujungiami į vieną schemą, apimančią MVĮ priemonę, projektą „Spartus inovacijų diegimas“, programą „FET open“ ir pagal programą „Horizontas 2020“ skiriamus apdovanojimus. </w:t>
      </w:r>
    </w:p>
    <w:p>
      <w:p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Įgyvendinant šią programos dalį turėtų būti paremta iki 1 000 projektų, jos bendras biudžetas siekia 2,7 mlrd. EUR. Jos poveikis bus vertinamas pagal šiuos rodiklius: </w:t>
      </w:r>
    </w:p>
    <w:p>
      <w:pPr>
        <w:pStyle w:val="ListParagraph"/>
        <w:numPr>
          <w:ilvl w:val="0"/>
          <w:numId w:val="6"/>
        </w:numPr>
        <w:spacing w:after="120" w:line="240" w:lineRule="auto"/>
        <w:contextualSpacing w:val="0"/>
        <w:jc w:val="both"/>
        <w:rPr>
          <w:rFonts w:ascii="Times New Roman" w:eastAsia="Times New Roman" w:hAnsi="Times New Roman" w:cs="Times New Roman"/>
          <w:bCs/>
          <w:noProof/>
          <w:sz w:val="24"/>
          <w:szCs w:val="24"/>
        </w:rPr>
      </w:pPr>
      <w:r>
        <w:rPr>
          <w:rFonts w:ascii="Times New Roman" w:hAnsi="Times New Roman"/>
          <w:bCs/>
          <w:noProof/>
          <w:sz w:val="24"/>
          <w:szCs w:val="24"/>
        </w:rPr>
        <w:t>naujas sukurtas rinkas;</w:t>
      </w:r>
    </w:p>
    <w:p>
      <w:pPr>
        <w:pStyle w:val="ListParagraph"/>
        <w:numPr>
          <w:ilvl w:val="0"/>
          <w:numId w:val="6"/>
        </w:numPr>
        <w:spacing w:after="120" w:line="240" w:lineRule="auto"/>
        <w:contextualSpacing w:val="0"/>
        <w:jc w:val="both"/>
        <w:rPr>
          <w:rFonts w:ascii="Times New Roman" w:eastAsia="Times New Roman" w:hAnsi="Times New Roman" w:cs="Times New Roman"/>
          <w:bCs/>
          <w:noProof/>
          <w:sz w:val="24"/>
          <w:szCs w:val="24"/>
        </w:rPr>
      </w:pPr>
      <w:r>
        <w:rPr>
          <w:rFonts w:ascii="Times New Roman" w:hAnsi="Times New Roman"/>
          <w:bCs/>
          <w:noProof/>
          <w:sz w:val="24"/>
          <w:szCs w:val="24"/>
        </w:rPr>
        <w:t>pritrauktas privačiojo sektoriaus investicijas ir</w:t>
      </w:r>
    </w:p>
    <w:p>
      <w:pPr>
        <w:pStyle w:val="ListParagraph"/>
        <w:numPr>
          <w:ilvl w:val="0"/>
          <w:numId w:val="6"/>
        </w:numPr>
        <w:spacing w:after="240" w:line="240" w:lineRule="auto"/>
        <w:contextualSpacing w:val="0"/>
        <w:jc w:val="both"/>
        <w:rPr>
          <w:rFonts w:ascii="Times New Roman" w:eastAsia="Times New Roman" w:hAnsi="Times New Roman" w:cs="Times New Roman"/>
          <w:bCs/>
          <w:noProof/>
          <w:sz w:val="24"/>
          <w:szCs w:val="24"/>
        </w:rPr>
      </w:pPr>
      <w:r>
        <w:rPr>
          <w:rFonts w:ascii="Times New Roman" w:hAnsi="Times New Roman"/>
          <w:bCs/>
          <w:noProof/>
          <w:sz w:val="24"/>
          <w:szCs w:val="24"/>
        </w:rPr>
        <w:t>remiamų įmonių augimą.</w:t>
      </w:r>
    </w:p>
    <w:p>
      <w:pPr>
        <w:spacing w:after="240" w:line="240" w:lineRule="auto"/>
        <w:jc w:val="both"/>
        <w:rPr>
          <w:rFonts w:ascii="Times New Roman" w:eastAsia="Times New Roman" w:hAnsi="Times New Roman" w:cs="Times New Roman"/>
          <w:bCs/>
          <w:noProof/>
          <w:sz w:val="24"/>
          <w:szCs w:val="24"/>
          <w:u w:val="single"/>
        </w:rPr>
      </w:pPr>
      <w:r>
        <w:rPr>
          <w:rFonts w:ascii="Times New Roman" w:hAnsi="Times New Roman"/>
          <w:bCs/>
          <w:noProof/>
          <w:sz w:val="24"/>
          <w:szCs w:val="24"/>
        </w:rPr>
        <w:t>2018 m. birželio mėn.</w:t>
      </w:r>
      <w:r>
        <w:rPr>
          <w:rFonts w:ascii="Times New Roman" w:hAnsi="Times New Roman"/>
          <w:b/>
          <w:bCs/>
          <w:noProof/>
          <w:sz w:val="24"/>
          <w:szCs w:val="24"/>
        </w:rPr>
        <w:t xml:space="preserve"> Europos Vadovų Taryba </w:t>
      </w:r>
      <w:r>
        <w:rPr>
          <w:rFonts w:ascii="Times New Roman" w:hAnsi="Times New Roman"/>
          <w:bCs/>
          <w:noProof/>
          <w:sz w:val="24"/>
          <w:szCs w:val="24"/>
        </w:rPr>
        <w:t>paprašė Komisijos parengti antrąjį iniciatyvos etapą</w:t>
      </w:r>
      <w:r>
        <w:rPr>
          <w:rStyle w:val="FootnoteReference"/>
          <w:rFonts w:eastAsia="Calibri"/>
          <w:noProof/>
          <w:sz w:val="24"/>
          <w:szCs w:val="24"/>
        </w:rPr>
        <w:footnoteReference w:id="41"/>
      </w:r>
      <w:r>
        <w:rPr>
          <w:rFonts w:ascii="Times New Roman" w:hAnsi="Times New Roman"/>
          <w:bCs/>
          <w:noProof/>
          <w:sz w:val="24"/>
          <w:szCs w:val="24"/>
        </w:rPr>
        <w:t>, kurį įgyvendinant būtų siekiama kurti mišraus finansavimo sprendimus ir eksperimentuoti taikant naujas programos valdymo nuostatas</w:t>
      </w:r>
      <w:r>
        <w:rPr>
          <w:rFonts w:ascii="Times New Roman" w:hAnsi="Times New Roman"/>
          <w:bCs/>
          <w:i/>
          <w:noProof/>
          <w:sz w:val="24"/>
          <w:szCs w:val="24"/>
        </w:rPr>
        <w:t>.</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Tarptautinis bendradarbiavimas</w:t>
      </w:r>
    </w:p>
    <w:p>
      <w:pPr>
        <w:tabs>
          <w:tab w:val="num" w:pos="1440"/>
        </w:tabs>
        <w:spacing w:after="240" w:line="240" w:lineRule="auto"/>
        <w:jc w:val="both"/>
        <w:rPr>
          <w:rFonts w:ascii="Times New Roman" w:eastAsia="Times New Roman" w:hAnsi="Times New Roman" w:cs="Times New Roman"/>
          <w:noProof/>
          <w:sz w:val="24"/>
          <w:szCs w:val="24"/>
        </w:rPr>
      </w:pPr>
      <w:bookmarkStart w:id="2" w:name="_Toc467661706"/>
      <w:r>
        <w:rPr>
          <w:rFonts w:ascii="Times New Roman" w:hAnsi="Times New Roman"/>
          <w:noProof/>
          <w:sz w:val="24"/>
          <w:szCs w:val="24"/>
        </w:rPr>
        <w:t xml:space="preserve">Bendradarbiavimas mokslo srityje ir toliau laikomas svarbiu ES tarptautinių santykių ramsčiu. Komisija, bendradarbiaudama su pagrindiniais partneriais tiek šalių, tiek regionų lygmenimis, atnaujino </w:t>
      </w:r>
      <w:r>
        <w:rPr>
          <w:rFonts w:ascii="Times New Roman" w:hAnsi="Times New Roman"/>
          <w:b/>
          <w:noProof/>
          <w:sz w:val="24"/>
          <w:szCs w:val="24"/>
        </w:rPr>
        <w:t>MTI veiksmų gaires</w:t>
      </w:r>
      <w:r>
        <w:rPr>
          <w:rFonts w:ascii="Times New Roman" w:hAnsi="Times New Roman"/>
          <w:noProof/>
          <w:sz w:val="24"/>
          <w:szCs w:val="24"/>
        </w:rPr>
        <w:t xml:space="preserve">. Jose derinamas dialogas politikos klausimais ir bendradarbiavimas projekto lygmeniu; jie abu integruoti į iniciatyvos „Horizontas 2020“ darbo programos veiklą. </w:t>
      </w:r>
    </w:p>
    <w:p>
      <w:pPr>
        <w:tabs>
          <w:tab w:val="num" w:pos="1440"/>
        </w:tabs>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Konkrečiai, Komisija atnaujino mokslo ir technologijų sričių veiksmų gaires, skirtas bendradarbiavimui su:</w:t>
      </w:r>
    </w:p>
    <w:p>
      <w:pPr>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šalių (dvišaliu) lygmeniu</w:t>
      </w:r>
      <w:r>
        <w:rPr>
          <w:rStyle w:val="FootnoteReference"/>
          <w:rFonts w:eastAsia="Calibri"/>
          <w:noProof/>
          <w:sz w:val="24"/>
          <w:szCs w:val="24"/>
        </w:rPr>
        <w:footnoteReference w:id="42"/>
      </w:r>
      <w:r>
        <w:rPr>
          <w:rFonts w:ascii="Times New Roman" w:hAnsi="Times New Roman"/>
          <w:noProof/>
          <w:sz w:val="24"/>
          <w:szCs w:val="24"/>
        </w:rPr>
        <w:t> – Australija, Brazilija, Indija, Japonija, Jungtinėmis Amerikos Valstijomis, Kanada, Kinija, Meksika, Naująja Zelandija, Pietų Korėja, Pietų Afrika ir Rusija, o</w:t>
      </w:r>
    </w:p>
    <w:p>
      <w:pPr>
        <w:numPr>
          <w:ilvl w:val="0"/>
          <w:numId w:val="3"/>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regionų lygmeniu</w:t>
      </w:r>
      <w:r>
        <w:rPr>
          <w:rStyle w:val="FootnoteReference"/>
          <w:rFonts w:eastAsia="Calibri"/>
          <w:noProof/>
          <w:sz w:val="24"/>
          <w:szCs w:val="24"/>
        </w:rPr>
        <w:footnoteReference w:id="43"/>
      </w:r>
      <w:r>
        <w:rPr>
          <w:rFonts w:ascii="Times New Roman" w:hAnsi="Times New Roman"/>
          <w:noProof/>
          <w:sz w:val="24"/>
          <w:szCs w:val="24"/>
        </w:rPr>
        <w:t xml:space="preserve"> – su Afrikos Sąjunga, Pietryčių Azija, Rytų partneryste, Lotynų Amerikos ir Karibų valstybių bendrija, Viduržemio jūros ir Artimųjų Rytų regionais, taip pat Vakarų Balkanais.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Projekto lygmeniu pagal programą „Marie Skłodowskos-Curie veiksmai“ vykdoma veikla ir toliau aprėpia daugiau nei pusę visų įgyvendinant iniciatyvą „Horizontas 2020“ dalyvaujančių trečiųjų šalių veiklos.</w:t>
      </w:r>
    </w:p>
    <w:bookmarkEnd w:id="2"/>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Dalyvių skaičiaus didinimas</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Komisija</w:t>
      </w:r>
      <w:r>
        <w:rPr>
          <w:rFonts w:ascii="Times New Roman" w:hAnsi="Times New Roman"/>
          <w:noProof/>
          <w:sz w:val="24"/>
          <w:szCs w:val="24"/>
        </w:rPr>
        <w:t xml:space="preserve"> dokumente </w:t>
      </w:r>
      <w:r>
        <w:rPr>
          <w:rFonts w:ascii="Times New Roman" w:hAnsi="Times New Roman"/>
          <w:i/>
          <w:noProof/>
          <w:sz w:val="24"/>
          <w:szCs w:val="24"/>
        </w:rPr>
        <w:t>Pažangos skleidimas ir dalyvių skaičiaus programoje „Horizontas 2020“ didinimas</w:t>
      </w:r>
      <w:r>
        <w:rPr>
          <w:rStyle w:val="FootnoteReference"/>
          <w:rFonts w:eastAsia="Calibri"/>
          <w:noProof/>
          <w:sz w:val="24"/>
          <w:szCs w:val="24"/>
        </w:rPr>
        <w:footnoteReference w:id="44"/>
      </w:r>
      <w:r>
        <w:rPr>
          <w:rFonts w:ascii="Times New Roman" w:hAnsi="Times New Roman"/>
          <w:bCs/>
          <w:noProof/>
          <w:sz w:val="24"/>
          <w:szCs w:val="24"/>
        </w:rPr>
        <w:t xml:space="preserve"> paskelbė išsamų reikalavimus atitinkančių šalių dalyvavimo tendencijų ir MTI veiklos rezultatų vertinimą. Didėjantis dalyvaujančių šalių dalyvavimo mastas apskritai atitinka jų nacionalines MTI investicijas.</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Siekiant įgyvendinti „pažangos skleidimo“ projektus, iš viso pasirašyti 44 dotacijų susitarimai, kurių finansavimas siekia 62,38 mln. EUR. 13 iš jų padės įsteigti EMTE katedras Čekijoje, Estijoje, Kipre, Lietuvoje, Liuksemburge, Portugalijoje, Slovakijoje ir Slovėnijoje.</w:t>
      </w:r>
    </w:p>
    <w:p>
      <w:pPr>
        <w:spacing w:after="240" w:line="240" w:lineRule="auto"/>
        <w:jc w:val="both"/>
        <w:rPr>
          <w:rFonts w:ascii="Times New Roman" w:eastAsia="Times New Roman" w:hAnsi="Times New Roman" w:cs="Times New Roman"/>
          <w:bCs/>
          <w:noProof/>
          <w:sz w:val="24"/>
          <w:szCs w:val="24"/>
        </w:rPr>
      </w:pPr>
      <w:r>
        <w:rPr>
          <w:noProof/>
        </w:rPr>
        <w:t xml:space="preserve"> </w:t>
      </w:r>
      <w:r>
        <w:rPr>
          <w:rFonts w:ascii="Times New Roman" w:hAnsi="Times New Roman"/>
          <w:bCs/>
          <w:noProof/>
          <w:sz w:val="24"/>
          <w:szCs w:val="24"/>
        </w:rPr>
        <w:t xml:space="preserve">2018 m. buvo pristatyta nauja bandomoji veikla – stipendijų skaičiaus didinimas, – parengta pagal programos „Marie Skłodowskos-Curie veiksmai“ individualių stipendijų modelį: maždaug 120-čiai bet kokios pilietybės mokslininkų bus suteikta papildomų galimybių stipendijų skaičių didinančioje šalyje gauti stipendiją. </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b/>
          <w:bCs/>
          <w:noProof/>
          <w:sz w:val="24"/>
          <w:szCs w:val="24"/>
        </w:rPr>
        <w:t>Politikos rėmimo priemone</w:t>
      </w:r>
      <w:r>
        <w:rPr>
          <w:rFonts w:ascii="Times New Roman" w:hAnsi="Times New Roman"/>
          <w:bCs/>
          <w:noProof/>
          <w:sz w:val="24"/>
          <w:szCs w:val="24"/>
        </w:rPr>
        <w:t xml:space="preserve"> dalyvių skaičių didinančiose šalyse taip pat suteikta parama politikos reformoms, pvz., Estijos MTI sistemos tarpusavio vertinimui</w:t>
      </w:r>
      <w:r>
        <w:rPr>
          <w:rStyle w:val="FootnoteReference"/>
          <w:rFonts w:eastAsia="Calibri"/>
          <w:noProof/>
          <w:sz w:val="24"/>
          <w:szCs w:val="24"/>
        </w:rPr>
        <w:footnoteReference w:id="45"/>
      </w:r>
      <w:r>
        <w:rPr>
          <w:noProof/>
          <w:sz w:val="24"/>
          <w:szCs w:val="24"/>
        </w:rPr>
        <w:t>,</w:t>
      </w:r>
      <w:r>
        <w:rPr>
          <w:rFonts w:ascii="Times New Roman" w:hAnsi="Times New Roman"/>
          <w:bCs/>
          <w:noProof/>
          <w:sz w:val="24"/>
          <w:szCs w:val="24"/>
        </w:rPr>
        <w:t xml:space="preserve"> rengiant jos planuojamą 2021–2027 m. MTI ir verslumo strategiją.</w:t>
      </w:r>
    </w:p>
    <w:p>
      <w:pPr>
        <w:spacing w:after="24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Įgyvendinant naująją </w:t>
      </w:r>
      <w:r>
        <w:rPr>
          <w:rFonts w:ascii="Times New Roman" w:hAnsi="Times New Roman"/>
          <w:b/>
          <w:bCs/>
          <w:noProof/>
          <w:sz w:val="24"/>
          <w:szCs w:val="24"/>
        </w:rPr>
        <w:t>atokiausiems regionams</w:t>
      </w:r>
      <w:r>
        <w:rPr>
          <w:rFonts w:ascii="Times New Roman" w:hAnsi="Times New Roman"/>
          <w:bCs/>
          <w:noProof/>
          <w:sz w:val="24"/>
          <w:szCs w:val="24"/>
        </w:rPr>
        <w:t xml:space="preserve"> skirtą ES strategiją buvo pradėtas įgyvendinti projektas „Forward“. Bus susietos institucijos ir suinteresuotieji subjektai iš Azorų salų, Kanarų salų, Gvadelupos, Prancūzijos Gvianos, La Reunjono, Madeiros, Martinikos, Majoto salos ir Šventojo Martyno salos; į projektą bus įtraukta pradinė MTI ekosistemų analizė ir parengta bendra strategija bei teminiai veiksmų planai.</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Socialiniai ir humanitariniai mokslai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Iš viso 136 temoms iš lyderystės pramonės srityje ir visuomenės uždavinių sričių būtinai reikėjo su socialiniais ir humanitariniais mokslais susijusios informacijos.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Trečiojoje stebėsenos ataskaitoje dėl socialinių ir humanitarinių mokslų integravimo į iniciatyvą „Horizontas 2020“</w:t>
      </w:r>
      <w:r>
        <w:rPr>
          <w:rStyle w:val="FootnoteReference"/>
          <w:rFonts w:eastAsia="Calibri"/>
          <w:noProof/>
          <w:sz w:val="24"/>
          <w:szCs w:val="24"/>
        </w:rPr>
        <w:footnoteReference w:id="46"/>
      </w:r>
      <w:r>
        <w:rPr>
          <w:rFonts w:ascii="Times New Roman" w:hAnsi="Times New Roman"/>
          <w:noProof/>
          <w:sz w:val="24"/>
          <w:szCs w:val="24"/>
        </w:rPr>
        <w:t xml:space="preserve"> nustatyta, kad 32 proc. projektų, finansuotų pagal socialinių ir humanitarinių mokslų srityje svarbias temas, yra koordinuojami socialinių ir humanitarinių mokslų srities partnerio. Nors ekonomikos ir sociologijos sritims atstovaujama gerai, vis dar reikia gerinti kitų socialinių ir humanitarinių mokslų disciplinų, tokių kaip teisė, istorija ir antropologija, integravimą.</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Lytis</w:t>
      </w:r>
    </w:p>
    <w:p>
      <w:pPr>
        <w:spacing w:after="12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Prie teigiamų šios srities tendencijų prisidėta įvairiomis paramos formomis</w:t>
      </w:r>
      <w:r>
        <w:rPr>
          <w:rStyle w:val="FootnoteReference"/>
          <w:rFonts w:eastAsia="Calibri"/>
          <w:noProof/>
          <w:sz w:val="24"/>
          <w:szCs w:val="24"/>
        </w:rPr>
        <w:footnoteReference w:id="47"/>
      </w:r>
      <w:r>
        <w:rPr>
          <w:rFonts w:ascii="Times New Roman" w:hAnsi="Times New Roman"/>
          <w:iCs/>
          <w:noProof/>
          <w:sz w:val="24"/>
          <w:szCs w:val="24"/>
        </w:rPr>
        <w:t>; pavyzdžiui:</w:t>
      </w:r>
    </w:p>
    <w:p>
      <w:pPr>
        <w:numPr>
          <w:ilvl w:val="0"/>
          <w:numId w:val="3"/>
        </w:numPr>
        <w:spacing w:after="12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nacionalinių </w:t>
      </w:r>
      <w:r>
        <w:rPr>
          <w:rFonts w:ascii="Times New Roman" w:hAnsi="Times New Roman"/>
          <w:noProof/>
          <w:sz w:val="24"/>
          <w:szCs w:val="24"/>
        </w:rPr>
        <w:t>informacijos</w:t>
      </w:r>
      <w:r>
        <w:rPr>
          <w:rFonts w:ascii="Times New Roman" w:hAnsi="Times New Roman"/>
          <w:iCs/>
          <w:noProof/>
          <w:sz w:val="24"/>
          <w:szCs w:val="24"/>
        </w:rPr>
        <w:t xml:space="preserve"> centrų tinklai</w:t>
      </w:r>
      <w:r>
        <w:rPr>
          <w:rStyle w:val="FootnoteReference"/>
          <w:rFonts w:eastAsia="Calibri"/>
          <w:noProof/>
          <w:sz w:val="24"/>
          <w:szCs w:val="24"/>
        </w:rPr>
        <w:footnoteReference w:id="48"/>
      </w:r>
      <w:r>
        <w:rPr>
          <w:rFonts w:ascii="Times New Roman" w:hAnsi="Times New Roman"/>
          <w:iCs/>
          <w:noProof/>
          <w:sz w:val="24"/>
          <w:szCs w:val="24"/>
        </w:rPr>
        <w:t xml:space="preserve"> organizavo specialius mokymo apie lyties aspektą renginius, taip pat</w:t>
      </w:r>
    </w:p>
    <w:p>
      <w:pPr>
        <w:numPr>
          <w:ilvl w:val="0"/>
          <w:numId w:val="3"/>
        </w:num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Komisija</w:t>
      </w:r>
      <w:r>
        <w:rPr>
          <w:rFonts w:ascii="Times New Roman" w:hAnsi="Times New Roman"/>
          <w:noProof/>
          <w:sz w:val="24"/>
          <w:szCs w:val="24"/>
        </w:rPr>
        <w:t xml:space="preserve"> ir </w:t>
      </w:r>
      <w:r>
        <w:rPr>
          <w:rFonts w:ascii="Times New Roman" w:hAnsi="Times New Roman"/>
          <w:iCs/>
          <w:noProof/>
          <w:sz w:val="24"/>
          <w:szCs w:val="24"/>
        </w:rPr>
        <w:t xml:space="preserve">Helsinkio grupė išleido </w:t>
      </w:r>
      <w:r>
        <w:rPr>
          <w:rFonts w:ascii="Times New Roman" w:hAnsi="Times New Roman"/>
          <w:i/>
          <w:iCs/>
          <w:noProof/>
          <w:sz w:val="24"/>
          <w:szCs w:val="24"/>
        </w:rPr>
        <w:t>Gaires, kaip palengvinti tikslų skatinti lyčių lygybę mokslinių tyrimų ir inovacijų srityje įgyvendinimą</w:t>
      </w:r>
      <w:r>
        <w:rPr>
          <w:rStyle w:val="FootnoteReference"/>
          <w:rFonts w:eastAsia="Calibri"/>
          <w:noProof/>
          <w:sz w:val="24"/>
          <w:szCs w:val="24"/>
        </w:rPr>
        <w:footnoteReference w:id="49"/>
      </w:r>
      <w:r>
        <w:rPr>
          <w:rFonts w:ascii="Times New Roman" w:hAnsi="Times New Roman"/>
          <w:iCs/>
          <w:noProof/>
          <w:sz w:val="24"/>
          <w:szCs w:val="24"/>
        </w:rPr>
        <w:t>; šios gairės apėmė modelių, padedančių diegti sprendimus priimantiems asmenims taikomas lyčių kvotas, rengimą.</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Kova su klimato kaita ir darnus vystymasis</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„Horizontas 2020“ reglamentu</w:t>
      </w:r>
      <w:r>
        <w:rPr>
          <w:rStyle w:val="FootnoteReference"/>
          <w:rFonts w:eastAsia="Calibri"/>
          <w:noProof/>
          <w:sz w:val="24"/>
          <w:szCs w:val="24"/>
        </w:rPr>
        <w:footnoteReference w:id="50"/>
      </w:r>
      <w:r>
        <w:rPr>
          <w:rFonts w:ascii="Times New Roman" w:hAnsi="Times New Roman"/>
          <w:noProof/>
          <w:sz w:val="24"/>
          <w:szCs w:val="24"/>
        </w:rPr>
        <w:t xml:space="preserve"> visai programos įgyvendinimo trukmei nustatyta tikėtina kovai su klimato kaita ir darniam vystymuisi skirta biudžeto dalis (atitinkamai 35 ir 60 proc.). Iki 2018 m. pabaigos su kova su klimato kaita susijusios išlaidos sudarė ne mažiau kaip 30 proc.</w:t>
      </w:r>
      <w:r>
        <w:rPr>
          <w:rStyle w:val="FootnoteReference"/>
          <w:rFonts w:eastAsiaTheme="minorHAnsi"/>
          <w:noProof/>
        </w:rPr>
        <w:footnoteReference w:id="51"/>
      </w:r>
      <w:r>
        <w:rPr>
          <w:noProof/>
        </w:rPr>
        <w:t>,</w:t>
      </w:r>
      <w:r>
        <w:rPr>
          <w:rFonts w:ascii="Times New Roman" w:hAnsi="Times New Roman"/>
          <w:noProof/>
          <w:sz w:val="24"/>
          <w:szCs w:val="24"/>
        </w:rPr>
        <w:t xml:space="preserve"> o su darniu vystymusi – 69 proc. Vis dar tęsiama papildoma veikla, ypač specialiose tikslinėse srityse.</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Sąveika su kitomis programomis</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Paskelbta ataskaita dėl </w:t>
      </w:r>
      <w:r>
        <w:rPr>
          <w:rFonts w:ascii="Times New Roman" w:hAnsi="Times New Roman"/>
          <w:b/>
          <w:noProof/>
          <w:sz w:val="24"/>
          <w:szCs w:val="24"/>
        </w:rPr>
        <w:t>tarpusavio mokymosi veiklos, kuria siekiama didinti dalyvių skaičių ir užtikrinti sąveiką</w:t>
      </w:r>
      <w:r>
        <w:rPr>
          <w:rFonts w:ascii="Times New Roman" w:hAnsi="Times New Roman"/>
          <w:noProof/>
          <w:sz w:val="24"/>
          <w:szCs w:val="24"/>
        </w:rPr>
        <w:t xml:space="preserve"> tarp ES MTI programų ir sanglaudos politikos</w:t>
      </w:r>
      <w:r>
        <w:rPr>
          <w:rStyle w:val="FootnoteReference"/>
          <w:rFonts w:eastAsia="Calibri"/>
          <w:noProof/>
          <w:sz w:val="24"/>
          <w:szCs w:val="24"/>
        </w:rPr>
        <w:footnoteReference w:id="52"/>
      </w:r>
      <w:r>
        <w:rPr>
          <w:rFonts w:ascii="Times New Roman" w:hAnsi="Times New Roman"/>
          <w:noProof/>
          <w:sz w:val="24"/>
          <w:szCs w:val="24"/>
        </w:rPr>
        <w:t>; šioje veikloje dalyvavo 12 valstybių narių ir viena asocijuotoji šalis. Nustatyta, kad, nors projekto lygmeniu gali kilti su reglamentavimu susijusių kliūčių, veiksminga sąveika priklausys nuo gebėjimo stiprinti dialogą politikos klausimais programos lygmeniu.</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Europos Audito Rūmų specialiojoje ataskaitoje Nr. 28/2018</w:t>
      </w:r>
      <w:r>
        <w:rPr>
          <w:rStyle w:val="FootnoteReference"/>
          <w:rFonts w:eastAsia="Calibri"/>
          <w:noProof/>
          <w:sz w:val="24"/>
          <w:szCs w:val="24"/>
        </w:rPr>
        <w:footnoteReference w:id="53"/>
      </w:r>
      <w:r>
        <w:rPr>
          <w:rFonts w:ascii="Times New Roman" w:hAnsi="Times New Roman"/>
          <w:noProof/>
          <w:sz w:val="24"/>
          <w:szCs w:val="24"/>
        </w:rPr>
        <w:t xml:space="preserve"> pagrįsta būtinybė dar labiau skatinti bendravimą </w:t>
      </w:r>
      <w:r>
        <w:rPr>
          <w:rFonts w:ascii="Times New Roman" w:hAnsi="Times New Roman"/>
          <w:b/>
          <w:noProof/>
          <w:sz w:val="24"/>
          <w:szCs w:val="24"/>
        </w:rPr>
        <w:t>pažangumo ženklo</w:t>
      </w:r>
      <w:r>
        <w:rPr>
          <w:rFonts w:ascii="Times New Roman" w:hAnsi="Times New Roman"/>
          <w:noProof/>
          <w:sz w:val="24"/>
          <w:szCs w:val="24"/>
        </w:rPr>
        <w:t xml:space="preserve"> klausimu. Iki šiol Europos struktūrinių ir investicijų fondų valdymo institucijos 15-oje valstybių narių yra parengusios 35 skirtingas pažangumo ženklo schemas.</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5.</w:t>
      </w:r>
      <w:r>
        <w:rPr>
          <w:rFonts w:ascii="Times New Roman" w:hAnsi="Times New Roman"/>
          <w:b/>
          <w:smallCaps/>
          <w:noProof/>
          <w:sz w:val="24"/>
          <w:szCs w:val="24"/>
        </w:rPr>
        <w:tab/>
        <w:t>Euratomas</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Tarybos reglamentu (Euratomas) 2018/1563</w:t>
      </w:r>
      <w:r>
        <w:rPr>
          <w:rStyle w:val="FootnoteReference"/>
          <w:rFonts w:eastAsiaTheme="minorHAnsi"/>
          <w:noProof/>
          <w:sz w:val="24"/>
          <w:szCs w:val="24"/>
        </w:rPr>
        <w:footnoteReference w:id="54"/>
      </w:r>
      <w:r>
        <w:rPr>
          <w:rFonts w:ascii="Times New Roman" w:hAnsi="Times New Roman"/>
          <w:noProof/>
          <w:sz w:val="24"/>
          <w:szCs w:val="24"/>
        </w:rPr>
        <w:t xml:space="preserve"> nustatytas Euratomo mokslinių tyrimų ir mokymo programos 2019–2020 m. pagrindas.</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Netiesioginiai veiksmai</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Iki 2018 m. pabaigos paskelbti trys kvietimai teikti pasiūlymus ir gauti 136 reikalavimus atitinkantys pasiūlymai, kuriuose iš viso prašoma skirti 500,8 mln. EUR Euratomo finansavimą. Iš šių pasiūlymų buvo atrinkti 47 finansuotini pasiūlymai (Euratomo įnašas – 196,9 mln. EUR), o bendras nuo 2014 m. reikalavimus atitinkančių atrinktų išsamių pasiūlymų rodiklis pasiekė 34,56 proc.</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Jungtinio tyrimų centro (JRC) atlikti tiesioginiai veiksmai</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Tiesioginiai programos veiksmai, kuriuos atliko JRC, apėmė mokslinius tyrimus ir mokymą šiose srityse:</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branduolinė sauga, įskaitant reaktoriaus, kuro ir kuro ciklo saugą, branduolinių atliekų tvarkymą, aplinkos stebėjimą ir avarinę parengtį bei reagavimą į nelaimes; </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branduolinės saugos garantijos, branduolinio ginklo neplatinimas ir saugumas, įskaitant kovą su neteisėta prekyba ginklais ir branduolinę ekspertizę; </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pagrindinės mokslo žinios, branduolinei saugai būtini standartai ir etaloninės medžiagos, saugumas ir saugumo priemonės, įskaitant mokslinius tyrimus dėl branduolinio mokslo taikymo ne energetikos tikslais, pvz., medicininiais ir kosmoso erdvės tyrinėjimų tikslais.</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Atlikti moksliniai tyrimai ir įgyta patirtis, visų pirma branduolinės saugos ir branduolinio ginklo neplatinimo srityse, stiprina gebėjimus, reikalingus žinioms valdyti ir branduolinių sričių švietimui bei pažangiam mokymui užtikrinti. Tai sudaro sąlygas JRC patenkinti mokslinės ir techninės paramos poreikį, kylantį įgyvendinant su ES susijusią politiką.</w:t>
      </w:r>
    </w:p>
    <w:p>
      <w:pPr>
        <w:spacing w:after="240" w:line="240" w:lineRule="auto"/>
        <w:jc w:val="both"/>
        <w:rPr>
          <w:rFonts w:ascii="Times New Roman" w:eastAsia="Times New Roman" w:hAnsi="Times New Roman" w:cs="Times New Roman"/>
          <w:b/>
          <w:bCs/>
          <w:i/>
          <w:noProof/>
          <w:sz w:val="24"/>
          <w:szCs w:val="24"/>
        </w:rPr>
      </w:pPr>
      <w:r>
        <w:rPr>
          <w:rFonts w:ascii="Times New Roman" w:hAnsi="Times New Roman"/>
          <w:b/>
          <w:bCs/>
          <w:i/>
          <w:noProof/>
          <w:sz w:val="24"/>
          <w:szCs w:val="24"/>
        </w:rPr>
        <w:t>Mokslinių tyrimų ir mokymo programa</w:t>
      </w:r>
    </w:p>
    <w:p>
      <w:pPr>
        <w:tabs>
          <w:tab w:val="num" w:pos="144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Gavus paramą pagal mokslinių tyrimų ir mokymo programą, paskelbta daugiau kaip 800 straipsnių recenzuojamuose didelio poveikio leidiniuose ir daugiau kaip 800 disertacijų sintezės fizikos ir technologijų srityse. Daugiau kaip 900 mokslininkų suteikta galimybė naudotis mokslinių tyrimų infrastruktūromis.</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6. </w:t>
      </w:r>
      <w:r>
        <w:rPr>
          <w:rFonts w:ascii="Times New Roman" w:hAnsi="Times New Roman"/>
          <w:b/>
          <w:smallCaps/>
          <w:noProof/>
          <w:sz w:val="24"/>
          <w:szCs w:val="24"/>
        </w:rPr>
        <w:tab/>
        <w:t>Jungtinio tyrimų centro (JRC) atlikti nebranduolinės srities tiesioginiai veiksmai</w:t>
      </w:r>
    </w:p>
    <w:p>
      <w:pPr>
        <w:tabs>
          <w:tab w:val="num" w:pos="1440"/>
        </w:tabs>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Praėję metai buvo JRC žinių valdymo proveržio metai – atidaryti keturi </w:t>
      </w:r>
      <w:r>
        <w:rPr>
          <w:rFonts w:ascii="Times New Roman" w:hAnsi="Times New Roman"/>
          <w:b/>
          <w:noProof/>
          <w:sz w:val="24"/>
          <w:szCs w:val="24"/>
        </w:rPr>
        <w:t>žinių centrai</w:t>
      </w:r>
      <w:r>
        <w:rPr>
          <w:rFonts w:ascii="Times New Roman" w:hAnsi="Times New Roman"/>
          <w:noProof/>
          <w:sz w:val="24"/>
          <w:szCs w:val="24"/>
        </w:rPr>
        <w:t xml:space="preserve"> (iš viso dabar veikia šeši):</w:t>
      </w:r>
    </w:p>
    <w:p>
      <w:pPr>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Maisto kokybės ir sukčiavimo maisto produktų srityje žinių centras</w:t>
      </w:r>
      <w:r>
        <w:rPr>
          <w:rStyle w:val="FootnoteReference"/>
          <w:rFonts w:eastAsia="Calibri"/>
          <w:noProof/>
          <w:sz w:val="24"/>
          <w:szCs w:val="24"/>
        </w:rPr>
        <w:footnoteReference w:id="55"/>
      </w:r>
      <w:r>
        <w:rPr>
          <w:rFonts w:ascii="Times New Roman" w:hAnsi="Times New Roman"/>
          <w:noProof/>
          <w:sz w:val="24"/>
          <w:szCs w:val="24"/>
        </w:rPr>
        <w:t>, reaguodamas į vartotojams susirūpinimą keliančius klausimus, suteikia prieigą prie naujausių mokslinių žinių apie problemas, susijusias su sukčiavimu maisto produktų srityje ir maisto kokybe;</w:t>
      </w:r>
    </w:p>
    <w:p>
      <w:pPr>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Pasaulinio aprūpinimo maistu ir mitybos saugumo žinių centras</w:t>
      </w:r>
      <w:r>
        <w:rPr>
          <w:rStyle w:val="FootnoteReference"/>
          <w:rFonts w:eastAsia="Calibri"/>
          <w:noProof/>
          <w:sz w:val="24"/>
          <w:szCs w:val="24"/>
        </w:rPr>
        <w:footnoteReference w:id="56"/>
      </w:r>
      <w:r>
        <w:rPr>
          <w:rFonts w:ascii="Times New Roman" w:hAnsi="Times New Roman"/>
          <w:noProof/>
          <w:sz w:val="24"/>
          <w:szCs w:val="24"/>
        </w:rPr>
        <w:t>, sudarydamas galimybę susipažinti su naujausiais novatoriškais sprendimais ir mokslinių tyrimų įžvalgomis, siekia patobulinti veiksmus, kuriais siekiama sumažinti maisto stygių ir mitybos nepakankamumą šalyse, kuriose stinga maisto;</w:t>
      </w:r>
    </w:p>
    <w:p>
      <w:pPr>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Technologijų perkėlimo kompetencijos centras</w:t>
      </w:r>
      <w:r>
        <w:rPr>
          <w:rStyle w:val="FootnoteReference"/>
          <w:rFonts w:eastAsia="Calibri"/>
          <w:noProof/>
          <w:sz w:val="24"/>
          <w:szCs w:val="24"/>
        </w:rPr>
        <w:footnoteReference w:id="57"/>
      </w:r>
      <w:r>
        <w:rPr>
          <w:rFonts w:ascii="Times New Roman" w:hAnsi="Times New Roman"/>
          <w:noProof/>
          <w:sz w:val="24"/>
          <w:szCs w:val="24"/>
        </w:rPr>
        <w:t xml:space="preserve"> yra pagrindinė su technologijų perkėlimu ES, nacionaliniu, regionų ir vietos lygmenimis susijusios politikos rėmimo ir gebėjimų stiprinimo platforma, o</w:t>
      </w:r>
    </w:p>
    <w:p>
      <w:pPr>
        <w:numPr>
          <w:ilvl w:val="0"/>
          <w:numId w:val="3"/>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Prognozavimo kompetencijos centras</w:t>
      </w:r>
      <w:r>
        <w:rPr>
          <w:rStyle w:val="FootnoteReference"/>
          <w:rFonts w:eastAsia="Calibri"/>
          <w:noProof/>
          <w:sz w:val="24"/>
          <w:szCs w:val="24"/>
        </w:rPr>
        <w:footnoteReference w:id="58"/>
      </w:r>
      <w:r>
        <w:rPr>
          <w:rFonts w:ascii="Times New Roman" w:hAnsi="Times New Roman"/>
          <w:noProof/>
          <w:sz w:val="24"/>
          <w:szCs w:val="24"/>
        </w:rPr>
        <w:t xml:space="preserve"> teikia tiesioginę strateginę ir į ateitį orientuotą dalykinę medžiagą rengiamai ES politiką.</w:t>
      </w:r>
    </w:p>
    <w:p>
      <w:pPr>
        <w:tabs>
          <w:tab w:val="num" w:pos="1440"/>
        </w:tabs>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Kiti labai svarbūs laimėjimai susiję su:</w:t>
      </w:r>
    </w:p>
    <w:p>
      <w:pPr>
        <w:numPr>
          <w:ilvl w:val="0"/>
          <w:numId w:val="7"/>
        </w:num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transporto priemonių išmetamų taršalų kiekiu</w:t>
      </w:r>
      <w:r>
        <w:rPr>
          <w:rFonts w:ascii="Times New Roman" w:hAnsi="Times New Roman"/>
          <w:noProof/>
          <w:sz w:val="24"/>
          <w:szCs w:val="24"/>
        </w:rPr>
        <w:t xml:space="preserve"> – JRC pasirengė perimti tikrinimo, kaip transporto priemonės atitinka „įprastinėmis važiavimo sąlygomis išmetamų teršalų kiekio“ reikalavimus, funkciją (Komisijos vardu), ir </w:t>
      </w:r>
    </w:p>
    <w:p>
      <w:pPr>
        <w:numPr>
          <w:ilvl w:val="0"/>
          <w:numId w:val="7"/>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DVT</w:t>
      </w:r>
      <w:r>
        <w:rPr>
          <w:rFonts w:ascii="Times New Roman" w:hAnsi="Times New Roman"/>
          <w:noProof/>
          <w:sz w:val="24"/>
          <w:szCs w:val="24"/>
        </w:rPr>
        <w:t xml:space="preserve"> – JRC padėjo Komisijai rengti diskusijoms skirtą dokumentą </w:t>
      </w:r>
      <w:r>
        <w:rPr>
          <w:rFonts w:ascii="Times New Roman" w:hAnsi="Times New Roman"/>
          <w:i/>
          <w:noProof/>
          <w:sz w:val="24"/>
          <w:szCs w:val="24"/>
        </w:rPr>
        <w:t>Darni Europa – iki 2030 m.</w:t>
      </w:r>
      <w:r>
        <w:rPr>
          <w:rFonts w:ascii="Times New Roman" w:eastAsia="Times New Roman" w:hAnsi="Times New Roman" w:cs="Times New Roman"/>
          <w:noProof/>
          <w:sz w:val="24"/>
          <w:szCs w:val="24"/>
          <w:vertAlign w:val="superscript"/>
        </w:rPr>
        <w:footnoteReference w:id="59"/>
      </w:r>
      <w:r>
        <w:rPr>
          <w:rFonts w:ascii="Times New Roman" w:hAnsi="Times New Roman"/>
          <w:noProof/>
          <w:sz w:val="24"/>
          <w:szCs w:val="24"/>
        </w:rPr>
        <w:t>, konkrečiai, atliko kokybinę prognozių analizę.</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7. </w:t>
      </w:r>
      <w:r>
        <w:rPr>
          <w:rFonts w:ascii="Times New Roman" w:hAnsi="Times New Roman"/>
          <w:b/>
          <w:smallCaps/>
          <w:noProof/>
          <w:sz w:val="24"/>
          <w:szCs w:val="24"/>
        </w:rPr>
        <w:tab/>
        <w:t>Europos inovacijos ir technologijos institutas (EIT)</w:t>
      </w:r>
    </w:p>
    <w:p>
      <w:pPr>
        <w:spacing w:after="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szCs w:val="24"/>
        </w:rPr>
        <w:t>2018 m. EIT ir toliau teikė finansinę paramą šešioms veikiančioms žinių ir inovacijos bendrijoms (ŽIB)</w:t>
      </w:r>
      <w:r>
        <w:rPr>
          <w:rStyle w:val="FootnoteReference"/>
          <w:rFonts w:eastAsiaTheme="minorHAnsi"/>
          <w:noProof/>
        </w:rPr>
        <w:footnoteReference w:id="60"/>
      </w:r>
      <w:r>
        <w:rPr>
          <w:rFonts w:ascii="Times New Roman" w:hAnsi="Times New Roman"/>
          <w:noProof/>
          <w:sz w:val="24"/>
          <w:szCs w:val="24"/>
        </w:rPr>
        <w:t>. Be to, EIT finansavo veiklą, kuria siekiama skatinti skirtingų ŽIB bendradarbiavimą (ŽIB tarpusavio veiklą) pagrindiniais ŽIB veiklos klausimais, taip siekdamas padidinti jų poveikį, pvz., žmogiškajam kapitalui ir įgūdžių ugdymui, komunikacijai ir informavimo veiklai. Visas EIT 2018 m. ŽIB veiklos planams įgyvendinti skirtas finansinis įnašas siekė 400 mln. EUR.</w:t>
      </w:r>
    </w:p>
    <w:p>
      <w:pPr>
        <w:spacing w:after="0" w:line="240" w:lineRule="auto"/>
        <w:jc w:val="both"/>
        <w:textAlignment w:val="bottom"/>
        <w:rPr>
          <w:rFonts w:ascii="Times New Roman" w:eastAsia="Calibri" w:hAnsi="Times New Roman" w:cs="Times New Roman"/>
          <w:noProof/>
          <w:sz w:val="24"/>
          <w:szCs w:val="24"/>
        </w:rPr>
      </w:pPr>
    </w:p>
    <w:p>
      <w:pPr>
        <w:spacing w:after="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szCs w:val="24"/>
        </w:rPr>
        <w:t xml:space="preserve">Metų pradžioje žurnalas „Forbes“ paskelbė savo 2018 m. 30-ies jaunesnių nei 30 metų (angl. </w:t>
      </w:r>
      <w:r>
        <w:rPr>
          <w:rFonts w:ascii="Times New Roman" w:hAnsi="Times New Roman"/>
          <w:i/>
          <w:noProof/>
          <w:sz w:val="24"/>
          <w:szCs w:val="24"/>
        </w:rPr>
        <w:t>30 under 30</w:t>
      </w:r>
      <w:r>
        <w:rPr>
          <w:rFonts w:ascii="Times New Roman" w:hAnsi="Times New Roman"/>
          <w:noProof/>
          <w:sz w:val="24"/>
          <w:szCs w:val="24"/>
        </w:rPr>
        <w:t>) verslininkų ir novatorių sąrašą, į kurį pateko ir devyni EIT bendruomenės remiami verslininkai</w:t>
      </w:r>
      <w:r>
        <w:rPr>
          <w:rStyle w:val="FootnoteReference"/>
          <w:rFonts w:eastAsiaTheme="minorHAnsi"/>
          <w:noProof/>
        </w:rPr>
        <w:footnoteReference w:id="61"/>
      </w:r>
      <w:r>
        <w:rPr>
          <w:rFonts w:ascii="Times New Roman" w:hAnsi="Times New Roman"/>
          <w:noProof/>
          <w:sz w:val="24"/>
          <w:szCs w:val="24"/>
        </w:rPr>
        <w:t>.</w:t>
      </w:r>
    </w:p>
    <w:p>
      <w:pPr>
        <w:spacing w:after="120" w:line="240" w:lineRule="auto"/>
        <w:jc w:val="both"/>
        <w:textAlignment w:val="bottom"/>
        <w:rPr>
          <w:rFonts w:ascii="Times New Roman" w:eastAsia="Calibri" w:hAnsi="Times New Roman" w:cs="Times New Roman"/>
          <w:noProof/>
          <w:sz w:val="24"/>
          <w:szCs w:val="24"/>
        </w:rPr>
      </w:pPr>
    </w:p>
    <w:p>
      <w:pPr>
        <w:spacing w:after="12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szCs w:val="24"/>
        </w:rPr>
        <w:t xml:space="preserve">2018 m. EIT paskelbė du kvietimus teikti pasiūlymus įkurti dvi naujas Žinių ir inovacijos bendrijas (ŽIB) (iš viso dabar veikia aštuonios inovacijos bendrijos):  </w:t>
      </w:r>
    </w:p>
    <w:p>
      <w:pPr>
        <w:numPr>
          <w:ilvl w:val="0"/>
          <w:numId w:val="4"/>
        </w:numPr>
        <w:spacing w:after="12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szCs w:val="24"/>
        </w:rPr>
        <w:t xml:space="preserve">judumo mieste (angl. </w:t>
      </w:r>
      <w:r>
        <w:rPr>
          <w:rFonts w:ascii="Times New Roman" w:hAnsi="Times New Roman"/>
          <w:i/>
          <w:noProof/>
          <w:sz w:val="24"/>
          <w:szCs w:val="24"/>
        </w:rPr>
        <w:t>urban mobility</w:t>
      </w:r>
      <w:r>
        <w:rPr>
          <w:rFonts w:ascii="Times New Roman" w:hAnsi="Times New Roman"/>
          <w:noProof/>
          <w:sz w:val="24"/>
          <w:szCs w:val="24"/>
        </w:rPr>
        <w:t xml:space="preserve">) – šią bendriją sudaro 48 narių konsorciumas; bendrijos „EIT Urban Mobility“ veikla siekiama paspartinti sprendimus, kuriais tobulinamas kolektyvinis miesto erdvių naudojimas, kartu užtikrinant darnų ir prieinamą daugiarūšį judumą, ir </w:t>
      </w:r>
    </w:p>
    <w:p>
      <w:pPr>
        <w:numPr>
          <w:ilvl w:val="0"/>
          <w:numId w:val="4"/>
        </w:numPr>
        <w:spacing w:after="240" w:line="240" w:lineRule="auto"/>
        <w:jc w:val="both"/>
        <w:textAlignment w:val="bottom"/>
        <w:rPr>
          <w:rFonts w:ascii="Times New Roman" w:eastAsia="Calibri" w:hAnsi="Times New Roman" w:cs="Times New Roman"/>
          <w:noProof/>
          <w:sz w:val="24"/>
          <w:szCs w:val="24"/>
        </w:rPr>
      </w:pPr>
      <w:r>
        <w:rPr>
          <w:rFonts w:ascii="Times New Roman" w:hAnsi="Times New Roman"/>
          <w:noProof/>
          <w:sz w:val="24"/>
          <w:szCs w:val="24"/>
        </w:rPr>
        <w:t xml:space="preserve">gamybos (angl. </w:t>
      </w:r>
      <w:r>
        <w:rPr>
          <w:rFonts w:ascii="Times New Roman" w:hAnsi="Times New Roman"/>
          <w:i/>
          <w:noProof/>
          <w:sz w:val="24"/>
          <w:szCs w:val="24"/>
        </w:rPr>
        <w:t>manufacturing</w:t>
      </w:r>
      <w:r>
        <w:rPr>
          <w:rFonts w:ascii="Times New Roman" w:hAnsi="Times New Roman"/>
          <w:noProof/>
          <w:sz w:val="24"/>
          <w:szCs w:val="24"/>
        </w:rPr>
        <w:t>) – šią bendriją sudaro 50 partnerių konsorciumas; bendrijos „EIT Manufacturing“ misija – suburti Europos gamybos rinkos dalyvius į inovacijų ekosistemas, kad būtų remiama darni ir konkurencinga gamyba.</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8. </w:t>
      </w:r>
      <w:r>
        <w:rPr>
          <w:rFonts w:ascii="Times New Roman" w:hAnsi="Times New Roman"/>
          <w:b/>
          <w:smallCaps/>
          <w:noProof/>
          <w:sz w:val="24"/>
          <w:szCs w:val="24"/>
        </w:rPr>
        <w:tab/>
        <w:t>Sklaida, rezultatų panaudojimas ir komunikacija</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Pradėjo veikti naujas Komisijos</w:t>
      </w:r>
      <w:r>
        <w:rPr>
          <w:rFonts w:ascii="Times New Roman" w:hAnsi="Times New Roman"/>
          <w:b/>
          <w:noProof/>
          <w:sz w:val="24"/>
          <w:szCs w:val="24"/>
        </w:rPr>
        <w:t xml:space="preserve"> galimybių įmonėms gauti finansavimą ir dalyvauti konkursuose portalas</w:t>
      </w:r>
      <w:r>
        <w:rPr>
          <w:rStyle w:val="FootnoteReference"/>
          <w:rFonts w:eastAsiaTheme="minorHAnsi"/>
          <w:b/>
          <w:noProof/>
        </w:rPr>
        <w:footnoteReference w:id="62"/>
      </w:r>
      <w:r>
        <w:rPr>
          <w:rFonts w:ascii="Times New Roman" w:hAnsi="Times New Roman"/>
          <w:noProof/>
          <w:sz w:val="24"/>
          <w:szCs w:val="24"/>
        </w:rPr>
        <w:t>. Naudojantis šia viena bendra prieiga dabar galima rasti ES dotacijas ir viešųjų pirkimų sutartis ir jas administruoti; iki kito daugiamečio laikotarpio pradžios 2021 m. šiame portale bus galima rasti visas centralizuotai valdomas programas.</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Iniciatyvos </w:t>
      </w:r>
      <w:r>
        <w:rPr>
          <w:rFonts w:ascii="Times New Roman" w:hAnsi="Times New Roman"/>
          <w:b/>
          <w:noProof/>
          <w:sz w:val="24"/>
          <w:szCs w:val="24"/>
        </w:rPr>
        <w:t>„Horizontas 2020“ rodiklių suvestinė</w:t>
      </w:r>
      <w:r>
        <w:rPr>
          <w:rStyle w:val="FootnoteReference"/>
          <w:rFonts w:eastAsiaTheme="minorHAnsi"/>
          <w:b/>
          <w:noProof/>
        </w:rPr>
        <w:footnoteReference w:id="63"/>
      </w:r>
      <w:r>
        <w:rPr>
          <w:rFonts w:ascii="Times New Roman" w:hAnsi="Times New Roman"/>
          <w:noProof/>
          <w:sz w:val="24"/>
          <w:szCs w:val="24"/>
        </w:rPr>
        <w:t xml:space="preserve"> taikyta sėkmingai, pasiūlyta naujų efektyvių analitinių funkcijų, kuriomis naudojantis bus gaunama informacija ataskaitoms, poveikio analizei ir grįžtamajai informacijai dėl politikos formavimo.</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Paslaugos </w:t>
      </w:r>
      <w:r>
        <w:rPr>
          <w:rFonts w:ascii="Times New Roman" w:hAnsi="Times New Roman"/>
          <w:b/>
          <w:noProof/>
          <w:sz w:val="24"/>
          <w:szCs w:val="24"/>
        </w:rPr>
        <w:t>CORDIS svetainė</w:t>
      </w:r>
      <w:r>
        <w:rPr>
          <w:rStyle w:val="FootnoteReference"/>
          <w:rFonts w:eastAsiaTheme="minorHAnsi"/>
          <w:b/>
          <w:noProof/>
        </w:rPr>
        <w:footnoteReference w:id="64"/>
      </w:r>
      <w:r>
        <w:rPr>
          <w:rFonts w:ascii="Times New Roman" w:hAnsi="Times New Roman"/>
          <w:noProof/>
          <w:sz w:val="24"/>
          <w:szCs w:val="24"/>
        </w:rPr>
        <w:t xml:space="preserve"> </w:t>
      </w:r>
      <w:r>
        <w:rPr>
          <w:rFonts w:ascii="Times New Roman" w:hAnsi="Times New Roman"/>
          <w:noProof/>
          <w:sz w:val="24"/>
          <w:szCs w:val="20"/>
        </w:rPr>
        <w:t>buvo perkurta, siekiant ją padaryti patogesnę naudotojams ir labiau pritaikyti prie jos paskirties – būti Europos Komisijos pagrindine viešąja paslauga, kuria naudojantis platinama informacija apie visų ES finansuojamų mokslinių tyrimų projektų rezultatus, gautus iš skaidrių ir atvirų duomenų, susijusių su ES projektais, įgyvendinamais nuo Pirmosios bendrosios programos iki iniciatyvos „Horizontas 2020“, saugyklą, ir straipsniai bei leidiniai keliomis kalbomis, padedantys skatinti duomenų panaudojimą ir inovacijas.</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Komisija, remdamasi sėkmingais atvirosios prieigos ir atvirųjų duomenų schemų rezultatais, padėjo rengti savo ekspertų grupės galutinę ataskaitą dėl surandamų, prieinamų, sąveikių ir pakartotinai panaudojamų (angl. </w:t>
      </w:r>
      <w:r>
        <w:rPr>
          <w:rFonts w:ascii="Times New Roman" w:hAnsi="Times New Roman"/>
          <w:i/>
          <w:noProof/>
          <w:sz w:val="24"/>
          <w:szCs w:val="24"/>
        </w:rPr>
        <w:t>findable, accessible, interoperable and reusable</w:t>
      </w:r>
      <w:r>
        <w:rPr>
          <w:rFonts w:ascii="Times New Roman" w:hAnsi="Times New Roman"/>
          <w:noProof/>
          <w:sz w:val="24"/>
          <w:szCs w:val="24"/>
        </w:rPr>
        <w:t xml:space="preserve">, FAIR) duomenų </w:t>
      </w:r>
      <w:r>
        <w:rPr>
          <w:rFonts w:ascii="Times New Roman" w:hAnsi="Times New Roman"/>
          <w:b/>
          <w:i/>
          <w:noProof/>
          <w:sz w:val="24"/>
          <w:szCs w:val="24"/>
        </w:rPr>
        <w:t>Paversti FAIR duomenis realybe</w:t>
      </w:r>
      <w:r>
        <w:rPr>
          <w:rFonts w:ascii="Times New Roman" w:hAnsi="Times New Roman"/>
          <w:noProof/>
          <w:sz w:val="24"/>
          <w:szCs w:val="24"/>
        </w:rPr>
        <w:t xml:space="preserve"> (angl. </w:t>
      </w:r>
      <w:r>
        <w:rPr>
          <w:rFonts w:ascii="Times New Roman" w:hAnsi="Times New Roman"/>
          <w:i/>
          <w:noProof/>
          <w:sz w:val="24"/>
          <w:szCs w:val="24"/>
        </w:rPr>
        <w:t>Turning FAIR into reality</w:t>
      </w:r>
      <w:r>
        <w:rPr>
          <w:rFonts w:ascii="Times New Roman" w:hAnsi="Times New Roman"/>
          <w:noProof/>
          <w:sz w:val="24"/>
          <w:szCs w:val="24"/>
        </w:rPr>
        <w:t>)</w:t>
      </w:r>
      <w:r>
        <w:rPr>
          <w:rStyle w:val="FootnoteReference"/>
          <w:rFonts w:eastAsia="Calibri"/>
          <w:noProof/>
          <w:sz w:val="24"/>
          <w:szCs w:val="24"/>
        </w:rPr>
        <w:footnoteReference w:id="65"/>
      </w:r>
      <w:r>
        <w:rPr>
          <w:rFonts w:ascii="Times New Roman" w:hAnsi="Times New Roman"/>
          <w:noProof/>
          <w:sz w:val="24"/>
          <w:szCs w:val="24"/>
        </w:rPr>
        <w:t>, kurioje taip pat pateiktas veiksmų planas, kaip išnaudoti duomenimis grindžiamų MTI potencialą.</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Nuo 2019 m. sausio mėn. į iniciatyvos „Horizontas 2020“ </w:t>
      </w:r>
      <w:r>
        <w:rPr>
          <w:rFonts w:ascii="Times New Roman" w:hAnsi="Times New Roman"/>
          <w:b/>
          <w:noProof/>
          <w:sz w:val="24"/>
          <w:szCs w:val="24"/>
        </w:rPr>
        <w:t xml:space="preserve">pavyzdinį dotacijos susitarimą </w:t>
      </w:r>
      <w:r>
        <w:rPr>
          <w:rFonts w:ascii="Times New Roman" w:hAnsi="Times New Roman"/>
          <w:noProof/>
          <w:sz w:val="24"/>
          <w:szCs w:val="24"/>
        </w:rPr>
        <w:t>įtraukus atvirosios prieigos sąlygą užtikrinama galimybė naudotis visomis 54 635 mokslinėmis publikacijomis, kurios buvo parengtos įgyvendinant vykdomus iniciatyvos „Horizontas 2020“ projektus.</w:t>
      </w:r>
    </w:p>
    <w:p>
      <w:pPr>
        <w:keepNext/>
        <w:tabs>
          <w:tab w:val="left" w:pos="850"/>
        </w:tabs>
        <w:spacing w:after="24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9. </w:t>
      </w:r>
      <w:r>
        <w:rPr>
          <w:rFonts w:ascii="Times New Roman" w:hAnsi="Times New Roman"/>
          <w:b/>
          <w:smallCaps/>
          <w:noProof/>
          <w:sz w:val="24"/>
          <w:szCs w:val="24"/>
        </w:rPr>
        <w:tab/>
        <w:t xml:space="preserve">Perspektyvos  </w:t>
      </w:r>
    </w:p>
    <w:p>
      <w:pPr>
        <w:spacing w:after="240" w:line="240" w:lineRule="auto"/>
        <w:jc w:val="both"/>
        <w:textAlignment w:val="bottom"/>
        <w:rPr>
          <w:rFonts w:ascii="Times New Roman" w:eastAsia="Times New Roman" w:hAnsi="Times New Roman" w:cs="Times New Roman"/>
          <w:noProof/>
          <w:sz w:val="24"/>
          <w:szCs w:val="24"/>
        </w:rPr>
      </w:pPr>
      <w:r>
        <w:rPr>
          <w:rFonts w:ascii="Times New Roman" w:hAnsi="Times New Roman"/>
          <w:noProof/>
          <w:sz w:val="24"/>
          <w:szCs w:val="24"/>
        </w:rPr>
        <w:t xml:space="preserve">2019 m. bus tęsiamos tarpinstitucinės derybos dėl programos </w:t>
      </w:r>
      <w:r>
        <w:rPr>
          <w:rFonts w:ascii="Times New Roman" w:hAnsi="Times New Roman"/>
          <w:b/>
          <w:noProof/>
          <w:sz w:val="24"/>
          <w:szCs w:val="24"/>
        </w:rPr>
        <w:t>„Europos horizontas“</w:t>
      </w:r>
      <w:r>
        <w:rPr>
          <w:rFonts w:ascii="Times New Roman" w:hAnsi="Times New Roman"/>
          <w:noProof/>
          <w:sz w:val="24"/>
          <w:szCs w:val="24"/>
        </w:rPr>
        <w:t xml:space="preserve">. Jei su Europos Parlamentu ir Taryba bus įmanoma pasiekti politinį susitarimą dėl esminių teisės aktų rinkinio elementų, bus galima pradėti kartu rengti programos veiksmus ir laiku juos įgyvendinti. Taip bus užtikrintas ES paramos tęstinumas ir veiksmingas kryptingumas, grindžiamas tęstiniu dialogu su visais suinteresuotaisiais subjektais. </w:t>
      </w:r>
    </w:p>
    <w:p>
      <w:pPr>
        <w:spacing w:after="240" w:line="240" w:lineRule="auto"/>
        <w:jc w:val="both"/>
        <w:textAlignment w:val="bottom"/>
        <w:rPr>
          <w:rFonts w:ascii="Times New Roman" w:eastAsia="Times New Roman" w:hAnsi="Times New Roman" w:cs="Times New Roman"/>
          <w:noProof/>
          <w:sz w:val="24"/>
          <w:szCs w:val="24"/>
        </w:rPr>
      </w:pPr>
      <w:r>
        <w:rPr>
          <w:rFonts w:ascii="Times New Roman" w:hAnsi="Times New Roman"/>
          <w:noProof/>
          <w:sz w:val="24"/>
          <w:szCs w:val="24"/>
        </w:rPr>
        <w:t xml:space="preserve">Daug pastangų bus dedama rengiant </w:t>
      </w:r>
      <w:r>
        <w:rPr>
          <w:rFonts w:ascii="Times New Roman" w:hAnsi="Times New Roman"/>
          <w:b/>
          <w:noProof/>
          <w:sz w:val="24"/>
          <w:szCs w:val="24"/>
        </w:rPr>
        <w:t>bendrą ES politiką</w:t>
      </w:r>
      <w:r>
        <w:rPr>
          <w:rFonts w:ascii="Times New Roman" w:hAnsi="Times New Roman"/>
          <w:noProof/>
          <w:sz w:val="24"/>
          <w:szCs w:val="24"/>
        </w:rPr>
        <w:t>, siekiant skatinti daugiau ir geresnių MTI Europoje, kuriais būtų remiamas darnus vystymasis ir siekiama ES strateginių tikslų, visų pirma sukuriant visa apimančią strategiją ir ES išteklių investavimo, reformų skatinimo ir reguliavimo sistemos sąlygų gerinimo programą.</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700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rPr>
        <w:lang w:val="fr-B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eastAsia="Calibri"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https://ec.europa.eu/info/sites/info/files/com-2018-306-a-renewed-european-agenda-_for_research-and-innovation_may_2018_en_0.pdf</w:t>
      </w:r>
    </w:p>
  </w:footnote>
  <w:footnote w:id="2">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https://ec.europa.eu/info/sites/info/files/file_import/2019-european-semester-annual-growth-survey_en_1.pdf</w:t>
      </w:r>
    </w:p>
  </w:footnote>
  <w:footnote w:id="3">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https://ec.europa.eu/info/sites/info/files/rec-17-015-srip-report2018_mep-web-20180228.pdf</w:t>
      </w:r>
    </w:p>
  </w:footnote>
  <w:footnote w:id="4">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https://ec.europa.eu/commission/sites/beta-political/files/communication_investment_plan_for_europe_nov2018.pdf</w:t>
      </w:r>
    </w:p>
  </w:footnote>
  <w:footnote w:id="5">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https://ec.europa.eu/research/evaluations/pdf/archive/h2020_evaluations/swd(2017)220-in-depth-interim_evaluation-h2020.pdf</w:t>
      </w:r>
    </w:p>
  </w:footnote>
  <w:footnote w:id="6">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https://eur-lex.europa.eu/content/news/general-data-protection-regulation-GDPR-applies-from-25-May-2018.html?locale=lt</w:t>
      </w:r>
    </w:p>
  </w:footnote>
  <w:footnote w:id="7">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https://ec.europa.eu/digital-single-market/en/news/eu-member-states-sign-cooperate-artificial-intelligence</w:t>
      </w:r>
      <w:r>
        <w:rPr>
          <w:rStyle w:val="Hyperlink"/>
          <w:rFonts w:ascii="Times New Roman" w:hAnsi="Times New Roman"/>
        </w:rPr>
        <w:t>.</w:t>
      </w:r>
    </w:p>
  </w:footnote>
  <w:footnote w:id="8">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https://ec.europa.eu/digital-single-market/en/eurohpc-joint-undertaking</w:t>
      </w:r>
    </w:p>
  </w:footnote>
  <w:footnote w:id="9">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https://www.ipcc.ch/site/assets/uploads/sites/2/2018/07/SR15_SPM_High_Res.pdf</w:t>
      </w:r>
    </w:p>
  </w:footnote>
  <w:footnote w:id="10">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https://ec.europa.eu/clima/sites/clima/files/docs/pages/com_2018_733_en.pdf</w:t>
      </w:r>
    </w:p>
  </w:footnote>
  <w:footnote w:id="11">
    <w:p>
      <w:pPr>
        <w:pStyle w:val="FootnoteText"/>
      </w:pPr>
      <w:r>
        <w:rPr>
          <w:rStyle w:val="FootnoteReference"/>
          <w:rFonts w:eastAsiaTheme="minorHAnsi"/>
        </w:rPr>
        <w:footnoteRef/>
      </w:r>
      <w:r>
        <w:t xml:space="preserve"> https://ec.europa.eu/clima/sites/clima/files/docs/pages/com_2018_733_en.pdf</w:t>
      </w:r>
    </w:p>
  </w:footnote>
  <w:footnote w:id="12">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https://ec.europa.eu/research/evaluations/pdf/archive/other_reports_studies_and_documents/hlg_2017_report.pd</w:t>
      </w:r>
      <w:r>
        <w:rPr>
          <w:rStyle w:val="Hyperlink"/>
          <w:rFonts w:ascii="Times New Roman" w:hAnsi="Times New Roman"/>
        </w:rPr>
        <w:t>f</w:t>
      </w:r>
    </w:p>
  </w:footnote>
  <w:footnote w:id="13">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https://www.consilium.europa.eu/media/37219/st14406-en18.pdf</w:t>
      </w:r>
    </w:p>
  </w:footnote>
  <w:footnote w:id="14">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http://www.europarl.europa.eu/sides/getDoc.do?pubRef=-//EP//TEXT+TA+P8-TA-2018-0509+0+DOC+XML+V0//EN&amp;language=LT</w:t>
      </w:r>
    </w:p>
  </w:footnote>
  <w:footnote w:id="15">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https://ec.europa.eu/info/sites/info/files/mazzucato_report_2018.pdf</w:t>
      </w:r>
    </w:p>
  </w:footnote>
  <w:footnote w:id="16">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https://ec.europa.eu/info/publications/2018-european-semester-country-reports_en</w:t>
      </w:r>
    </w:p>
  </w:footnote>
  <w:footnote w:id="17">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https://ec.europa.eu/info/news/eic-pilot-eu1734-million-top-class-innovators-bring-their-innovations-faster-market-2018-dec-20_en</w:t>
      </w:r>
    </w:p>
  </w:footnote>
  <w:footnote w:id="18">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https://publications.europa.eu/lt/publication-detail/-/publication/0635b07f-07bb-11e7-8a35-01aa75ed71a1</w:t>
      </w:r>
    </w:p>
  </w:footnote>
  <w:footnote w:id="19">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http://europa.eu/rapid/press-release_IP-18-2763_lt.htm</w:t>
      </w:r>
    </w:p>
  </w:footnote>
  <w:footnote w:id="20">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https://ec.europa.eu/info/sites/info/files/rec-17-015-srip-report2018_mep-web-20180228.pdf</w:t>
      </w:r>
    </w:p>
  </w:footnote>
  <w:footnote w:id="21">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https://publications.europa.eu/lt/web/eu-law-and-publications/publication-detail/-/publication/5253a1af-ee10-11e8-b690-01aa75ed71a1</w:t>
      </w:r>
    </w:p>
  </w:footnote>
  <w:footnote w:id="22">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https://eur-lex.europa.eu/legal-content/LT/TXT/PDF/?uri=CELEX:32018H0790&amp;from=EN</w:t>
      </w:r>
    </w:p>
  </w:footnote>
  <w:footnote w:id="23">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https://ec.europa.eu/commission/commissioners/2014-2019/moedas/announcements/plan-s-and-coalition-s-accelerating-transition-full-and-immediate-open-access-scientific_en</w:t>
      </w:r>
    </w:p>
  </w:footnote>
  <w:footnote w:id="24">
    <w:p>
      <w:pPr>
        <w:pStyle w:val="FootnoteText"/>
        <w:ind w:left="284" w:hanging="284"/>
        <w:jc w:val="both"/>
        <w:rPr>
          <w:rFonts w:ascii="Times New Roman" w:hAnsi="Times New Roman" w:cs="Times New Roman"/>
          <w:i/>
        </w:rPr>
      </w:pPr>
      <w:r>
        <w:rPr>
          <w:rStyle w:val="FootnoteReference"/>
          <w:rFonts w:eastAsia="Calibri"/>
        </w:rPr>
        <w:footnoteRef/>
      </w:r>
      <w:r>
        <w:rPr>
          <w:rFonts w:ascii="Times New Roman" w:hAnsi="Times New Roman"/>
        </w:rPr>
        <w:t xml:space="preserve"> </w:t>
      </w:r>
      <w:r>
        <w:rPr>
          <w:rFonts w:ascii="Times New Roman" w:hAnsi="Times New Roman"/>
        </w:rPr>
        <w:tab/>
        <w:t>https://ec.europa.eu/info/funding-tenders/opportunities/portal/screen/opportunities/topic-details/lc-cla-01-2018</w:t>
      </w:r>
      <w:r>
        <w:rPr>
          <w:rStyle w:val="Hyperlink"/>
          <w:rFonts w:ascii="Times New Roman" w:hAnsi="Times New Roman"/>
        </w:rPr>
        <w:t>.</w:t>
      </w:r>
    </w:p>
  </w:footnote>
  <w:footnote w:id="25">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https://ec.europa.eu/research/index.cfm?pg=events&amp;eventcode=187D5765-E38F-9AFC-958DA987ECDD0613</w:t>
      </w:r>
      <w:r>
        <w:rPr>
          <w:rStyle w:val="Hyperlink"/>
          <w:rFonts w:ascii="Times New Roman" w:hAnsi="Times New Roman"/>
        </w:rPr>
        <w:t>.</w:t>
      </w:r>
    </w:p>
  </w:footnote>
  <w:footnote w:id="26">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https://www.arcticscienceministerial.org/files/ASM2_Joint_Statement.pdf</w:t>
      </w:r>
    </w:p>
  </w:footnote>
  <w:footnote w:id="27">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https://ec.europa.eu/research/bioeconomy/pdf/ec_bioeconomy_strategy_2018.pdf</w:t>
      </w:r>
    </w:p>
  </w:footnote>
  <w:footnote w:id="28">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https://ec.europa.eu/clima/sites/clima/files/docs/pages/com_2018_733_en.pdf</w:t>
      </w:r>
    </w:p>
  </w:footnote>
  <w:footnote w:id="29">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https://ec.europa.eu/energy/sites/ener/files/documents/1_en_act_part1_v6_0.pdf</w:t>
      </w:r>
    </w:p>
  </w:footnote>
  <w:footnote w:id="30">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r>
      <w:r>
        <w:rPr>
          <w:rStyle w:val="Hyperlink"/>
          <w:rFonts w:ascii="Times New Roman" w:hAnsi="Times New Roman"/>
          <w:color w:val="auto"/>
        </w:rPr>
        <w:t>https://publications.europa.eu/lt/publication-detail/-/publication/28e1c485-476a-11e8-be1d-01aa75ed71a1</w:t>
      </w:r>
    </w:p>
  </w:footnote>
  <w:footnote w:id="31">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https://ec.europa.eu/research/sam/pdf/c_2018_1919_ec_decision_consolidated.pdf</w:t>
      </w:r>
    </w:p>
  </w:footnote>
  <w:footnote w:id="32">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https://ec.europa.eu/research/sam/pdf/sam_ccu_report.pdf</w:t>
      </w:r>
    </w:p>
  </w:footnote>
  <w:footnote w:id="33">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https://ec.europa.eu/info/sites/info/files/2018_11_gcsa_statement_gene_editing_1.pdf</w:t>
      </w:r>
    </w:p>
  </w:footnote>
  <w:footnote w:id="34">
    <w:p>
      <w:pPr>
        <w:pStyle w:val="FootnoteText"/>
      </w:pPr>
      <w:r>
        <w:rPr>
          <w:rStyle w:val="FootnoteReference"/>
          <w:rFonts w:eastAsiaTheme="minorHAnsi"/>
        </w:rPr>
        <w:footnoteRef/>
      </w:r>
      <w:r>
        <w:t xml:space="preserve"> https://ec.europa.eu/growth/industry/policy/european-battery-alliance_lt</w:t>
      </w:r>
    </w:p>
  </w:footnote>
  <w:footnote w:id="35">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https://ec.europa.eu/transport/sites/transport/files/3rd-mobility-pack/com20180283_en.pdf</w:t>
      </w:r>
    </w:p>
  </w:footnote>
  <w:footnote w:id="36">
    <w:p>
      <w:pPr>
        <w:pStyle w:val="FootnoteText"/>
      </w:pPr>
      <w:r>
        <w:rPr>
          <w:rStyle w:val="FootnoteReference"/>
          <w:rFonts w:eastAsiaTheme="minorHAnsi"/>
        </w:rPr>
        <w:footnoteRef/>
      </w:r>
      <w:r>
        <w:t xml:space="preserve"> https://ec.europa.eu/commission/news/endocrine-disruptors-strategy-and-european-citizens-initiative-2018-nov-07_en</w:t>
      </w:r>
    </w:p>
  </w:footnote>
  <w:footnote w:id="37">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Padėtis 2019 m. vasario 11 d. (duomenys iš iniciatyvos „Horizontas 2020“ rodiklių suvestinės).</w:t>
      </w:r>
    </w:p>
  </w:footnote>
  <w:footnote w:id="38">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https://ec.europa.eu/info/sites/info/files/eic_hlg_bz_web.pdf</w:t>
      </w:r>
    </w:p>
  </w:footnote>
  <w:footnote w:id="39">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https://eur-lex.europa.eu/legal-content/LT/TXT/?uri=COM:2016:733:FIN</w:t>
      </w:r>
    </w:p>
  </w:footnote>
  <w:footnote w:id="40">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http://ec.europa.eu/research/eic/pdf/eic_recommendations_set-1_2017.pdf</w:t>
      </w:r>
    </w:p>
  </w:footnote>
  <w:footnote w:id="41">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https://www.consilium.europa.eu/lt/press/press-releases/2018/06/29/20180628-euco-conclusions-final/</w:t>
      </w:r>
    </w:p>
  </w:footnote>
  <w:footnote w:id="42">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http://ec.europa.eu/research/iscp/index.cfm?pg=countries</w:t>
      </w:r>
    </w:p>
  </w:footnote>
  <w:footnote w:id="43">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http://ec.europa.eu/research/iscp/index.cfm?pg=regions</w:t>
      </w:r>
    </w:p>
  </w:footnote>
  <w:footnote w:id="44">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https://ec.europa.eu/programmes/horizon2020/en/news/widening-participation-horizon-2020-report-analysis-fp-participation-patterns-and-ri</w:t>
      </w:r>
    </w:p>
  </w:footnote>
  <w:footnote w:id="45">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https://rio.jrc.ec.europa.eu/en/library/peer-review-estonian-research-and-innovation-system-factsheet</w:t>
      </w:r>
    </w:p>
  </w:footnote>
  <w:footnote w:id="46">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https://publications.europa.eu/lt/publication-detail/-/publication/4365f75a-5efe-11e8-ab9c-01aa75ed71a1</w:t>
      </w:r>
    </w:p>
  </w:footnote>
  <w:footnote w:id="47">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https://ec.europa.eu/research/swafs/pdf/pub_gender_equality/interim_evaluation_gender_long_final.pdf</w:t>
      </w:r>
    </w:p>
  </w:footnote>
  <w:footnote w:id="48">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http://www.ncpacademy.eu/wp-content/uploads/2018/09/20180222_Gender-Equality-in-H2020.pdf</w:t>
      </w:r>
    </w:p>
  </w:footnote>
  <w:footnote w:id="49">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http://ec.europa.eu/research/swafs/pdf/pub_gender_equality/KI-07-17-199-EN-N.pdf</w:t>
      </w:r>
    </w:p>
  </w:footnote>
  <w:footnote w:id="50">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Visų pirma žr. 10 konstatuojamąją dalį;</w:t>
      </w:r>
      <w:r>
        <w:rPr>
          <w:rFonts w:ascii="Times New Roman" w:hAnsi="Times New Roman"/>
        </w:rPr>
        <w:tab/>
      </w:r>
      <w:r>
        <w:rPr>
          <w:rFonts w:ascii="Times New Roman" w:hAnsi="Times New Roman"/>
        </w:rPr>
        <w:br/>
        <w:t xml:space="preserve">http://ec.europa.eu/research/participants/data/ref/h2020/legal_basis/fp/h2020-eu-establact_lt.pdf </w:t>
      </w:r>
    </w:p>
  </w:footnote>
  <w:footnote w:id="51">
    <w:p>
      <w:pPr>
        <w:pStyle w:val="FootnoteText"/>
      </w:pPr>
      <w:r>
        <w:rPr>
          <w:rStyle w:val="FootnoteReference"/>
          <w:rFonts w:eastAsiaTheme="minorHAnsi"/>
        </w:rPr>
        <w:footnoteRef/>
      </w:r>
      <w:r>
        <w:t xml:space="preserve"> Į šias išlaidas neįtrauktos su konkrečiais tikslais nesusijusios išlaidos, pvz., administracinės išlaidos. </w:t>
      </w:r>
    </w:p>
  </w:footnote>
  <w:footnote w:id="52">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https://rio.jrc.ec.europa.eu/en/policy-support-facility/mle-national-practices-widening-participation-and-strengthening-synergies</w:t>
      </w:r>
    </w:p>
  </w:footnote>
  <w:footnote w:id="53">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https://www.eca.europa.eu/lt/Pages/DocItem.aspx?did=47542</w:t>
      </w:r>
    </w:p>
  </w:footnote>
  <w:footnote w:id="54">
    <w:p>
      <w:pPr>
        <w:pStyle w:val="FootnoteText"/>
        <w:ind w:left="284" w:hanging="284"/>
        <w:jc w:val="both"/>
        <w:rPr>
          <w:rStyle w:val="Hyperlink"/>
          <w:rFonts w:ascii="Times New Roman" w:hAnsi="Times New Roman" w:cs="Times New Roman"/>
          <w:color w:val="auto"/>
        </w:rPr>
      </w:pPr>
      <w:r>
        <w:rPr>
          <w:rStyle w:val="Hyperlink"/>
          <w:color w:val="auto"/>
        </w:rPr>
        <w:t>S</w:t>
      </w:r>
    </w:p>
  </w:footnote>
  <w:footnote w:id="55">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https://ec.europa.eu/knowledge4policy/food-fraud_en</w:t>
      </w:r>
    </w:p>
  </w:footnote>
  <w:footnote w:id="56">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https://ec.europa.eu/knowledge4policy/global-food-nutrition-security_en</w:t>
      </w:r>
    </w:p>
  </w:footnote>
  <w:footnote w:id="57">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https://ec.europa.eu/jrc/en/event/conference/technology-transfer-competence-centre</w:t>
      </w:r>
    </w:p>
  </w:footnote>
  <w:footnote w:id="58">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https://ec.europa.eu/jrc/communities/en/community/jrc-alumni-network/article/ec-competence-centre-foresight</w:t>
      </w:r>
    </w:p>
  </w:footnote>
  <w:footnote w:id="59">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https://ec.europa.eu/commission/publications/reflection-paper-towards-sustainable-europe-2030_lt</w:t>
      </w:r>
    </w:p>
  </w:footnote>
  <w:footnote w:id="60">
    <w:p>
      <w:pPr>
        <w:pStyle w:val="FootnoteText"/>
        <w:rPr>
          <w:rFonts w:ascii="Times New Roman" w:hAnsi="Times New Roman" w:cs="Times New Roman"/>
        </w:rPr>
      </w:pPr>
      <w:r>
        <w:rPr>
          <w:rStyle w:val="FootnoteReference"/>
          <w:rFonts w:eastAsiaTheme="minorHAnsi"/>
        </w:rPr>
        <w:footnoteRef/>
      </w:r>
      <w:r>
        <w:t xml:space="preserve"> </w:t>
      </w:r>
      <w:r>
        <w:rPr>
          <w:rFonts w:ascii="Times New Roman" w:hAnsi="Times New Roman" w:cs="Times New Roman"/>
        </w:rPr>
        <w:t xml:space="preserve">„EIT InnoEnergy“, „EIT Climate-KIC“, „EIT Digital“, „EIT RawMaterials“, „EIT Health“, „EIT Food“. </w:t>
      </w:r>
    </w:p>
  </w:footnote>
  <w:footnote w:id="61">
    <w:p>
      <w:pPr>
        <w:pStyle w:val="FootnoteText"/>
        <w:rPr>
          <w:rFonts w:ascii="Times New Roman" w:hAnsi="Times New Roman" w:cs="Times New Roman"/>
        </w:rPr>
      </w:pPr>
      <w:r>
        <w:rPr>
          <w:rStyle w:val="FootnoteReference"/>
          <w:rFonts w:eastAsiaTheme="minorHAnsi"/>
        </w:rPr>
        <w:footnoteRef/>
      </w:r>
      <w:r>
        <w:rPr>
          <w:rFonts w:ascii="Times New Roman" w:hAnsi="Times New Roman" w:cs="Times New Roman"/>
        </w:rPr>
        <w:t xml:space="preserve"> https://www.forbes.com/consent/?toURL=https://www.forbes.com/30-under-30/2018/</w:t>
      </w:r>
    </w:p>
  </w:footnote>
  <w:footnote w:id="62">
    <w:p>
      <w:pPr>
        <w:pStyle w:val="FootnoteText"/>
      </w:pPr>
      <w:r>
        <w:rPr>
          <w:rStyle w:val="FootnoteReference"/>
          <w:rFonts w:eastAsiaTheme="minorHAnsi"/>
        </w:rPr>
        <w:footnoteRef/>
      </w:r>
      <w:r>
        <w:t xml:space="preserve"> https://ec.europa.eu/info/funding-tenders/opportunities/portal/screen/home</w:t>
      </w:r>
    </w:p>
  </w:footnote>
  <w:footnote w:id="63">
    <w:p>
      <w:pPr>
        <w:pStyle w:val="FootnoteText"/>
      </w:pPr>
      <w:r>
        <w:rPr>
          <w:rStyle w:val="FootnoteReference"/>
          <w:rFonts w:eastAsiaTheme="minorHAnsi"/>
        </w:rPr>
        <w:footnoteRef/>
      </w:r>
      <w:r>
        <w:t xml:space="preserve"> https://ec.europa.eu/info/funding-tenders/opportunities/portal/screen/opportunities/horizon-dashboard</w:t>
      </w:r>
    </w:p>
  </w:footnote>
  <w:footnote w:id="64">
    <w:p>
      <w:pPr>
        <w:pStyle w:val="FootnoteText"/>
      </w:pPr>
      <w:r>
        <w:rPr>
          <w:rStyle w:val="FootnoteReference"/>
          <w:rFonts w:eastAsiaTheme="minorHAnsi"/>
        </w:rPr>
        <w:footnoteRef/>
      </w:r>
      <w:r>
        <w:t xml:space="preserve"> https://cordis.europa.eu</w:t>
      </w:r>
    </w:p>
  </w:footnote>
  <w:footnote w:id="65">
    <w:p>
      <w:pPr>
        <w:pStyle w:val="FootnoteText"/>
        <w:ind w:left="284" w:hanging="284"/>
        <w:jc w:val="both"/>
        <w:rPr>
          <w:rFonts w:ascii="Times New Roman" w:hAnsi="Times New Roman" w:cs="Times New Roman"/>
        </w:rPr>
      </w:pPr>
      <w:r>
        <w:rPr>
          <w:rStyle w:val="FootnoteReference"/>
          <w:rFonts w:eastAsia="Calibri"/>
        </w:rPr>
        <w:footnoteRef/>
      </w:r>
      <w:r>
        <w:rPr>
          <w:rFonts w:ascii="Times New Roman" w:hAnsi="Times New Roman"/>
        </w:rPr>
        <w:t xml:space="preserve"> </w:t>
      </w:r>
      <w:r>
        <w:rPr>
          <w:rFonts w:ascii="Times New Roman" w:hAnsi="Times New Roman"/>
        </w:rPr>
        <w:tab/>
        <w:t>https://ec.europa.eu/info/sites/info/files/turning_fair_into_reality_1.pdf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7ED"/>
    <w:multiLevelType w:val="hybridMultilevel"/>
    <w:tmpl w:val="6700DD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77F4FFD"/>
    <w:multiLevelType w:val="hybridMultilevel"/>
    <w:tmpl w:val="A9AC9928"/>
    <w:lvl w:ilvl="0" w:tplc="4634911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34B6811"/>
    <w:multiLevelType w:val="hybridMultilevel"/>
    <w:tmpl w:val="22509C3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507337"/>
    <w:multiLevelType w:val="hybridMultilevel"/>
    <w:tmpl w:val="9C9A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D86DD8"/>
    <w:multiLevelType w:val="hybridMultilevel"/>
    <w:tmpl w:val="69043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DC0CBFE-75F3-4645-BE4E-955B59776E88"/>
    <w:docVar w:name="LW_COVERPAGE_TYPE" w:val="1"/>
    <w:docVar w:name="LW_CROSSREFERENCE" w:val="&lt;UNUSED&gt;"/>
    <w:docVar w:name="LW_DocType" w:val="NORMAL"/>
    <w:docVar w:name="LW_EMISSION" w:val="2019 07 03"/>
    <w:docVar w:name="LW_EMISSION_ISODATE" w:val="2019-07-03"/>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Mokslini\u371? tyrim\u371? ir technologin\u279?s pl\u279?tros veikla Europos S\u261?jungoje ir programos \u8222?Horizontas 2020\u8220? steb\u279?sena 2018 m.&lt;/FMT&gt;"/>
    <w:docVar w:name="LW_TYPE.DOC.CP" w:val="KOMISIJOS ATASKAITA EUROPOS PARLAMENTUI IR TARYBAI"/>
    <w:docVar w:name="Stamp" w:val="\\dossiers.dgt.cec.eu.int\dossiers\RTD\RTD-2019-00046\RTD-2019-00046-00-00-EN-EDT-00.201905210928064072194.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uiPriority w:val="99"/>
    <w:unhideWhenUsed/>
    <w:rPr>
      <w:rFonts w:ascii="Times New Roman" w:eastAsia="Times New Roman" w:hAnsi="Times New Roman" w:cs="Times New Roman"/>
      <w:sz w:val="20"/>
      <w:szCs w:val="20"/>
      <w:vertAlign w:val="superscript"/>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uiPriority w:val="99"/>
    <w:unhideWhenUsed/>
    <w:rPr>
      <w:rFonts w:ascii="Times New Roman" w:eastAsia="Times New Roman" w:hAnsi="Times New Roman" w:cs="Times New Roman"/>
      <w:sz w:val="20"/>
      <w:szCs w:val="20"/>
      <w:vertAlign w:val="superscript"/>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32C9D95-142C-4B13-9B94-87EA1728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3557</Words>
  <Characters>24727</Characters>
  <Application>Microsoft Office Word</Application>
  <DocSecurity>0</DocSecurity>
  <Lines>386</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2019-06-05T12:19:00Z</cp:lastPrinted>
  <dcterms:created xsi:type="dcterms:W3CDTF">2019-06-07T07:26:00Z</dcterms:created>
  <dcterms:modified xsi:type="dcterms:W3CDTF">2019-06-27T08:23:00Z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