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A2B3291-86CF-4E79-83D9-879DA4622267" style="width:450.75pt;height:434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Príloha II: Opatrenia v rámci programu Pericles 2020, na ktoré boli viazané finančné prostriedky v rámci predchádzajúcich rozpočtov, ale ktoré boli vykonané v roku 2018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2338"/>
        <w:gridCol w:w="1489"/>
      </w:tblGrid>
      <w:tr>
        <w:trPr>
          <w:trHeight w:val="1701"/>
          <w:tblHeader/>
          <w:jc w:val="center"/>
        </w:trPr>
        <w:tc>
          <w:tcPr>
            <w:tcW w:w="1844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Organizátor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eastAsia="en-GB"/>
              </w:rPr>
              <w:footnoteReference w:id="1"/>
            </w:r>
          </w:p>
        </w:tc>
        <w:tc>
          <w:tcPr>
            <w:tcW w:w="4111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Činnosť</w:t>
            </w:r>
          </w:p>
        </w:tc>
        <w:tc>
          <w:tcPr>
            <w:tcW w:w="2338" w:type="dxa"/>
            <w:shd w:val="clear" w:color="000000" w:fill="B8CCE4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Miesto a dátum</w:t>
            </w:r>
          </w:p>
        </w:tc>
        <w:tc>
          <w:tcPr>
            <w:tcW w:w="1489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Príspevok Komisie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(celková suma viazaných prostriedkov v eurách)</w:t>
            </w:r>
          </w:p>
        </w:tc>
      </w:tr>
      <w:tr>
        <w:trPr>
          <w:trHeight w:val="629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Semináre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Chorvátsko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Národná banka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3. konferencia balkánskej siete na ochranu eura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Dubrovník (HR)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 21.– 22. marca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77 675,15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 posilnenie spolupráce a výmena know-how.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Komisia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ECFIN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Prvé zasadnutie Platformy 1210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Brusel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16. – 17. mája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134 700,00</w:t>
            </w:r>
            <w:bookmarkStart w:id="2" w:name="_Ref5880018"/>
            <w:r>
              <w:rPr>
                <w:rFonts w:ascii="Times New Roman" w:hAnsi="Times New Roman" w:cs="Times New Roman"/>
                <w:b/>
                <w:noProof/>
                <w:vertAlign w:val="superscript"/>
              </w:rPr>
              <w:footnoteReference w:id="2"/>
            </w:r>
            <w:bookmarkEnd w:id="2"/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zvýšenie účinnosti overovania pravosti euromincí a klasifikácie falšovaných euromincí.  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Rakúsko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BMI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ICIT – Vyšetrovanie darknetu – ochrana eura (zlepšenie – spolupráca – vyšetrovanie – odborná príprava)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Viedeň (AT)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1. – 5. októbra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164 024,15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 posilnenie spolupráce a výmena know-how.</w:t>
            </w:r>
          </w:p>
        </w:tc>
      </w:tr>
      <w:tr>
        <w:trPr>
          <w:trHeight w:val="620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Technické školenia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Komisia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ECFIN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Seminár v roku 2018 „Ako podávať žiadosť o účasť na programe Pericles 2020“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Brusel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11. apríla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134 700,00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instrText xml:space="preserve"> NOTEREF _Ref5880018 \h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fldChar w:fldCharType="end"/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podpora a usmernenie potenciálnych žiadateľov o účasť na programe Pericles 2020</w:t>
            </w:r>
          </w:p>
        </w:tc>
      </w:tr>
      <w:tr>
        <w:trPr>
          <w:trHeight w:val="626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Výmeny zamestnancov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Španielsko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BIBE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Výmena zamestnancov medzi expertmi z Argentíny, Čile, Ekvádora a zo Španielska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Madrid (ES) a Brusel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18. – 22. júna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70 049,02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posilnenie spolupráce a výmena know-how.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Rumunsko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GIRP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Výmena zamestnancov medzi príslušnými policajnými orgánmi na boj proti falšovaniu peňazí v Rumunsku, Maďarsku, Moldavsku, Bulharsku, Srbsku, na Ukrajine, v Taliansku, Grécku a Turecku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Bukurešť (RO), Budapešť (HU), Kišiňov (MD), Kyjev (UA), Atény (EL), Rím, Neapol (IT) a Ankara (TR)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máj – november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71 573,55</w:t>
            </w:r>
          </w:p>
        </w:tc>
      </w:tr>
      <w:tr>
        <w:trPr>
          <w:trHeight w:val="68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 xml:space="preserve">Hlavný cieľ opatrenia: </w:t>
            </w:r>
            <w:r>
              <w:rPr>
                <w:rFonts w:ascii="Times New Roman" w:hAnsi="Times New Roman"/>
                <w:noProof/>
              </w:rPr>
              <w:t>posilnenie spolupráce a výmena know-how.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Portugalsko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Polícia Judiciária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Postupy NAC a CNAC zamerané na boj proti falšovaniu eura – výmena zamestnancov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Lisabon (PT)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4.– 9. marca 2019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Mainz (DE), Nikózia (CY), Ľubľana (SI), Madrid (ES), Atény (EL), Brazília (BR)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marec – jún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94 351,06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posilnenie spolupráce a výmena know-how.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Taliansko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CCAFM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Výmena zamestnancov so zameraním na vyšetrovacie techniky proti falšovaniu peňazí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Rím (IT), Podgorica (ME), Bratislava (SK), Praha (CZ), Kyjev (UA), Tirana (AL), Budapešť (HU)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marec – júl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60 480,47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bCs/>
                <w:noProof/>
              </w:rPr>
              <w:t xml:space="preserve"> posilnenie spolupráce a výmena know-how.</w:t>
            </w:r>
          </w:p>
        </w:tc>
      </w:tr>
      <w:tr>
        <w:trPr>
          <w:trHeight w:val="596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Nákup zariadení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Španielsko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BIBE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Nákup zariadení a odborná príprava špecialistov na boj proti falšovaniu v oblasti ochrany eura proti falšovaniu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Buenos Aires (AR)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15. – 19. mája 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26 336,53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Hlavný cieľ opatrenia:</w:t>
            </w:r>
            <w:r>
              <w:rPr>
                <w:rFonts w:ascii="Times New Roman" w:hAnsi="Times New Roman"/>
                <w:noProof/>
              </w:rPr>
              <w:t xml:space="preserve"> posilnenie spolupráce a výmena know-how.</w:t>
            </w:r>
          </w:p>
        </w:tc>
      </w:tr>
      <w:tr>
        <w:trPr>
          <w:trHeight w:val="596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Štúdia</w:t>
            </w:r>
          </w:p>
        </w:tc>
      </w:tr>
      <w:tr>
        <w:trPr>
          <w:trHeight w:val="11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Francúzsko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Monnaie de Paris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Nanoštruktúrované fotochromatické polyméry pre nové ochranné prvky na použitie na eurominciach – 2. fáza štúdie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Paríž (FR)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september 2016 – február 2019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126 673,00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 xml:space="preserve">Hlavný cieľ opatrenia: </w:t>
            </w:r>
            <w:r>
              <w:rPr>
                <w:rFonts w:ascii="Times New Roman" w:hAnsi="Times New Roman"/>
                <w:i/>
                <w:noProof/>
              </w:rPr>
              <w:t>posilnenie ochranných prvkov budúcich euromincí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</w:tr>
    </w:tbl>
    <w:p>
      <w:pPr>
        <w:tabs>
          <w:tab w:val="left" w:pos="3720"/>
        </w:tabs>
        <w:spacing w:before="360" w:after="0" w:line="240" w:lineRule="auto"/>
        <w:ind w:right="-850"/>
        <w:rPr>
          <w:rFonts w:ascii="Times New Roman" w:hAnsi="Times New Roman" w:cs="Times New Roman"/>
          <w:noProof/>
          <w:sz w:val="24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3869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20"/>
          <w:szCs w:val="20"/>
        </w:rPr>
        <w:t>Neskrátené názvy organizátorov sa nachádzajú v zozname</w:t>
      </w:r>
      <w:r>
        <w:rPr>
          <w:rFonts w:ascii="Times New Roman" w:hAnsi="Times New Roman"/>
          <w:bCs/>
          <w:sz w:val="20"/>
          <w:szCs w:val="20"/>
        </w:rPr>
        <w:t xml:space="preserve"> príslušných vnútroštátnych orgánov, na ktoré sa odkazuje v článku 2 písm. b) nariadenia Rady (ES) č. 1338/2001,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Ú. v. EÚ C 264, 12.8.2015, s. 2 – 29.</w:t>
      </w:r>
      <w:r>
        <w:rPr>
          <w:rFonts w:ascii="Times New Roman" w:hAnsi="Times New Roman"/>
          <w:iCs/>
          <w:sz w:val="16"/>
          <w:szCs w:val="16"/>
        </w:rPr>
        <w:t xml:space="preserve"> </w:t>
      </w:r>
    </w:p>
  </w:footnote>
  <w:footnote w:id="2">
    <w:p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 xml:space="preserve">Celková suma viazaných finančných prostriedkov zahŕňa opatrenie: Seminár v roku 2018 „Ako podávať žiadosť o účasť na programe Pericles 2020“ a „prvé zasadnutie Platformy 1210“.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Default"/>
    </w:pPr>
    <w:r>
      <w:tab/>
    </w:r>
  </w:p>
  <w:p>
    <w:pPr>
      <w:pStyle w:val="Header"/>
      <w:rPr>
        <w:szCs w:val="24"/>
      </w:rPr>
    </w:pPr>
    <w:r>
      <w:t xml:space="preserve"> 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EA2B3291-86CF-4E79-83D9-879DA4622267"/>
    <w:docVar w:name="LW_COVERPAGE_TYPE" w:val="1"/>
    <w:docVar w:name="LW_CROSSREFERENCE" w:val="&lt;UNUSED&gt;"/>
    <w:docVar w:name="LW_DocType" w:val="NORMAL"/>
    <w:docVar w:name="LW_EMISSION" w:val="2. 7. 2019"/>
    <w:docVar w:name="LW_EMISSION_ISODATE" w:val="2019-07-02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o vykonávaní a výsledkoch programu Pericles 2020 na ochranu eura proti fal\u353?ovaniu v roku 2018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SPRÁVE KOMISIE EURÓPSKEMU PARLAMENTU A RADE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F283-9FA1-4DE5-8C7F-53DDFA2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417</Words>
  <Characters>2549</Characters>
  <Application>Microsoft Office Word</Application>
  <DocSecurity>0</DocSecurity>
  <Lines>141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BOREEL Daniel (ECFIN)</dc:creator>
  <cp:lastModifiedBy>WES PDFC Administrator</cp:lastModifiedBy>
  <cp:revision>11</cp:revision>
  <cp:lastPrinted>2016-04-07T07:48:00Z</cp:lastPrinted>
  <dcterms:created xsi:type="dcterms:W3CDTF">2019-06-18T08:13:00Z</dcterms:created>
  <dcterms:modified xsi:type="dcterms:W3CDTF">2019-06-25T10:55:00Z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