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2175564-692F-483D-A527-E58C07F0E934" style="width:450.4pt;height:320.65pt">
            <v:imagedata r:id="rId9" o:title=""/>
          </v:shape>
        </w:pict>
      </w:r>
    </w:p>
    <w:bookmarkEnd w:id="0"/>
    <w:p>
      <w:pPr>
        <w:pStyle w:val="Pagedecouverture"/>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rPr>
          <w:rFonts w:ascii="Times New Roman" w:hAnsi="Times New Roman" w:cs="Times New Roman"/>
          <w:b/>
          <w:noProof/>
          <w:sz w:val="24"/>
        </w:rPr>
      </w:pPr>
      <w:bookmarkStart w:id="1" w:name="_GoBack"/>
      <w:bookmarkEnd w:id="1"/>
      <w:r>
        <w:rPr>
          <w:rFonts w:ascii="Times New Roman" w:hAnsi="Times New Roman"/>
          <w:b/>
          <w:noProof/>
          <w:sz w:val="24"/>
        </w:rPr>
        <w:lastRenderedPageBreak/>
        <w:t>APPORT FRA KOMMISSIONEN TIL EUROPA-PARLAMENTET OG RÅDET</w:t>
      </w:r>
    </w:p>
    <w:p>
      <w:pPr>
        <w:spacing w:before="360" w:after="360" w:line="240" w:lineRule="auto"/>
        <w:jc w:val="center"/>
        <w:rPr>
          <w:rFonts w:ascii="Times New Roman" w:hAnsi="Times New Roman" w:cs="Times New Roman"/>
          <w:b/>
          <w:noProof/>
          <w:sz w:val="24"/>
          <w:szCs w:val="24"/>
        </w:rPr>
      </w:pPr>
      <w:r>
        <w:rPr>
          <w:rFonts w:ascii="Times New Roman" w:hAnsi="Times New Roman"/>
          <w:b/>
          <w:noProof/>
          <w:sz w:val="24"/>
        </w:rPr>
        <w:t>om udøvelsen af de beføjelser til at vedtage delegerede retsakter, der er tillagt Kommissionen i henhold til Rådets forordning (EF) nr. 577/98 om gennemførelse af en stikprøveundersøgelse vedrørende arbejdsstyrken i Fællesskabet</w:t>
      </w:r>
    </w:p>
    <w:p>
      <w:pPr>
        <w:pStyle w:val="ListParagraph"/>
        <w:numPr>
          <w:ilvl w:val="0"/>
          <w:numId w:val="15"/>
        </w:numPr>
        <w:spacing w:before="360" w:after="360" w:line="240" w:lineRule="auto"/>
        <w:jc w:val="both"/>
        <w:rPr>
          <w:rFonts w:ascii="Times New Roman" w:hAnsi="Times New Roman" w:cs="Times New Roman"/>
          <w:b/>
          <w:noProof/>
          <w:sz w:val="24"/>
          <w:szCs w:val="24"/>
        </w:rPr>
      </w:pPr>
      <w:r>
        <w:rPr>
          <w:rFonts w:ascii="Times New Roman" w:hAnsi="Times New Roman"/>
          <w:b/>
          <w:smallCaps/>
          <w:noProof/>
          <w:sz w:val="24"/>
        </w:rPr>
        <w:t>Baggrund</w:t>
      </w:r>
    </w:p>
    <w:p>
      <w:pPr>
        <w:spacing w:after="0" w:line="240" w:lineRule="auto"/>
        <w:jc w:val="both"/>
        <w:rPr>
          <w:rFonts w:ascii="Times New Roman" w:hAnsi="Times New Roman" w:cs="Times New Roman"/>
          <w:noProof/>
          <w:sz w:val="24"/>
          <w:szCs w:val="24"/>
        </w:rPr>
      </w:pPr>
      <w:r>
        <w:rPr>
          <w:rFonts w:ascii="Times New Roman" w:hAnsi="Times New Roman"/>
          <w:noProof/>
          <w:sz w:val="24"/>
        </w:rPr>
        <w:t>Rådets forordning (EF) nr. 577/98 om gennemførelse af en stikprøveundersøgelse vedrørende arbejdsstyrken i Fællesskabet</w:t>
      </w:r>
      <w:r>
        <w:rPr>
          <w:rStyle w:val="FootnoteReference"/>
          <w:rFonts w:ascii="Times New Roman" w:hAnsi="Times New Roman"/>
          <w:noProof/>
          <w:sz w:val="24"/>
        </w:rPr>
        <w:footnoteReference w:id="1"/>
      </w:r>
      <w:r>
        <w:rPr>
          <w:rFonts w:ascii="Times New Roman" w:hAnsi="Times New Roman"/>
          <w:noProof/>
          <w:sz w:val="24"/>
        </w:rPr>
        <w:t xml:space="preserve"> blev ændret ved Europa-Parlamentets og Rådets forordning (EU) nr. 545/2014 af 15. maj 2014</w:t>
      </w:r>
      <w:r>
        <w:rPr>
          <w:rStyle w:val="FootnoteReference"/>
          <w:rFonts w:ascii="Times New Roman" w:hAnsi="Times New Roman"/>
          <w:noProof/>
          <w:sz w:val="24"/>
        </w:rPr>
        <w:footnoteReference w:id="2"/>
      </w:r>
      <w:r>
        <w:rPr>
          <w:rFonts w:ascii="Times New Roman" w:hAnsi="Times New Roman"/>
          <w:noProof/>
          <w:sz w:val="24"/>
        </w:rPr>
        <w:t xml:space="preserve"> for at afspejle den sondring mellem delegerede retsakter og gennemførelsesretsakter, der er indført ved Lissabontraktaten, ligesom der ved samme forordning blev indført en bestemmelse om finansiering af ad hoc-moduler.</w:t>
      </w:r>
    </w:p>
    <w:p>
      <w:pPr>
        <w:spacing w:after="0" w:line="240" w:lineRule="auto"/>
        <w:jc w:val="both"/>
        <w:rPr>
          <w:rFonts w:ascii="Times New Roman" w:hAnsi="Times New Roman" w:cs="Times New Roman"/>
          <w:noProof/>
          <w:sz w:val="24"/>
          <w:szCs w:val="24"/>
        </w:rPr>
      </w:pPr>
    </w:p>
    <w:p>
      <w:pPr>
        <w:pStyle w:val="NormalWeb"/>
        <w:spacing w:before="0" w:beforeAutospacing="0" w:after="0" w:afterAutospacing="0"/>
        <w:jc w:val="both"/>
        <w:rPr>
          <w:noProof/>
        </w:rPr>
      </w:pPr>
      <w:r>
        <w:rPr>
          <w:noProof/>
        </w:rPr>
        <w:t>Ved artikel 4, stk. 2, og artikel 7a i Rådets forordning (EF) nr. 577/98, som ændret, tillægges Kommissionen beføjelse til at vedtage delegerede retsakter i overensstemmelse med artikel 7c:</w:t>
      </w:r>
    </w:p>
    <w:p>
      <w:pPr>
        <w:pStyle w:val="NormalWeb"/>
        <w:spacing w:before="0" w:beforeAutospacing="0" w:after="0" w:afterAutospacing="0"/>
        <w:jc w:val="both"/>
        <w:rPr>
          <w:noProof/>
        </w:rPr>
      </w:pPr>
    </w:p>
    <w:p>
      <w:pPr>
        <w:pStyle w:val="ListParagraph"/>
        <w:numPr>
          <w:ilvl w:val="0"/>
          <w:numId w:val="5"/>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med hensyn til justering af listen over undersøgelsesvariabler, jf. listen over 14 grupper af undersøgelseskarakteristika, som den tekniske og teoretiske udvikling har nødvendiggjort: artikel 4, stk. 2</w:t>
      </w:r>
    </w:p>
    <w:p>
      <w:pPr>
        <w:pStyle w:val="ListParagraph"/>
        <w:spacing w:after="0" w:line="240" w:lineRule="auto"/>
        <w:jc w:val="both"/>
        <w:rPr>
          <w:rFonts w:ascii="Times New Roman" w:eastAsia="Times New Roman" w:hAnsi="Times New Roman" w:cs="Times New Roman"/>
          <w:noProof/>
          <w:sz w:val="24"/>
          <w:szCs w:val="24"/>
        </w:rPr>
      </w:pPr>
    </w:p>
    <w:p>
      <w:pPr>
        <w:pStyle w:val="ListParagraph"/>
        <w:numPr>
          <w:ilvl w:val="0"/>
          <w:numId w:val="5"/>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med hensyn til fastsættelse af et treårigt program med ad hoc-moduler: artikel 7a. </w:t>
      </w:r>
    </w:p>
    <w:p>
      <w:pPr>
        <w:pStyle w:val="NormalWeb"/>
        <w:spacing w:before="0" w:beforeAutospacing="0" w:after="0" w:afterAutospacing="0"/>
        <w:jc w:val="both"/>
        <w:rPr>
          <w:noProof/>
        </w:rPr>
      </w:pPr>
    </w:p>
    <w:p>
      <w:pPr>
        <w:pStyle w:val="NormalWeb"/>
        <w:spacing w:before="0" w:beforeAutospacing="0" w:after="0" w:afterAutospacing="0"/>
        <w:jc w:val="both"/>
        <w:rPr>
          <w:noProof/>
        </w:rPr>
      </w:pPr>
    </w:p>
    <w:p>
      <w:pPr>
        <w:pStyle w:val="ListParagraph"/>
        <w:numPr>
          <w:ilvl w:val="0"/>
          <w:numId w:val="15"/>
        </w:numPr>
        <w:jc w:val="both"/>
        <w:rPr>
          <w:rFonts w:ascii="Times New Roman Bold" w:hAnsi="Times New Roman Bold" w:cs="Times New Roman"/>
          <w:b/>
          <w:smallCaps/>
          <w:noProof/>
          <w:sz w:val="24"/>
          <w:szCs w:val="24"/>
        </w:rPr>
      </w:pPr>
      <w:r>
        <w:rPr>
          <w:rFonts w:ascii="Times New Roman Bold" w:hAnsi="Times New Roman Bold"/>
          <w:b/>
          <w:smallCaps/>
          <w:noProof/>
          <w:sz w:val="24"/>
        </w:rPr>
        <w:t xml:space="preserve">Retsgrundlag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henhold til artikel 7c i forordning (EF) nr. 577/98 gælder beføjelsen til at vedtage delegerede retsakter i en periode på fem år fra den 18. juni 2014. Beføjelsen forlænges stiltiende i perioder på fem år, medmindre Europa-Parlamentet eller Rådet modsætter sig en sådan forlængelse senest tre måneder inden udløbet af hver periode.</w:t>
      </w:r>
    </w:p>
    <w:p>
      <w:pPr>
        <w:spacing w:after="0" w:line="240" w:lineRule="auto"/>
        <w:jc w:val="both"/>
        <w:rPr>
          <w:rFonts w:ascii="Times New Roman" w:hAnsi="Times New Roman" w:cs="Times New Roman"/>
          <w:noProof/>
          <w:sz w:val="24"/>
        </w:rPr>
      </w:pPr>
    </w:p>
    <w:p>
      <w:pPr>
        <w:spacing w:after="0" w:line="240" w:lineRule="auto"/>
        <w:jc w:val="both"/>
        <w:rPr>
          <w:rFonts w:ascii="Times New Roman" w:hAnsi="Times New Roman" w:cs="Times New Roman"/>
          <w:noProof/>
          <w:sz w:val="24"/>
        </w:rPr>
      </w:pPr>
      <w:r>
        <w:rPr>
          <w:rFonts w:ascii="Times New Roman" w:hAnsi="Times New Roman"/>
          <w:noProof/>
          <w:sz w:val="24"/>
        </w:rPr>
        <w:t>Kommissionen er forpligtet til at udarbejde en rapport vedrørende delegationen af beføjelser senest ni måneder inden udløbet af femårsperioden.</w:t>
      </w:r>
    </w:p>
    <w:p>
      <w:pPr>
        <w:spacing w:after="0" w:line="240" w:lineRule="auto"/>
        <w:jc w:val="both"/>
        <w:rPr>
          <w:rFonts w:ascii="Times New Roman" w:hAnsi="Times New Roman" w:cs="Times New Roman"/>
          <w:noProof/>
          <w:sz w:val="24"/>
        </w:rPr>
      </w:pPr>
    </w:p>
    <w:p>
      <w:pPr>
        <w:spacing w:after="0" w:line="240" w:lineRule="auto"/>
        <w:jc w:val="both"/>
        <w:rPr>
          <w:rFonts w:ascii="Times New Roman" w:hAnsi="Times New Roman" w:cs="Times New Roman"/>
          <w:noProof/>
          <w:sz w:val="24"/>
        </w:rPr>
      </w:pPr>
      <w:r>
        <w:rPr>
          <w:rFonts w:ascii="Times New Roman" w:hAnsi="Times New Roman"/>
          <w:noProof/>
          <w:sz w:val="24"/>
        </w:rPr>
        <w:t>Nærværende rapport opfylder dette krav.</w:t>
      </w:r>
    </w:p>
    <w:p>
      <w:pPr>
        <w:pStyle w:val="ListParagraph"/>
        <w:keepNext/>
        <w:numPr>
          <w:ilvl w:val="0"/>
          <w:numId w:val="15"/>
        </w:numPr>
        <w:shd w:val="clear" w:color="auto" w:fill="FFFFFF"/>
        <w:spacing w:before="360" w:after="120" w:line="240" w:lineRule="auto"/>
        <w:jc w:val="both"/>
        <w:outlineLvl w:val="0"/>
        <w:rPr>
          <w:rFonts w:ascii="Times New Roman" w:eastAsia="Times New Roman" w:hAnsi="Times New Roman" w:cs="Times New Roman"/>
          <w:b/>
          <w:bCs/>
          <w:smallCaps/>
          <w:noProof/>
          <w:sz w:val="24"/>
          <w:szCs w:val="28"/>
        </w:rPr>
      </w:pPr>
      <w:r>
        <w:rPr>
          <w:rFonts w:ascii="Times New Roman" w:hAnsi="Times New Roman"/>
          <w:b/>
          <w:smallCaps/>
          <w:noProof/>
          <w:sz w:val="24"/>
        </w:rPr>
        <w:lastRenderedPageBreak/>
        <w:t>Kommissionens udøvelse af delegerede beføjelser i henhold til forordning (EF) nr. 577/98</w:t>
      </w:r>
    </w:p>
    <w:p>
      <w:pPr>
        <w:keepNext/>
        <w:shd w:val="clear" w:color="auto" w:fill="FFFFFF"/>
        <w:spacing w:before="360" w:after="120" w:line="240" w:lineRule="auto"/>
        <w:jc w:val="both"/>
        <w:outlineLvl w:val="0"/>
        <w:rPr>
          <w:rFonts w:ascii="Times New Roman" w:hAnsi="Times New Roman" w:cs="Times New Roman"/>
          <w:noProof/>
          <w:sz w:val="24"/>
          <w:szCs w:val="24"/>
        </w:rPr>
      </w:pPr>
      <w:r>
        <w:rPr>
          <w:rFonts w:ascii="Times New Roman" w:hAnsi="Times New Roman"/>
          <w:noProof/>
          <w:sz w:val="24"/>
        </w:rPr>
        <w:t>Kommissionen har vedtaget følgende to delegerede retsakter: Kommissionens delegerede forordning (EU) nr. 1397/2014</w:t>
      </w:r>
      <w:r>
        <w:rPr>
          <w:rStyle w:val="FootnoteReference"/>
          <w:rFonts w:ascii="Times New Roman" w:hAnsi="Times New Roman"/>
          <w:noProof/>
          <w:sz w:val="24"/>
        </w:rPr>
        <w:footnoteReference w:id="3"/>
      </w:r>
      <w:r>
        <w:rPr>
          <w:rFonts w:ascii="Times New Roman" w:hAnsi="Times New Roman"/>
          <w:noProof/>
          <w:sz w:val="24"/>
        </w:rPr>
        <w:t xml:space="preserve"> og Kommissionens delegerede forordning (EU) 2016/1851</w:t>
      </w:r>
      <w:r>
        <w:rPr>
          <w:rStyle w:val="FootnoteReference"/>
          <w:rFonts w:ascii="Times New Roman" w:hAnsi="Times New Roman"/>
          <w:noProof/>
          <w:sz w:val="24"/>
        </w:rPr>
        <w:footnoteReference w:id="4"/>
      </w:r>
      <w:r>
        <w:rPr>
          <w:rFonts w:ascii="Times New Roman" w:hAnsi="Times New Roman"/>
          <w:noProof/>
          <w:sz w:val="24"/>
        </w:rPr>
        <w:t>.</w:t>
      </w:r>
    </w:p>
    <w:p>
      <w:pPr>
        <w:pStyle w:val="ListParagraph"/>
        <w:keepNext/>
        <w:numPr>
          <w:ilvl w:val="0"/>
          <w:numId w:val="14"/>
        </w:numPr>
        <w:shd w:val="clear" w:color="auto" w:fill="FFFFFF"/>
        <w:spacing w:before="360" w:after="120" w:line="240" w:lineRule="auto"/>
        <w:jc w:val="both"/>
        <w:outlineLvl w:val="0"/>
        <w:rPr>
          <w:rFonts w:ascii="Times New Roman" w:hAnsi="Times New Roman" w:cs="Times New Roman"/>
          <w:b/>
          <w:smallCaps/>
          <w:noProof/>
          <w:sz w:val="24"/>
          <w:szCs w:val="24"/>
        </w:rPr>
      </w:pPr>
      <w:r>
        <w:rPr>
          <w:rFonts w:ascii="Times New Roman" w:hAnsi="Times New Roman"/>
          <w:b/>
          <w:smallCaps/>
          <w:noProof/>
          <w:sz w:val="24"/>
        </w:rPr>
        <w:t>Kommissionens delegerede forordning (EU) nr. 1397/2014</w:t>
      </w:r>
    </w:p>
    <w:p>
      <w:pPr>
        <w:spacing w:after="0" w:line="240" w:lineRule="auto"/>
        <w:jc w:val="both"/>
        <w:rPr>
          <w:rFonts w:ascii="Times New Roman" w:hAnsi="Times New Roman" w:cs="Times New Roman"/>
          <w:bCs/>
          <w:iCs/>
          <w:noProof/>
          <w:color w:val="000000"/>
          <w:sz w:val="24"/>
          <w:szCs w:val="24"/>
        </w:rPr>
      </w:pPr>
      <w:r>
        <w:rPr>
          <w:rFonts w:ascii="Times New Roman" w:hAnsi="Times New Roman"/>
          <w:noProof/>
          <w:sz w:val="24"/>
        </w:rPr>
        <w:t>Ved artikel 7a, stk. 4, i forordning (EF) nr. 577/98, som ændret ved forordning (EU) nr. 545/2014, tillægges Kommissionen beføjelse til at vedtage et treårigt program med ad hoc-moduler.</w:t>
      </w:r>
      <w:r>
        <w:rPr>
          <w:rFonts w:ascii="Times New Roman" w:hAnsi="Times New Roman"/>
          <w:noProof/>
          <w:color w:val="000000"/>
          <w:sz w:val="24"/>
        </w:rPr>
        <w:t xml:space="preserve"> For hvert ad hoc-modul skal der i programmet være angivet emne og referenceperiode samt delmoduler med en beskrivelse af, hvilket område hvert delmodul dækker.</w:t>
      </w:r>
    </w:p>
    <w:p>
      <w:pPr>
        <w:spacing w:after="0" w:line="240" w:lineRule="auto"/>
        <w:jc w:val="both"/>
        <w:rPr>
          <w:rFonts w:ascii="Times New Roman" w:hAnsi="Times New Roman" w:cs="Times New Roman"/>
          <w:bCs/>
          <w:iCs/>
          <w:noProof/>
          <w:color w:val="000000"/>
          <w:sz w:val="24"/>
          <w:szCs w:val="24"/>
        </w:rPr>
      </w:pPr>
    </w:p>
    <w:p>
      <w:pPr>
        <w:spacing w:after="0" w:line="240" w:lineRule="auto"/>
        <w:jc w:val="both"/>
        <w:rPr>
          <w:rFonts w:ascii="Times New Roman" w:hAnsi="Times New Roman" w:cs="Times New Roman"/>
          <w:bCs/>
          <w:iCs/>
          <w:noProof/>
          <w:color w:val="000000"/>
          <w:sz w:val="24"/>
          <w:szCs w:val="24"/>
        </w:rPr>
      </w:pPr>
      <w:r>
        <w:rPr>
          <w:rFonts w:ascii="Times New Roman" w:hAnsi="Times New Roman"/>
          <w:noProof/>
          <w:sz w:val="24"/>
        </w:rPr>
        <w:t>Programmet med ad hoc-moduler for stikprøveundersøgelsen vedrørende arbejdsstyrken for årene 2016 til 2018 blev vedtaget ved Kommissionens forordning (EU) nr. 318/2013</w:t>
      </w:r>
      <w:r>
        <w:rPr>
          <w:rStyle w:val="FootnoteReference"/>
          <w:rFonts w:ascii="Times New Roman" w:hAnsi="Times New Roman"/>
          <w:noProof/>
          <w:sz w:val="24"/>
        </w:rPr>
        <w:footnoteReference w:id="5"/>
      </w:r>
      <w:r>
        <w:rPr>
          <w:rFonts w:ascii="Times New Roman" w:hAnsi="Times New Roman"/>
          <w:noProof/>
          <w:sz w:val="24"/>
        </w:rPr>
        <w:t>. Heri er der angivet emne og referenceperiode for hvert af de tre ad hoc-moduler.</w:t>
      </w:r>
    </w:p>
    <w:p>
      <w:pPr>
        <w:spacing w:after="0" w:line="240" w:lineRule="auto"/>
        <w:jc w:val="both"/>
        <w:rPr>
          <w:rFonts w:ascii="Times New Roman" w:hAnsi="Times New Roman" w:cs="Times New Roman"/>
          <w:bCs/>
          <w:iCs/>
          <w:noProof/>
          <w:color w:val="000000"/>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 forbindelse med at de beføjelser, der er tillagt Kommissionen ved forordning (EF) nr. 577/98, blev bragt i overensstemmelse med de nye institutionelle rammer, fastslog lovgiveren bl.a., at der burde indgå yderligere oplysninger i programmet med ad hoc-moduler. Kommissionen blev således pålagt at medtage yderligere oplysninger i sit program med ad hoc-moduler. Programmet med ad hoc-moduler for årene 2016 til 2018 blev derfor ændret.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bCs/>
          <w:iCs/>
          <w:noProof/>
          <w:color w:val="000000"/>
          <w:sz w:val="24"/>
          <w:szCs w:val="24"/>
        </w:rPr>
      </w:pPr>
      <w:r>
        <w:rPr>
          <w:rFonts w:ascii="Times New Roman" w:hAnsi="Times New Roman"/>
          <w:noProof/>
          <w:sz w:val="24"/>
        </w:rPr>
        <w:t>Ved Kommissionens delegerede forordning (EU) nr. 1397/2014 ændredes forordning (EU) nr. 318/2013, idet det blev fastsat, hvilke yderligere oplysninger der nu skal indgå i programmet med ad hoc-moduler, nærmere bestemt listen over delmoduler og en beskrivelse af hvert af disse.</w:t>
      </w:r>
    </w:p>
    <w:p>
      <w:pPr>
        <w:pStyle w:val="ti-grseq-1"/>
        <w:jc w:val="both"/>
        <w:rPr>
          <w:rStyle w:val="bold"/>
          <w:noProof/>
        </w:rPr>
      </w:pPr>
      <w:r>
        <w:rPr>
          <w:rStyle w:val="bold"/>
          <w:noProof/>
        </w:rPr>
        <w:t>De tre ad hoc-moduler er følgende:</w:t>
      </w:r>
    </w:p>
    <w:p>
      <w:pPr>
        <w:pStyle w:val="ListParagraph"/>
        <w:numPr>
          <w:ilvl w:val="0"/>
          <w:numId w:val="11"/>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unge på arbejdsmarkedet (referenceperiode: 2016)</w:t>
      </w:r>
    </w:p>
    <w:p>
      <w:pPr>
        <w:pStyle w:val="ListParagraph"/>
        <w:numPr>
          <w:ilvl w:val="0"/>
          <w:numId w:val="11"/>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selvstændig erhvervsvirksomhed (referenceperiode: 2017)</w:t>
      </w:r>
    </w:p>
    <w:p>
      <w:pPr>
        <w:pStyle w:val="ListParagraph"/>
        <w:numPr>
          <w:ilvl w:val="0"/>
          <w:numId w:val="11"/>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forening af arbejdsliv og familieliv (referenceperiode: 2018).</w:t>
      </w:r>
    </w:p>
    <w:p>
      <w:pPr>
        <w:spacing w:after="0" w:line="240" w:lineRule="auto"/>
        <w:jc w:val="both"/>
        <w:rPr>
          <w:rFonts w:ascii="Times New Roman" w:hAnsi="Times New Roman" w:cs="Times New Roman"/>
          <w:noProof/>
          <w:sz w:val="24"/>
        </w:rPr>
      </w:pPr>
      <w:r>
        <w:rPr>
          <w:rFonts w:ascii="Times New Roman" w:hAnsi="Times New Roman"/>
          <w:noProof/>
          <w:sz w:val="24"/>
        </w:rPr>
        <w:t>Kommissionen har afholdt relevante høringer under det forberedende arbejde til denne delegerede forordning. Der var indbudt nationale eksperter til mødet i juni 2014 i arbejdsgruppen for arbejdsmarkedsstatistikker. Konklusionerne af mødet blev efterfølgende rundsendt til mødedeltagerne.</w:t>
      </w:r>
    </w:p>
    <w:p>
      <w:pPr>
        <w:spacing w:after="0" w:line="240" w:lineRule="auto"/>
        <w:jc w:val="both"/>
        <w:rPr>
          <w:rFonts w:ascii="Times New Roman" w:hAnsi="Times New Roman" w:cs="Times New Roman"/>
          <w:noProof/>
          <w:sz w:val="24"/>
        </w:rPr>
      </w:pPr>
    </w:p>
    <w:p>
      <w:pPr>
        <w:spacing w:after="0" w:line="240" w:lineRule="auto"/>
        <w:jc w:val="both"/>
        <w:rPr>
          <w:rFonts w:ascii="Times New Roman" w:hAnsi="Times New Roman"/>
          <w:noProof/>
          <w:sz w:val="24"/>
        </w:rPr>
      </w:pPr>
      <w:r>
        <w:rPr>
          <w:rFonts w:ascii="Times New Roman" w:hAnsi="Times New Roman"/>
          <w:noProof/>
          <w:sz w:val="24"/>
        </w:rPr>
        <w:t>Kommissionen har underrettet både Europa-Parlamentet og Rådet om resultaterne af høringen.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Kommissionen vedtog den delegerede forordning den 22. oktober 2014 og underrettede Europa-Parlamentet og Rådet. Hverken Europa-Parlamentet eller Rådet gjorde indsigelse mod den delegerede forordning inden for den almindelige frist på to måneder. Efter udløbet af fristen på to måneder blev den delegerede forordning offentliggjort i </w:t>
      </w:r>
      <w:r>
        <w:rPr>
          <w:rFonts w:ascii="Times New Roman" w:hAnsi="Times New Roman"/>
          <w:i/>
          <w:noProof/>
          <w:sz w:val="24"/>
        </w:rPr>
        <w:t>Den Europæiske Unions Tidende</w:t>
      </w:r>
      <w:r>
        <w:rPr>
          <w:rFonts w:ascii="Times New Roman" w:hAnsi="Times New Roman"/>
          <w:noProof/>
          <w:sz w:val="24"/>
        </w:rPr>
        <w:t xml:space="preserve"> den 30. december 2014, hvorefter den trådte i kraft den 19. januar 2015.</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p>
    <w:p>
      <w:pPr>
        <w:pStyle w:val="ListParagraph"/>
        <w:numPr>
          <w:ilvl w:val="0"/>
          <w:numId w:val="8"/>
        </w:numPr>
        <w:jc w:val="both"/>
        <w:rPr>
          <w:rFonts w:ascii="Times New Roman" w:hAnsi="Times New Roman" w:cs="Times New Roman"/>
          <w:b/>
          <w:smallCaps/>
          <w:noProof/>
          <w:szCs w:val="24"/>
        </w:rPr>
      </w:pPr>
      <w:r>
        <w:rPr>
          <w:rFonts w:ascii="Times New Roman" w:hAnsi="Times New Roman"/>
          <w:b/>
          <w:smallCaps/>
          <w:noProof/>
          <w:sz w:val="24"/>
        </w:rPr>
        <w:t>Kommissionens delegerede forordning (EU) 2016/1851</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Den anden af Kommissionens delegerede forordninger blev vedtaget for at præcisere elementerne i det nye program med ad hoc-moduler for årene 2019, 2020 og 2021.</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Herved dækkes behovet for omfattende og sammenlignelige data om arbejdstilrettelæggelse og arbejdstidsordninger og for mere detaljerede data om deltagelse på arbejdsmarkedet for at kunne overvåge opfyldelsen af de fælles målsætninger i Europa 2020-strategien. </w:t>
      </w:r>
      <w:r>
        <w:rPr>
          <w:rFonts w:ascii="Times New Roman" w:hAnsi="Times New Roman"/>
          <w:noProof/>
          <w:color w:val="000000"/>
          <w:sz w:val="24"/>
        </w:rPr>
        <w:t>For hvert ad hoc-modul var der i programmet angivet emne og referenceperiode samt delmoduler med en beskrivelse af, hvilket område hvert delmodul dækker.</w:t>
      </w:r>
    </w:p>
    <w:p>
      <w:pPr>
        <w:pStyle w:val="ti-grseq-1"/>
        <w:jc w:val="both"/>
        <w:rPr>
          <w:rStyle w:val="bold"/>
          <w:noProof/>
        </w:rPr>
      </w:pPr>
      <w:r>
        <w:rPr>
          <w:rStyle w:val="bold"/>
          <w:noProof/>
        </w:rPr>
        <w:t>De tre ad hoc-moduler er følgende:</w:t>
      </w:r>
    </w:p>
    <w:p>
      <w:pPr>
        <w:pStyle w:val="ti-grseq-1"/>
        <w:numPr>
          <w:ilvl w:val="0"/>
          <w:numId w:val="10"/>
        </w:numPr>
        <w:jc w:val="both"/>
        <w:rPr>
          <w:noProof/>
        </w:rPr>
      </w:pPr>
      <w:r>
        <w:rPr>
          <w:rStyle w:val="bold"/>
          <w:noProof/>
        </w:rPr>
        <w:t>arbejdstilrettelæggelse og arbejdstidsordninger (referenceperiode:</w:t>
      </w:r>
      <w:r>
        <w:rPr>
          <w:noProof/>
        </w:rPr>
        <w:t xml:space="preserve"> 2019)</w:t>
      </w:r>
    </w:p>
    <w:p>
      <w:pPr>
        <w:pStyle w:val="ti-grseq-1"/>
        <w:numPr>
          <w:ilvl w:val="0"/>
          <w:numId w:val="10"/>
        </w:numPr>
        <w:jc w:val="both"/>
        <w:rPr>
          <w:noProof/>
        </w:rPr>
      </w:pPr>
      <w:r>
        <w:rPr>
          <w:rStyle w:val="bold"/>
          <w:noProof/>
        </w:rPr>
        <w:t>arbejdsulykker og andre erhvervsrelaterede sundhedsproblemer (referenceperiode:</w:t>
      </w:r>
      <w:r>
        <w:rPr>
          <w:noProof/>
        </w:rPr>
        <w:t xml:space="preserve"> 2020)</w:t>
      </w:r>
    </w:p>
    <w:p>
      <w:pPr>
        <w:pStyle w:val="ti-grseq-1"/>
        <w:numPr>
          <w:ilvl w:val="0"/>
          <w:numId w:val="10"/>
        </w:numPr>
        <w:jc w:val="both"/>
        <w:rPr>
          <w:noProof/>
        </w:rPr>
      </w:pPr>
      <w:r>
        <w:rPr>
          <w:rStyle w:val="bold"/>
          <w:noProof/>
        </w:rPr>
        <w:t>arbejdsmarkedssituationen for migranter og deres nærmeste efterkommere (referenceperiode:</w:t>
      </w:r>
      <w:r>
        <w:rPr>
          <w:rStyle w:val="italic"/>
          <w:noProof/>
        </w:rPr>
        <w:t xml:space="preserve"> </w:t>
      </w:r>
      <w:r>
        <w:rPr>
          <w:noProof/>
        </w:rPr>
        <w:t>2021).</w:t>
      </w:r>
    </w:p>
    <w:p>
      <w:pPr>
        <w:spacing w:after="0" w:line="240" w:lineRule="auto"/>
        <w:jc w:val="both"/>
        <w:rPr>
          <w:rFonts w:ascii="Times New Roman" w:hAnsi="Times New Roman" w:cs="Times New Roman"/>
          <w:noProof/>
          <w:sz w:val="24"/>
          <w:szCs w:val="24"/>
        </w:rPr>
      </w:pPr>
      <w:r>
        <w:rPr>
          <w:rFonts w:ascii="Times New Roman" w:hAnsi="Times New Roman"/>
          <w:noProof/>
          <w:sz w:val="24"/>
        </w:rPr>
        <w:t>Kommissionen har afholdt relevante høringer under det forberedende arbejde til denne delegerede forordning. Den hørte nationale eksperter, som var indbudt til ekspertmøder, for at drøfte udkastet til den delegerede retsakt. Høringen fandt sted på møderne i arbejdsgruppen for arbejdsmarkedsstatistikker den 24.-25. juni 2014, den 10.-11. december 2014 og den 7.-8. december 2015.</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europæiske socialstatistikchefer blev også hørt på deres møde den 23.-24. februar 2016.</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Endelig blev generaldirektørerne for medlemsstaternes nationale statistiske kontorer også hørt på et møde, der blev afholdt for at drøfte dette spørgsmål den 18. maj 2016.</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Kommissionen har underrettet både Europa-Parlamentet og Rådet om resultaterne af høringen.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Kommissionen vedtog den delegerede forordning den 14. juni 2016 og underrettede Europa-Parlamentet og Rådet. Hverken Europa-Parlamentet eller Rådet gjorde indsigelse mod den delegerede forordning inden for den almindelige frist på to måneder. Efter udløbet af fristen på to måneder blev den delegerede forordning offentliggjort i </w:t>
      </w:r>
      <w:r>
        <w:rPr>
          <w:rFonts w:ascii="Times New Roman" w:hAnsi="Times New Roman"/>
          <w:i/>
          <w:noProof/>
          <w:sz w:val="24"/>
        </w:rPr>
        <w:t>Den Europæiske Unions Tidende</w:t>
      </w:r>
      <w:r>
        <w:rPr>
          <w:rFonts w:ascii="Times New Roman" w:hAnsi="Times New Roman"/>
          <w:noProof/>
          <w:sz w:val="24"/>
        </w:rPr>
        <w:t xml:space="preserve"> den 20. oktober 2016, og den trådte i kraft den 9. november 2016.</w:t>
      </w:r>
    </w:p>
    <w:p>
      <w:pPr>
        <w:rPr>
          <w:rFonts w:ascii="Times New Roman" w:eastAsia="Times New Roman" w:hAnsi="Times New Roman" w:cs="Times New Roman"/>
          <w:b/>
          <w:bCs/>
          <w:smallCaps/>
          <w:noProof/>
          <w:sz w:val="24"/>
          <w:szCs w:val="28"/>
        </w:rPr>
      </w:pPr>
      <w:r>
        <w:rPr>
          <w:noProof/>
        </w:rPr>
        <w:br w:type="page"/>
      </w:r>
    </w:p>
    <w:p>
      <w:pPr>
        <w:pStyle w:val="ti-grseq-1"/>
        <w:jc w:val="both"/>
        <w:rPr>
          <w:noProof/>
        </w:rPr>
      </w:pPr>
      <w:r>
        <w:rPr>
          <w:b/>
          <w:smallCaps/>
          <w:noProof/>
        </w:rPr>
        <w:t>Konklusion</w:t>
      </w:r>
    </w:p>
    <w:p>
      <w:pPr>
        <w:spacing w:after="0" w:line="240" w:lineRule="auto"/>
        <w:jc w:val="both"/>
        <w:rPr>
          <w:rFonts w:ascii="Times New Roman" w:hAnsi="Times New Roman" w:cs="Times New Roman"/>
          <w:noProof/>
          <w:sz w:val="24"/>
          <w:szCs w:val="24"/>
        </w:rPr>
      </w:pPr>
      <w:r>
        <w:rPr>
          <w:rFonts w:ascii="Times New Roman" w:hAnsi="Times New Roman"/>
          <w:noProof/>
          <w:sz w:val="24"/>
        </w:rPr>
        <w:t>Kommissionen har udøvet sine tillagte delegerede beføjelser korrekt og opfordrer Europa-Parlamentet og Rådet til at tage denne rapport til efterretning.</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rPr>
      </w:pPr>
      <w:r>
        <w:rPr>
          <w:rFonts w:ascii="Times New Roman" w:hAnsi="Times New Roman"/>
          <w:noProof/>
          <w:sz w:val="24"/>
        </w:rPr>
        <w:t>Kommissionen mener, at den fortsat bør have disse beføjelser, da det i fremtiden kan blive nødvendigt at vedtage delegerede retsakter for yderligere ad hoc-moduler i henhold til artikel 4, stk. 2, og artikel 7a i Rådets forordning (EF) nr. 577/98.</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8654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forordning (EF) nr. 577/98 af 9. marts 1998 om gennemførelse af en stikprøveundersøgelse vedrørende arbejdsstyrken i Fællesskabet (EFT L 77 af 14.3.1998, s. 3).</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EUT L 163 af 29.5.2014, s. 10.</w:t>
      </w:r>
    </w:p>
  </w:footnote>
  <w:footnote w:id="3">
    <w:p>
      <w:pPr>
        <w:autoSpaceDE w:val="0"/>
        <w:autoSpaceDN w:val="0"/>
        <w:adjustRightInd w:val="0"/>
        <w:spacing w:after="0" w:line="240" w:lineRule="auto"/>
        <w:jc w:val="both"/>
        <w:rPr>
          <w:rFonts w:ascii="Times New Roman" w:hAnsi="Times New Roman" w:cs="Times New Roman"/>
          <w:bCs/>
          <w:sz w:val="20"/>
          <w:szCs w:val="20"/>
        </w:rPr>
      </w:pPr>
      <w:r>
        <w:rPr>
          <w:rStyle w:val="FootnoteReference"/>
          <w:rFonts w:ascii="Times New Roman" w:hAnsi="Times New Roman"/>
        </w:rPr>
        <w:footnoteRef/>
      </w:r>
      <w:r>
        <w:t xml:space="preserve"> </w:t>
      </w:r>
      <w:r>
        <w:tab/>
      </w:r>
      <w:r>
        <w:rPr>
          <w:rFonts w:ascii="Times New Roman" w:hAnsi="Times New Roman"/>
          <w:sz w:val="20"/>
        </w:rPr>
        <w:t>Kommissionens delegerede forordning (EU) nr. 1397/2014 af 22. oktober 2014 om ændring af forordning (EU) nr. 318/2013 om vedtagelse af programmet med ad hoc-moduler for årene 2016 til 2018 til brug for den stikprøveundersøgelse vedrørende arbejdsstyrken, som er omhandlet i Rådets forordning (EF) nr. 577/98 (EUT L 370 af 30.12.2014, s. 42).</w:t>
      </w:r>
    </w:p>
  </w:footnote>
  <w:footnote w:id="4">
    <w:p>
      <w:pPr>
        <w:pStyle w:val="NormalWeb"/>
        <w:spacing w:before="0" w:beforeAutospacing="0" w:after="0" w:afterAutospacing="0"/>
        <w:jc w:val="both"/>
        <w:rPr>
          <w:bCs/>
          <w:sz w:val="20"/>
          <w:szCs w:val="20"/>
        </w:rPr>
      </w:pPr>
      <w:r>
        <w:rPr>
          <w:rStyle w:val="FootnoteReference"/>
          <w:sz w:val="20"/>
        </w:rPr>
        <w:footnoteRef/>
      </w:r>
      <w:r>
        <w:rPr>
          <w:sz w:val="20"/>
        </w:rPr>
        <w:t xml:space="preserve"> </w:t>
      </w:r>
      <w:r>
        <w:tab/>
      </w:r>
      <w:r>
        <w:rPr>
          <w:sz w:val="20"/>
        </w:rPr>
        <w:t>Kommissionens delegerede forordning (EU) 2016/1851 af 14. juni 2016 om vedtagelse af programmet med ad hoc-moduler for årene 2019, 2020 og 2021 til brug for den stikprøveundersøgelse vedrørende arbejdsstyrken, som er omhandlet i Rådets forordning (EF) nr. 577/98 (EUT L 284 af 20.10.2016, s. 1).</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Kommissionens forordning (EU) nr. 318/2013 af 8. april 2013 om vedtagelse af programmet med ad hoc-moduler for årene 2016 til 2018 til brug for den stikprøveundersøgelse vedrørende arbejdsstyrken, som er omhandlet i Rådets forordning (EF) nr. 577/98 (EUT L 99 af 9.4.2013, s.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C75"/>
    <w:multiLevelType w:val="hybridMultilevel"/>
    <w:tmpl w:val="EAF20E20"/>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DE53440"/>
    <w:multiLevelType w:val="hybridMultilevel"/>
    <w:tmpl w:val="8694805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16A15000"/>
    <w:multiLevelType w:val="hybridMultilevel"/>
    <w:tmpl w:val="6C36F12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481246A"/>
    <w:multiLevelType w:val="hybridMultilevel"/>
    <w:tmpl w:val="03A4E3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3E6314"/>
    <w:multiLevelType w:val="hybridMultilevel"/>
    <w:tmpl w:val="6EB447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AD56696"/>
    <w:multiLevelType w:val="hybridMultilevel"/>
    <w:tmpl w:val="A8043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01606F0"/>
    <w:multiLevelType w:val="hybridMultilevel"/>
    <w:tmpl w:val="998653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9D0F83"/>
    <w:multiLevelType w:val="hybridMultilevel"/>
    <w:tmpl w:val="0F80E9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7609F2"/>
    <w:multiLevelType w:val="hybridMultilevel"/>
    <w:tmpl w:val="0FFA5DC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B3A5948"/>
    <w:multiLevelType w:val="hybridMultilevel"/>
    <w:tmpl w:val="CB76FE6E"/>
    <w:lvl w:ilvl="0" w:tplc="3D30A7E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8C74AD5"/>
    <w:multiLevelType w:val="hybridMultilevel"/>
    <w:tmpl w:val="424A605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7908675B"/>
    <w:multiLevelType w:val="hybridMultilevel"/>
    <w:tmpl w:val="B844B15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6"/>
  </w:num>
  <w:num w:numId="6">
    <w:abstractNumId w:val="8"/>
    <w:lvlOverride w:ilvl="0">
      <w:startOverride w:val="1"/>
    </w:lvlOverride>
  </w:num>
  <w:num w:numId="7">
    <w:abstractNumId w:val="8"/>
  </w:num>
  <w:num w:numId="8">
    <w:abstractNumId w:val="5"/>
  </w:num>
  <w:num w:numId="9">
    <w:abstractNumId w:val="2"/>
  </w:num>
  <w:num w:numId="10">
    <w:abstractNumId w:val="10"/>
  </w:num>
  <w:num w:numId="11">
    <w:abstractNumId w:val="3"/>
  </w:num>
  <w:num w:numId="12">
    <w:abstractNumId w:val="7"/>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2175564-692F-483D-A527-E58C07F0E934"/>
    <w:docVar w:name="LW_COVERPAGE_TYPE" w:val="1"/>
    <w:docVar w:name="LW_CROSSREFERENCE" w:val="&lt;UNUSED&gt;"/>
    <w:docVar w:name="LW_DocType" w:val="NORMAL"/>
    <w:docVar w:name="LW_EMISSION" w:val="1.7.2019"/>
    <w:docVar w:name="LW_EMISSION_ISODATE" w:val="2019-07-01"/>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3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udøvelsen af de beføjelser til at vedtage delegerede retsakter, der er tillagt Kommissionen i henhold til Rådets forordning (EF) nr. 577/98 om gennemførelse af en stikprøveundersøgelse vedrørende arbejdsstyrken i Fællesskabet"/>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da-DK"/>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a-DK"/>
    </w:rPr>
  </w:style>
  <w:style w:type="character" w:styleId="FootnoteReference">
    <w:name w:val="footnote reference"/>
    <w:basedOn w:val="DefaultParagraphFont"/>
    <w:uiPriority w:val="99"/>
    <w:unhideWhenUsed/>
    <w:rPr>
      <w:vertAlign w:val="superscript"/>
    </w:rPr>
  </w:style>
  <w:style w:type="character" w:styleId="Emphasis">
    <w:name w:val="Emphasis"/>
    <w:basedOn w:val="DefaultParagraphFont"/>
    <w:uiPriority w:val="20"/>
    <w:qFormat/>
    <w:rPr>
      <w:i/>
      <w:iCs/>
      <w:vanish w:val="0"/>
      <w:webHidden w:val="0"/>
      <w:color w:val="0099CC"/>
      <w:specVanish w:val="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a-DK"/>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szCs w:val="20"/>
    </w:rPr>
  </w:style>
  <w:style w:type="paragraph" w:customStyle="1" w:styleId="CM4">
    <w:name w:val="CM4"/>
    <w:basedOn w:val="Normal"/>
    <w:next w:val="Normal"/>
    <w:uiPriority w:val="99"/>
    <w:pPr>
      <w:autoSpaceDE w:val="0"/>
      <w:autoSpaceDN w:val="0"/>
      <w:adjustRightInd w:val="0"/>
      <w:spacing w:after="0" w:line="240" w:lineRule="auto"/>
    </w:pPr>
    <w:rPr>
      <w:rFonts w:ascii="EUAlbertina" w:eastAsia="Calibri" w:hAnsi="EUAlbertina"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Calibri" w:hAnsi="Times New Roman" w:cs="Times New Roman"/>
      <w:sz w:val="24"/>
      <w:szCs w:val="20"/>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style>
  <w:style w:type="character" w:customStyle="1" w:styleId="italic">
    <w:name w:val="italic"/>
    <w:basedOn w:val="DefaultParagraphFont"/>
  </w:style>
  <w:style w:type="character" w:customStyle="1" w:styleId="super">
    <w:name w:val="super"/>
    <w:basedOn w:val="DefaultParagraphFont"/>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da-DK"/>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a-DK"/>
    </w:rPr>
  </w:style>
  <w:style w:type="character" w:styleId="FootnoteReference">
    <w:name w:val="footnote reference"/>
    <w:basedOn w:val="DefaultParagraphFont"/>
    <w:uiPriority w:val="99"/>
    <w:unhideWhenUsed/>
    <w:rPr>
      <w:vertAlign w:val="superscript"/>
    </w:rPr>
  </w:style>
  <w:style w:type="character" w:styleId="Emphasis">
    <w:name w:val="Emphasis"/>
    <w:basedOn w:val="DefaultParagraphFont"/>
    <w:uiPriority w:val="20"/>
    <w:qFormat/>
    <w:rPr>
      <w:i/>
      <w:iCs/>
      <w:vanish w:val="0"/>
      <w:webHidden w:val="0"/>
      <w:color w:val="0099CC"/>
      <w:specVanish w:val="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a-DK"/>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szCs w:val="20"/>
    </w:rPr>
  </w:style>
  <w:style w:type="paragraph" w:customStyle="1" w:styleId="CM4">
    <w:name w:val="CM4"/>
    <w:basedOn w:val="Normal"/>
    <w:next w:val="Normal"/>
    <w:uiPriority w:val="99"/>
    <w:pPr>
      <w:autoSpaceDE w:val="0"/>
      <w:autoSpaceDN w:val="0"/>
      <w:adjustRightInd w:val="0"/>
      <w:spacing w:after="0" w:line="240" w:lineRule="auto"/>
    </w:pPr>
    <w:rPr>
      <w:rFonts w:ascii="EUAlbertina" w:eastAsia="Calibri" w:hAnsi="EUAlbertina"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Calibri" w:hAnsi="Times New Roman" w:cs="Times New Roman"/>
      <w:sz w:val="24"/>
      <w:szCs w:val="20"/>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style>
  <w:style w:type="character" w:customStyle="1" w:styleId="italic">
    <w:name w:val="italic"/>
    <w:basedOn w:val="DefaultParagraphFont"/>
  </w:style>
  <w:style w:type="character" w:customStyle="1" w:styleId="super">
    <w:name w:val="super"/>
    <w:basedOn w:val="DefaultParagraphFont"/>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277">
      <w:bodyDiv w:val="1"/>
      <w:marLeft w:val="0"/>
      <w:marRight w:val="0"/>
      <w:marTop w:val="0"/>
      <w:marBottom w:val="0"/>
      <w:divBdr>
        <w:top w:val="none" w:sz="0" w:space="0" w:color="auto"/>
        <w:left w:val="none" w:sz="0" w:space="0" w:color="auto"/>
        <w:bottom w:val="none" w:sz="0" w:space="0" w:color="auto"/>
        <w:right w:val="none" w:sz="0" w:space="0" w:color="auto"/>
      </w:divBdr>
      <w:divsChild>
        <w:div w:id="689455017">
          <w:marLeft w:val="0"/>
          <w:marRight w:val="0"/>
          <w:marTop w:val="0"/>
          <w:marBottom w:val="0"/>
          <w:divBdr>
            <w:top w:val="none" w:sz="0" w:space="0" w:color="auto"/>
            <w:left w:val="none" w:sz="0" w:space="0" w:color="auto"/>
            <w:bottom w:val="none" w:sz="0" w:space="0" w:color="auto"/>
            <w:right w:val="none" w:sz="0" w:space="0" w:color="auto"/>
          </w:divBdr>
        </w:div>
        <w:div w:id="1093354736">
          <w:marLeft w:val="0"/>
          <w:marRight w:val="0"/>
          <w:marTop w:val="0"/>
          <w:marBottom w:val="0"/>
          <w:divBdr>
            <w:top w:val="none" w:sz="0" w:space="0" w:color="auto"/>
            <w:left w:val="none" w:sz="0" w:space="0" w:color="auto"/>
            <w:bottom w:val="none" w:sz="0" w:space="0" w:color="auto"/>
            <w:right w:val="none" w:sz="0" w:space="0" w:color="auto"/>
          </w:divBdr>
        </w:div>
        <w:div w:id="1248270025">
          <w:marLeft w:val="0"/>
          <w:marRight w:val="0"/>
          <w:marTop w:val="0"/>
          <w:marBottom w:val="0"/>
          <w:divBdr>
            <w:top w:val="none" w:sz="0" w:space="0" w:color="auto"/>
            <w:left w:val="none" w:sz="0" w:space="0" w:color="auto"/>
            <w:bottom w:val="none" w:sz="0" w:space="0" w:color="auto"/>
            <w:right w:val="none" w:sz="0" w:space="0" w:color="auto"/>
          </w:divBdr>
        </w:div>
        <w:div w:id="971593078">
          <w:marLeft w:val="0"/>
          <w:marRight w:val="0"/>
          <w:marTop w:val="0"/>
          <w:marBottom w:val="0"/>
          <w:divBdr>
            <w:top w:val="none" w:sz="0" w:space="0" w:color="auto"/>
            <w:left w:val="none" w:sz="0" w:space="0" w:color="auto"/>
            <w:bottom w:val="none" w:sz="0" w:space="0" w:color="auto"/>
            <w:right w:val="none" w:sz="0" w:space="0" w:color="auto"/>
          </w:divBdr>
        </w:div>
        <w:div w:id="1019160978">
          <w:marLeft w:val="0"/>
          <w:marRight w:val="0"/>
          <w:marTop w:val="0"/>
          <w:marBottom w:val="0"/>
          <w:divBdr>
            <w:top w:val="none" w:sz="0" w:space="0" w:color="auto"/>
            <w:left w:val="none" w:sz="0" w:space="0" w:color="auto"/>
            <w:bottom w:val="none" w:sz="0" w:space="0" w:color="auto"/>
            <w:right w:val="none" w:sz="0" w:space="0" w:color="auto"/>
          </w:divBdr>
        </w:div>
        <w:div w:id="1203834034">
          <w:marLeft w:val="0"/>
          <w:marRight w:val="0"/>
          <w:marTop w:val="0"/>
          <w:marBottom w:val="0"/>
          <w:divBdr>
            <w:top w:val="none" w:sz="0" w:space="0" w:color="auto"/>
            <w:left w:val="none" w:sz="0" w:space="0" w:color="auto"/>
            <w:bottom w:val="none" w:sz="0" w:space="0" w:color="auto"/>
            <w:right w:val="none" w:sz="0" w:space="0" w:color="auto"/>
          </w:divBdr>
        </w:div>
        <w:div w:id="139155847">
          <w:marLeft w:val="0"/>
          <w:marRight w:val="0"/>
          <w:marTop w:val="0"/>
          <w:marBottom w:val="0"/>
          <w:divBdr>
            <w:top w:val="none" w:sz="0" w:space="0" w:color="auto"/>
            <w:left w:val="none" w:sz="0" w:space="0" w:color="auto"/>
            <w:bottom w:val="none" w:sz="0" w:space="0" w:color="auto"/>
            <w:right w:val="none" w:sz="0" w:space="0" w:color="auto"/>
          </w:divBdr>
        </w:div>
        <w:div w:id="861209080">
          <w:marLeft w:val="0"/>
          <w:marRight w:val="0"/>
          <w:marTop w:val="0"/>
          <w:marBottom w:val="0"/>
          <w:divBdr>
            <w:top w:val="none" w:sz="0" w:space="0" w:color="auto"/>
            <w:left w:val="none" w:sz="0" w:space="0" w:color="auto"/>
            <w:bottom w:val="none" w:sz="0" w:space="0" w:color="auto"/>
            <w:right w:val="none" w:sz="0" w:space="0" w:color="auto"/>
          </w:divBdr>
        </w:div>
        <w:div w:id="516358608">
          <w:marLeft w:val="0"/>
          <w:marRight w:val="0"/>
          <w:marTop w:val="0"/>
          <w:marBottom w:val="0"/>
          <w:divBdr>
            <w:top w:val="none" w:sz="0" w:space="0" w:color="auto"/>
            <w:left w:val="none" w:sz="0" w:space="0" w:color="auto"/>
            <w:bottom w:val="none" w:sz="0" w:space="0" w:color="auto"/>
            <w:right w:val="none" w:sz="0" w:space="0" w:color="auto"/>
          </w:divBdr>
        </w:div>
      </w:divsChild>
    </w:div>
    <w:div w:id="195973144">
      <w:bodyDiv w:val="1"/>
      <w:marLeft w:val="0"/>
      <w:marRight w:val="0"/>
      <w:marTop w:val="0"/>
      <w:marBottom w:val="0"/>
      <w:divBdr>
        <w:top w:val="none" w:sz="0" w:space="0" w:color="auto"/>
        <w:left w:val="none" w:sz="0" w:space="0" w:color="auto"/>
        <w:bottom w:val="none" w:sz="0" w:space="0" w:color="auto"/>
        <w:right w:val="none" w:sz="0" w:space="0" w:color="auto"/>
      </w:divBdr>
      <w:divsChild>
        <w:div w:id="1921013290">
          <w:marLeft w:val="0"/>
          <w:marRight w:val="0"/>
          <w:marTop w:val="0"/>
          <w:marBottom w:val="0"/>
          <w:divBdr>
            <w:top w:val="none" w:sz="0" w:space="0" w:color="auto"/>
            <w:left w:val="none" w:sz="0" w:space="0" w:color="auto"/>
            <w:bottom w:val="none" w:sz="0" w:space="0" w:color="auto"/>
            <w:right w:val="none" w:sz="0" w:space="0" w:color="auto"/>
          </w:divBdr>
        </w:div>
        <w:div w:id="721178943">
          <w:marLeft w:val="0"/>
          <w:marRight w:val="0"/>
          <w:marTop w:val="0"/>
          <w:marBottom w:val="0"/>
          <w:divBdr>
            <w:top w:val="none" w:sz="0" w:space="0" w:color="auto"/>
            <w:left w:val="none" w:sz="0" w:space="0" w:color="auto"/>
            <w:bottom w:val="none" w:sz="0" w:space="0" w:color="auto"/>
            <w:right w:val="none" w:sz="0" w:space="0" w:color="auto"/>
          </w:divBdr>
        </w:div>
        <w:div w:id="899569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 w:id="688946825">
          <w:marLeft w:val="0"/>
          <w:marRight w:val="0"/>
          <w:marTop w:val="0"/>
          <w:marBottom w:val="0"/>
          <w:divBdr>
            <w:top w:val="none" w:sz="0" w:space="0" w:color="auto"/>
            <w:left w:val="none" w:sz="0" w:space="0" w:color="auto"/>
            <w:bottom w:val="none" w:sz="0" w:space="0" w:color="auto"/>
            <w:right w:val="none" w:sz="0" w:space="0" w:color="auto"/>
          </w:divBdr>
        </w:div>
      </w:divsChild>
    </w:div>
    <w:div w:id="294525683">
      <w:bodyDiv w:val="1"/>
      <w:marLeft w:val="0"/>
      <w:marRight w:val="0"/>
      <w:marTop w:val="0"/>
      <w:marBottom w:val="0"/>
      <w:divBdr>
        <w:top w:val="none" w:sz="0" w:space="0" w:color="auto"/>
        <w:left w:val="none" w:sz="0" w:space="0" w:color="auto"/>
        <w:bottom w:val="none" w:sz="0" w:space="0" w:color="auto"/>
        <w:right w:val="none" w:sz="0" w:space="0" w:color="auto"/>
      </w:divBdr>
    </w:div>
    <w:div w:id="776677408">
      <w:bodyDiv w:val="1"/>
      <w:marLeft w:val="0"/>
      <w:marRight w:val="0"/>
      <w:marTop w:val="0"/>
      <w:marBottom w:val="0"/>
      <w:divBdr>
        <w:top w:val="none" w:sz="0" w:space="0" w:color="auto"/>
        <w:left w:val="none" w:sz="0" w:space="0" w:color="auto"/>
        <w:bottom w:val="none" w:sz="0" w:space="0" w:color="auto"/>
        <w:right w:val="none" w:sz="0" w:space="0" w:color="auto"/>
      </w:divBdr>
    </w:div>
    <w:div w:id="1180923854">
      <w:bodyDiv w:val="1"/>
      <w:marLeft w:val="0"/>
      <w:marRight w:val="0"/>
      <w:marTop w:val="0"/>
      <w:marBottom w:val="0"/>
      <w:divBdr>
        <w:top w:val="none" w:sz="0" w:space="0" w:color="auto"/>
        <w:left w:val="none" w:sz="0" w:space="0" w:color="auto"/>
        <w:bottom w:val="none" w:sz="0" w:space="0" w:color="auto"/>
        <w:right w:val="none" w:sz="0" w:space="0" w:color="auto"/>
      </w:divBdr>
      <w:divsChild>
        <w:div w:id="1581717964">
          <w:marLeft w:val="0"/>
          <w:marRight w:val="0"/>
          <w:marTop w:val="0"/>
          <w:marBottom w:val="0"/>
          <w:divBdr>
            <w:top w:val="none" w:sz="0" w:space="0" w:color="auto"/>
            <w:left w:val="none" w:sz="0" w:space="0" w:color="auto"/>
            <w:bottom w:val="none" w:sz="0" w:space="0" w:color="auto"/>
            <w:right w:val="none" w:sz="0" w:space="0" w:color="auto"/>
          </w:divBdr>
        </w:div>
        <w:div w:id="920680103">
          <w:marLeft w:val="0"/>
          <w:marRight w:val="0"/>
          <w:marTop w:val="0"/>
          <w:marBottom w:val="0"/>
          <w:divBdr>
            <w:top w:val="none" w:sz="0" w:space="0" w:color="auto"/>
            <w:left w:val="none" w:sz="0" w:space="0" w:color="auto"/>
            <w:bottom w:val="none" w:sz="0" w:space="0" w:color="auto"/>
            <w:right w:val="none" w:sz="0" w:space="0" w:color="auto"/>
          </w:divBdr>
        </w:div>
        <w:div w:id="493034969">
          <w:marLeft w:val="0"/>
          <w:marRight w:val="0"/>
          <w:marTop w:val="0"/>
          <w:marBottom w:val="0"/>
          <w:divBdr>
            <w:top w:val="none" w:sz="0" w:space="0" w:color="auto"/>
            <w:left w:val="none" w:sz="0" w:space="0" w:color="auto"/>
            <w:bottom w:val="none" w:sz="0" w:space="0" w:color="auto"/>
            <w:right w:val="none" w:sz="0" w:space="0" w:color="auto"/>
          </w:divBdr>
        </w:div>
        <w:div w:id="407000560">
          <w:marLeft w:val="0"/>
          <w:marRight w:val="0"/>
          <w:marTop w:val="0"/>
          <w:marBottom w:val="0"/>
          <w:divBdr>
            <w:top w:val="none" w:sz="0" w:space="0" w:color="auto"/>
            <w:left w:val="none" w:sz="0" w:space="0" w:color="auto"/>
            <w:bottom w:val="none" w:sz="0" w:space="0" w:color="auto"/>
            <w:right w:val="none" w:sz="0" w:space="0" w:color="auto"/>
          </w:divBdr>
        </w:div>
        <w:div w:id="1729526929">
          <w:marLeft w:val="0"/>
          <w:marRight w:val="0"/>
          <w:marTop w:val="0"/>
          <w:marBottom w:val="0"/>
          <w:divBdr>
            <w:top w:val="none" w:sz="0" w:space="0" w:color="auto"/>
            <w:left w:val="none" w:sz="0" w:space="0" w:color="auto"/>
            <w:bottom w:val="none" w:sz="0" w:space="0" w:color="auto"/>
            <w:right w:val="none" w:sz="0" w:space="0" w:color="auto"/>
          </w:divBdr>
        </w:div>
        <w:div w:id="2055276406">
          <w:marLeft w:val="0"/>
          <w:marRight w:val="0"/>
          <w:marTop w:val="0"/>
          <w:marBottom w:val="0"/>
          <w:divBdr>
            <w:top w:val="none" w:sz="0" w:space="0" w:color="auto"/>
            <w:left w:val="none" w:sz="0" w:space="0" w:color="auto"/>
            <w:bottom w:val="none" w:sz="0" w:space="0" w:color="auto"/>
            <w:right w:val="none" w:sz="0" w:space="0" w:color="auto"/>
          </w:divBdr>
        </w:div>
      </w:divsChild>
    </w:div>
    <w:div w:id="1872953483">
      <w:bodyDiv w:val="1"/>
      <w:marLeft w:val="0"/>
      <w:marRight w:val="0"/>
      <w:marTop w:val="0"/>
      <w:marBottom w:val="0"/>
      <w:divBdr>
        <w:top w:val="none" w:sz="0" w:space="0" w:color="auto"/>
        <w:left w:val="none" w:sz="0" w:space="0" w:color="auto"/>
        <w:bottom w:val="none" w:sz="0" w:space="0" w:color="auto"/>
        <w:right w:val="none" w:sz="0" w:space="0" w:color="auto"/>
      </w:divBdr>
    </w:div>
    <w:div w:id="2092969198">
      <w:bodyDiv w:val="1"/>
      <w:marLeft w:val="0"/>
      <w:marRight w:val="0"/>
      <w:marTop w:val="0"/>
      <w:marBottom w:val="0"/>
      <w:divBdr>
        <w:top w:val="none" w:sz="0" w:space="0" w:color="auto"/>
        <w:left w:val="none" w:sz="0" w:space="0" w:color="auto"/>
        <w:bottom w:val="none" w:sz="0" w:space="0" w:color="auto"/>
        <w:right w:val="none" w:sz="0" w:space="0" w:color="auto"/>
      </w:divBdr>
      <w:divsChild>
        <w:div w:id="399867812">
          <w:marLeft w:val="0"/>
          <w:marRight w:val="0"/>
          <w:marTop w:val="0"/>
          <w:marBottom w:val="0"/>
          <w:divBdr>
            <w:top w:val="none" w:sz="0" w:space="0" w:color="auto"/>
            <w:left w:val="none" w:sz="0" w:space="0" w:color="auto"/>
            <w:bottom w:val="none" w:sz="0" w:space="0" w:color="auto"/>
            <w:right w:val="none" w:sz="0" w:space="0" w:color="auto"/>
          </w:divBdr>
        </w:div>
        <w:div w:id="1731805792">
          <w:marLeft w:val="0"/>
          <w:marRight w:val="0"/>
          <w:marTop w:val="0"/>
          <w:marBottom w:val="0"/>
          <w:divBdr>
            <w:top w:val="none" w:sz="0" w:space="0" w:color="auto"/>
            <w:left w:val="none" w:sz="0" w:space="0" w:color="auto"/>
            <w:bottom w:val="none" w:sz="0" w:space="0" w:color="auto"/>
            <w:right w:val="none" w:sz="0" w:space="0" w:color="auto"/>
          </w:divBdr>
        </w:div>
        <w:div w:id="2143231344">
          <w:marLeft w:val="0"/>
          <w:marRight w:val="0"/>
          <w:marTop w:val="0"/>
          <w:marBottom w:val="0"/>
          <w:divBdr>
            <w:top w:val="none" w:sz="0" w:space="0" w:color="auto"/>
            <w:left w:val="none" w:sz="0" w:space="0" w:color="auto"/>
            <w:bottom w:val="none" w:sz="0" w:space="0" w:color="auto"/>
            <w:right w:val="none" w:sz="0" w:space="0" w:color="auto"/>
          </w:divBdr>
        </w:div>
        <w:div w:id="1770084867">
          <w:marLeft w:val="0"/>
          <w:marRight w:val="0"/>
          <w:marTop w:val="0"/>
          <w:marBottom w:val="0"/>
          <w:divBdr>
            <w:top w:val="none" w:sz="0" w:space="0" w:color="auto"/>
            <w:left w:val="none" w:sz="0" w:space="0" w:color="auto"/>
            <w:bottom w:val="none" w:sz="0" w:space="0" w:color="auto"/>
            <w:right w:val="none" w:sz="0" w:space="0" w:color="auto"/>
          </w:divBdr>
        </w:div>
        <w:div w:id="997727076">
          <w:marLeft w:val="0"/>
          <w:marRight w:val="0"/>
          <w:marTop w:val="0"/>
          <w:marBottom w:val="0"/>
          <w:divBdr>
            <w:top w:val="none" w:sz="0" w:space="0" w:color="auto"/>
            <w:left w:val="none" w:sz="0" w:space="0" w:color="auto"/>
            <w:bottom w:val="none" w:sz="0" w:space="0" w:color="auto"/>
            <w:right w:val="none" w:sz="0" w:space="0" w:color="auto"/>
          </w:divBdr>
        </w:div>
        <w:div w:id="1669216005">
          <w:marLeft w:val="0"/>
          <w:marRight w:val="0"/>
          <w:marTop w:val="0"/>
          <w:marBottom w:val="0"/>
          <w:divBdr>
            <w:top w:val="none" w:sz="0" w:space="0" w:color="auto"/>
            <w:left w:val="none" w:sz="0" w:space="0" w:color="auto"/>
            <w:bottom w:val="none" w:sz="0" w:space="0" w:color="auto"/>
            <w:right w:val="none" w:sz="0" w:space="0" w:color="auto"/>
          </w:divBdr>
        </w:div>
        <w:div w:id="1344236084">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996832168">
          <w:marLeft w:val="0"/>
          <w:marRight w:val="0"/>
          <w:marTop w:val="0"/>
          <w:marBottom w:val="0"/>
          <w:divBdr>
            <w:top w:val="none" w:sz="0" w:space="0" w:color="auto"/>
            <w:left w:val="none" w:sz="0" w:space="0" w:color="auto"/>
            <w:bottom w:val="none" w:sz="0" w:space="0" w:color="auto"/>
            <w:right w:val="none" w:sz="0" w:space="0" w:color="auto"/>
          </w:divBdr>
        </w:div>
        <w:div w:id="185087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B939-672A-44BE-B063-2C1EB327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949</Words>
  <Characters>5947</Characters>
  <Application>Microsoft Office Word</Application>
  <DocSecurity>0</DocSecurity>
  <Lines>121</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2018-07-25T07:34:00Z</cp:lastPrinted>
  <dcterms:created xsi:type="dcterms:W3CDTF">2019-05-23T14:09:00Z</dcterms:created>
  <dcterms:modified xsi:type="dcterms:W3CDTF">2019-06-24T10:24:00Z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