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005EBEB-2676-4C3A-B733-8E0F64047336" style="width:450.75pt;height:422.2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color w:val="000000"/>
          <w:u w:color="000000"/>
          <w:bdr w:val="nil"/>
        </w:rPr>
        <w:t>•</w:t>
      </w:r>
      <w:r>
        <w:rPr>
          <w:noProof/>
        </w:rPr>
        <w:tab/>
        <w:t>Forais agus cuspóirí an togra</w:t>
      </w:r>
    </w:p>
    <w:p>
      <w:pPr>
        <w:rPr>
          <w:noProof/>
        </w:rPr>
      </w:pPr>
      <w:r>
        <w:rPr>
          <w:noProof/>
        </w:rPr>
        <w:t>Bunaíodh an Institiúid Eorpach um Nuálaíocht agus Teicneolaíocht (EIT) in 2008 le Rialachán (CE) Uimh. 294/2008</w:t>
      </w:r>
      <w:r>
        <w:rPr>
          <w:rStyle w:val="FootnoteReference"/>
          <w:noProof/>
        </w:rPr>
        <w:footnoteReference w:id="1"/>
      </w:r>
      <w:r>
        <w:rPr>
          <w:noProof/>
        </w:rPr>
        <w:t xml:space="preserve">. Is é an cuspóir atá aige aghaidh a thabhairt ar mhór-dhúshláin na sochaí trí chumas agus fheidhmíocht nuálaíochta an Aontais Eorpaigh a fheabhsú trí bhíthin chomhtháthú thriantán eolais an oideachas, an taighde agus na nuálaíochta. </w:t>
      </w:r>
      <w:r>
        <w:rPr>
          <w:noProof/>
          <w:color w:val="000000" w:themeColor="text1"/>
        </w:rPr>
        <w:t>Is trí bhíthin na bPobal Eolais agus Nuálaíochta (PENanna) atá aige a bhaineann EIT na spriocanna sin amach, den chuid is mó</w:t>
      </w:r>
      <w:r>
        <w:rPr>
          <w:noProof/>
        </w:rPr>
        <w:t>.</w:t>
      </w:r>
    </w:p>
    <w:p>
      <w:pPr>
        <w:rPr>
          <w:noProof/>
        </w:rPr>
      </w:pPr>
      <w:r>
        <w:rPr>
          <w:noProof/>
        </w:rPr>
        <w:t>Sa tréimhse 2021-2027, is é an clár Fís Eorpach an clár de chuid an Aontais a dhéanfaidh cistiú ar EIT. Is dlúthchuid é EIT den togra ón gCoimisiún lena mbunaítear an clár Fís Eorpach</w:t>
      </w:r>
      <w:r>
        <w:rPr>
          <w:rStyle w:val="FootnoteReference"/>
          <w:noProof/>
        </w:rPr>
        <w:footnoteReference w:id="2"/>
      </w:r>
      <w:r>
        <w:rPr>
          <w:noProof/>
        </w:rPr>
        <w:t xml:space="preserve"> agus tá sé ar cheann de thrí mhír an cholúin “Eoraip Nuálaíoch” de chuid an chláir sin. Sa togra maidir leis an gclár Fís Eorpach, leagtar amach an buiséad le haghaidh EIT i gcomhair an chéad Chreat Airgeadais Ilbhliantúil (CAI) eile mar aon leis an réasúnaíocht a ghabhann leis, a bhreisluach, na réimsí idirghabhála lena mbaineann sé agus príomhairíonna na gníomhaíochta atá i gceist leis. Mar sin féin, ní chuireann an clár Fís Eorpach ar fáil, as féin, an bunús dlí chun leanúint d’oibríochtaí EIT amhail ó 2021. Is é atá ina bhunús dlí ag EIT go fóill an Rialachán maidir le EIT lena leagtar amach misean EIT, a phríomhchúraimí agus an creat atá aige chun feidhmithe.</w:t>
      </w:r>
    </w:p>
    <w:p>
      <w:pPr>
        <w:pBdr>
          <w:top w:val="nil"/>
          <w:left w:val="nil"/>
          <w:bottom w:val="nil"/>
          <w:right w:val="nil"/>
          <w:between w:val="nil"/>
          <w:bar w:val="nil"/>
        </w:pBdr>
        <w:spacing w:before="0" w:after="240"/>
        <w:rPr>
          <w:noProof/>
        </w:rPr>
      </w:pPr>
      <w:r>
        <w:rPr>
          <w:noProof/>
        </w:rPr>
        <w:t>Thairis sin, cuireann Airteagal 17 den Rialachán maidir le EIT de cheangal ar an gCoimisiún togra a chur faoi bhráid Pharlaimint na hEorpa agus na Comhairle gach seacht mbliana, togra le haghaidh Clár Oibre Straitéiseach um Nuálaíocht (COSN) ina leagtar síos na réimsí tosaíochta agus an straitéis fhadtéarmach agus na riachtanais airgeadais le haghaidh EIT. Dá bhrí sin, caithfidh COSN a bheith i gcomhréir leis an gClár Réime um Thaighde agus um Nuálaíocht</w:t>
      </w:r>
      <w:r>
        <w:rPr>
          <w:rStyle w:val="FootnoteReference"/>
          <w:noProof/>
        </w:rPr>
        <w:footnoteReference w:id="3"/>
      </w:r>
      <w:r>
        <w:rPr>
          <w:noProof/>
        </w:rPr>
        <w:t>. Le haghaidh na tréimhse 2021-2027, ba cheart a áirithiú go mbeidh COSN ailínithe le cuspóirí an chláir Fís Eorpach agus le pleanáil straitéiseach ilbhliantúil, le faireachán agus le ceanglais eile an chláir sin, agus ba cheart sineirgí a chothú idir é agus cláir ábhartha eile.</w:t>
      </w:r>
    </w:p>
    <w:p>
      <w:pPr>
        <w:pBdr>
          <w:top w:val="nil"/>
          <w:left w:val="nil"/>
          <w:bottom w:val="nil"/>
          <w:right w:val="nil"/>
          <w:between w:val="nil"/>
          <w:bar w:val="nil"/>
        </w:pBdr>
        <w:spacing w:before="0" w:after="240"/>
        <w:rPr>
          <w:noProof/>
        </w:rPr>
      </w:pPr>
      <w:r>
        <w:rPr>
          <w:noProof/>
        </w:rPr>
        <w:t>Dá bhrí sin, cuirtear an togra seo le haghaidh Clár Oibre Straitéiseach um Nuálaíocht nua EIT le haghaidh 2021-2027, agus an togra le haghaidh athmhúnlú an Rialacháin maidir le EIT, faoi bhráid taobh le taobh.</w:t>
      </w:r>
    </w:p>
    <w:p>
      <w:pPr>
        <w:pBdr>
          <w:top w:val="nil"/>
          <w:left w:val="nil"/>
          <w:bottom w:val="nil"/>
          <w:right w:val="nil"/>
          <w:between w:val="nil"/>
          <w:bar w:val="nil"/>
        </w:pBdr>
        <w:spacing w:before="0" w:after="240"/>
        <w:rPr>
          <w:rFonts w:eastAsia="Arial Unicode MS"/>
          <w:b/>
          <w:bCs/>
          <w:noProof/>
        </w:rPr>
      </w:pPr>
      <w:r>
        <w:rPr>
          <w:noProof/>
        </w:rPr>
        <w:t xml:space="preserve">In COSN faoi EIT le haghaidh 2021-2027, </w:t>
      </w:r>
      <w:r>
        <w:rPr>
          <w:noProof/>
          <w:color w:val="000000" w:themeColor="text1"/>
        </w:rPr>
        <w:t xml:space="preserve">leagtar síos na réimsí tosaíochta, an straitéis fhadtéarmach agus na riachtanais airgeadais le haghaidh EIT i gcomhair na tréimhse sin agus </w:t>
      </w:r>
      <w:r>
        <w:rPr>
          <w:noProof/>
        </w:rPr>
        <w:t>leagtar amach an dóigh a gcuideoidh EIT cuspóirí an chláir Fís Eorpach a ghnóthú</w:t>
      </w:r>
      <w:r>
        <w:rPr>
          <w:b/>
          <w:noProof/>
        </w:rPr>
        <w:t xml:space="preserve">. </w:t>
      </w:r>
      <w:r>
        <w:rPr>
          <w:noProof/>
          <w:color w:val="000000" w:themeColor="text1"/>
        </w:rPr>
        <w:t>Cuirtear síos ann freisin ar a bhfuil pleanáilte i dtaca le hardoideachas, taighde agus gníomhaíochtaí nuálaíochta, agus déantar miondealú ann ar an mbuiséad lena n</w:t>
      </w:r>
      <w:r>
        <w:rPr>
          <w:noProof/>
          <w:color w:val="000000" w:themeColor="text1"/>
        </w:rPr>
        <w:noBreakHyphen/>
        <w:t>aghaidh sin. Socraítear ann an sceideal ama le haghaidh roghnú agus ainmniú na PENanna nua i gcomhair na chéad chlárthréimhse eile.</w:t>
      </w:r>
    </w:p>
    <w:p>
      <w:pPr>
        <w:pStyle w:val="ManualHeading2"/>
        <w:rPr>
          <w:rFonts w:eastAsia="Arial Unicode MS"/>
          <w:noProof/>
          <w:color w:val="000000"/>
          <w:u w:color="000000"/>
          <w:bdr w:val="nil"/>
        </w:rPr>
      </w:pPr>
      <w:r>
        <w:rPr>
          <w:noProof/>
          <w:color w:val="000000"/>
          <w:u w:color="000000"/>
          <w:bdr w:val="nil"/>
        </w:rPr>
        <w:t>•</w:t>
      </w:r>
      <w:r>
        <w:rPr>
          <w:noProof/>
        </w:rPr>
        <w:tab/>
        <w:t>Comhsheasmhacht le forálacha beartais atá sa réimse beartais cheana</w:t>
      </w:r>
    </w:p>
    <w:p>
      <w:pPr>
        <w:rPr>
          <w:noProof/>
        </w:rPr>
      </w:pPr>
      <w:r>
        <w:rPr>
          <w:noProof/>
        </w:rPr>
        <w:t>Tá EIT ina chuid de Cholún III (“</w:t>
      </w:r>
      <w:r>
        <w:rPr>
          <w:rFonts w:asciiTheme="majorBidi" w:hAnsiTheme="majorBidi" w:cstheme="majorBidi"/>
          <w:noProof/>
        </w:rPr>
        <w:t>Eoraip Nuálaíoch</w:t>
      </w:r>
      <w:r>
        <w:rPr>
          <w:noProof/>
        </w:rPr>
        <w:t xml:space="preserve">”) an chláir Fís Eorpach, agus dá réir sin is cuid chomhtháite den chlár é. Mar sin féin, déanfar a áirithiú go mbeidh sineirgí agus comhlántacht ann le codanna eile an chláir. Cuideoidh EIT, trí bhíthin a PENanna, aghaidh a thabhairt ar na dúshláin dhomhanda faoi Cholún II (“Dúshláin Dhomhanda agus an tIomaíochas Tionsclaíoch Eorpach”) agus faoi Cholún I (“Eolaíocht den scoth”). </w:t>
      </w:r>
    </w:p>
    <w:p>
      <w:pPr>
        <w:pBdr>
          <w:top w:val="nil"/>
          <w:left w:val="nil"/>
          <w:bottom w:val="nil"/>
          <w:right w:val="nil"/>
          <w:between w:val="nil"/>
          <w:bar w:val="nil"/>
        </w:pBdr>
        <w:spacing w:before="0" w:after="240"/>
        <w:rPr>
          <w:rFonts w:eastAsia="Arial Unicode MS"/>
          <w:noProof/>
        </w:rPr>
      </w:pPr>
      <w:r>
        <w:rPr>
          <w:noProof/>
        </w:rPr>
        <w:t>Le próiseas na Pleanála Straitéisí ilbhliantúla faoin gclár Fís Eorpach, áiritheofar go ndéanfar comhordú éifeachtach ar na gníomhaíochtaí uile faoin gclár Fís Eorpach, ar a n</w:t>
      </w:r>
      <w:r>
        <w:rPr>
          <w:noProof/>
        </w:rPr>
        <w:noBreakHyphen/>
        <w:t>áirítear PENanna EIT, arb é atá iontu, mar PENanna, comhpháirtíochtaí institiúidithe Eorpacha. Sa chomhthéacs sin, leagtar béim sa chlár Fís Eorpach ar an méid seo, “moltaí faoi PENanna de chuid EIT sa todhchaí, a bheadh ag comhlíonadh an Rialacháin maidir le EIT, déanfar iad a shonrú in COSN, agus tabharfaidh siad san áireamh toradh an phróisis Pleanála Straitéisí agus tosaíochtaí an cholúin ‘Dúshláin Dhomhanda agus an tIomaíochas Tionsclaíoch Eorpach’”.</w:t>
      </w:r>
    </w:p>
    <w:p>
      <w:pPr>
        <w:pBdr>
          <w:top w:val="nil"/>
          <w:left w:val="nil"/>
          <w:bottom w:val="nil"/>
          <w:right w:val="nil"/>
          <w:between w:val="nil"/>
          <w:bar w:val="nil"/>
        </w:pBdr>
        <w:spacing w:before="0" w:after="240"/>
        <w:rPr>
          <w:rFonts w:eastAsia="Arial Unicode MS"/>
          <w:noProof/>
        </w:rPr>
      </w:pPr>
      <w:r>
        <w:rPr>
          <w:noProof/>
        </w:rPr>
        <w:t>Déanfar an comhar idir EIT agus an Chomhairle Nuálaíochta Eorpach a bhunú freisin d’fhonn dúbailt a sheachaint agus d’fhonn a áirithiú go dtiocfar ar shineirgí agus go mbeidh tionchar níos mó ag a ngníomhaíochtaí. Déanfaidh EIC nuálaíochtaí ceannródaíocha a aithint, a fhorbairt agus a chur á n</w:t>
      </w:r>
      <w:r>
        <w:rPr>
          <w:noProof/>
        </w:rPr>
        <w:noBreakHyphen/>
        <w:t>úsáid, agus tacóidh sé le mearmhéadú na ngnólachtaí atá i mbun nuálaíochtaí lena gcruthaítear margaí nua ar an leibhéal Eorpach agus idirnáisiúnta. I dtaca le EIT, cuideoidh sé le forbairt chumas nuálaíochta na hEorpa trí bhíthin chomhthathú an triantáin eolais agus trí thacaíocht a thabhairt d’éiceachórais nuálaíochta.</w:t>
      </w:r>
    </w:p>
    <w:p>
      <w:pPr>
        <w:pStyle w:val="ManualHeading2"/>
        <w:rPr>
          <w:rFonts w:eastAsia="Arial Unicode MS"/>
          <w:noProof/>
        </w:rPr>
      </w:pPr>
      <w:r>
        <w:rPr>
          <w:noProof/>
          <w:color w:val="000000"/>
          <w:u w:color="000000"/>
          <w:bdr w:val="nil"/>
        </w:rPr>
        <w:t>•</w:t>
      </w:r>
      <w:r>
        <w:rPr>
          <w:noProof/>
        </w:rPr>
        <w:tab/>
        <w:t>Comhsheasmhacht le beartais eile de chuid an Aontais</w:t>
      </w:r>
    </w:p>
    <w:p>
      <w:pPr>
        <w:rPr>
          <w:noProof/>
        </w:rPr>
      </w:pPr>
      <w:r>
        <w:rPr>
          <w:noProof/>
        </w:rPr>
        <w:t>Déanfaidh COSN sineirgí a chothú ní amháin le creat an Aontais lena dtacaítear leis an taighde agus leis an nuálaíocht ach freisin le cláir ábhartha eile de chuid an Aontais sa CAI i gceist. Go háirithe, áiritheoidh sé sineirgí iomchuí agus comhlántachtaí iomchuí idir gníomhaíochtaí EIT agus tionscnaimh, beartais agus ionstraimí eile de chuid an Aontais. Déanfar tuilleadh saothraithe ar an gcomhar i dtaca le cláir agus ionstraimí leithéid Erasmus, an chláir um an Eoraip Dhigiteach, Chistí Struchtúracha agus Infheistíochta na hEorpa, an chláir InvestEU agus an chreatchláir An Eoraip Chruthaitheach. Thairis sin, déanfar a áirithiú trí bhíthin ról méadaithe Ghrúpa Ionadaithe na mBallstát go mbeidh sineirgí agus comhlántacht ag gníomhaíochtaí EIT agus PENanna le cláir agus tionscnaimh náisiúnta.</w:t>
      </w:r>
    </w:p>
    <w:p>
      <w:pPr>
        <w:pStyle w:val="ManualHeading1"/>
        <w:rPr>
          <w:noProof/>
        </w:rPr>
      </w:pPr>
      <w:r>
        <w:rPr>
          <w:noProof/>
        </w:rPr>
        <w:t>2.</w:t>
      </w:r>
      <w:r>
        <w:rPr>
          <w:noProof/>
        </w:rPr>
        <w:tab/>
        <w:t>BUNÚS DLÍ, COIMHDEACHT AGUS COMHRÉIREACHT</w:t>
      </w:r>
    </w:p>
    <w:p>
      <w:pPr>
        <w:pStyle w:val="ManualHeading2"/>
        <w:rPr>
          <w:rFonts w:eastAsia="Arial Unicode MS"/>
          <w:noProof/>
          <w:u w:color="000000"/>
          <w:bdr w:val="nil"/>
        </w:rPr>
      </w:pPr>
      <w:r>
        <w:rPr>
          <w:noProof/>
        </w:rPr>
        <w:t>•</w:t>
      </w:r>
      <w:r>
        <w:rPr>
          <w:noProof/>
        </w:rPr>
        <w:tab/>
        <w:t>Bunús dlí</w:t>
      </w:r>
    </w:p>
    <w:p>
      <w:pPr>
        <w:rPr>
          <w:noProof/>
        </w:rPr>
      </w:pPr>
      <w:r>
        <w:rPr>
          <w:noProof/>
        </w:rPr>
        <w:t>Tá inniúlacht roinnte ag an Aontas Eorpach sa bheartas tionscail, bunaithe ar Airteagal 173 (Teideal XVII) den Chonradh ar Fheidhmiú an Aontais Eorpaigh. De réir Airteagal 173(1), féachfaidh an tAontas agus na Ballstáit chuige go mbeidh na dálaí ann is gá chun cumas iomaíochta thionscal an Aontais a áirithiú. Chun na críche sin, i gcomhréir le córas margaí oscailte iomaíocha, beidh a gcuid gníomhaíochta dírithe freisin ar acmhainneacht thionsclaíoch beartas nuálaíochta, taighde agus forbartha teicneolaíche a shaothrú ar dhóigh níos fearr. Déantar a fhoráil le hAirteagal 173(3) go bhféadfaidh Parlaimint na hEorpa agus an Chomhairle, ag gníomhú dóibh i gcomhréir leis an ngnáthnós imeachta reachtach dá dtagraítear in Airteagal 294, bearta sonracha a chinneadh chun tacú le gníomhaíochtaí de chuid na mBallstát d'fhonn an cuspóir sin dá dtagraítear a ghnóthú, gan aon chomhchuibhiú a dhéanamh ar dhlíthe agus ar rialacháin na mBallstát. Is í an fhoráil sin bunús dlí an Rialacháin maidir le EIT atá ann faoi láthair, agus bunús dlí COSN 2014-2020.</w:t>
      </w:r>
    </w:p>
    <w:p>
      <w:pPr>
        <w:rPr>
          <w:noProof/>
        </w:rPr>
      </w:pPr>
      <w:r>
        <w:rPr>
          <w:noProof/>
        </w:rPr>
        <w:t>An treisiú a bheartaítear a dhéanamh ar ghníomhaíochtaí EIT, ar a n</w:t>
      </w:r>
      <w:r>
        <w:rPr>
          <w:noProof/>
        </w:rPr>
        <w:noBreakHyphen/>
        <w:t>áirítear na gníomhaíochtaí i réimse an oideachais agus na gné réigiúnaí, is ar son na nuálaíochta é agus tá sé d’aidhm leis an cuspóir a leagtar amach in Airteagal 173 den Chonradh ar Fheidhmiú an Aontais Eorpaigh a ghnóthú.</w:t>
      </w:r>
    </w:p>
    <w:p>
      <w:pPr>
        <w:pStyle w:val="ManualHeading2"/>
        <w:rPr>
          <w:rFonts w:eastAsia="Arial Unicode MS"/>
          <w:noProof/>
          <w:u w:color="000000"/>
          <w:bdr w:val="nil"/>
        </w:rPr>
      </w:pPr>
      <w:r>
        <w:rPr>
          <w:noProof/>
        </w:rPr>
        <w:t>•</w:t>
      </w:r>
      <w:r>
        <w:rPr>
          <w:noProof/>
        </w:rPr>
        <w:tab/>
        <w:t xml:space="preserve">Coimhdeacht agus comhréireacht </w:t>
      </w:r>
    </w:p>
    <w:p>
      <w:pPr>
        <w:rPr>
          <w:noProof/>
          <w:color w:val="1F497D"/>
        </w:rPr>
      </w:pPr>
      <w:r>
        <w:rPr>
          <w:noProof/>
        </w:rPr>
        <w:t>Ann togra le haghaidh Clár Oibre Straitéiseach um Nuálaíocht i gcomhair 2021-2027, urramaíonn sé prionsabail</w:t>
      </w:r>
      <w:r>
        <w:rPr>
          <w:b/>
          <w:noProof/>
        </w:rPr>
        <w:t xml:space="preserve"> na coimhdeachta</w:t>
      </w:r>
      <w:r>
        <w:rPr>
          <w:noProof/>
        </w:rPr>
        <w:t xml:space="preserve"> agus </w:t>
      </w:r>
      <w:r>
        <w:rPr>
          <w:b/>
          <w:noProof/>
        </w:rPr>
        <w:t>na comhréireachta</w:t>
      </w:r>
      <w:r>
        <w:rPr>
          <w:noProof/>
        </w:rPr>
        <w:t>. Ní théann sé thar an méid is gá chun cuspóirí an Aontais a ghnóthú agus tugann sé breisluach soiléir don Aontas Eorpach i dtéarmaí barrainneachtaí de bhua scála, agus raon agus luas na hinfheistíochta i réimsí an taighde agus na nuálaíochta, i gcomparáid le tionscnaimh agus réitigh náisiúnta agus réigiúnacha. Thairis sin, ní chuirfeadh gníomhaíocht de chuid an Aontais Eorpaigh isteach ar chásanna ar de chineál intíre amháin iad ná ní theastódh dá barr aon chomhchuibhiú a dhéanamh ar dhlíthe agus ar rialacháin na mBallstát.</w:t>
      </w:r>
    </w:p>
    <w:p>
      <w:pPr>
        <w:rPr>
          <w:noProof/>
        </w:rPr>
      </w:pPr>
      <w:r>
        <w:rPr>
          <w:noProof/>
        </w:rPr>
        <w:t>Tá dóigh ar leith ag EIT chun éiceachórais nuálaíochta a fhorbairt ar fud an Aontais Eorpaigh i réimsí an oideachais, an taighde, an ghnó agus i réimsí páirtithe leasmhara eile</w:t>
      </w:r>
      <w:r>
        <w:rPr>
          <w:rStyle w:val="FootnoteReference"/>
          <w:noProof/>
        </w:rPr>
        <w:footnoteReference w:id="4"/>
      </w:r>
      <w:r>
        <w:rPr>
          <w:noProof/>
        </w:rPr>
        <w:t>. Gníomhaíochtaí i gcomhar a dtacaíonn EIT leo, tagann breis cáilíochta dá mbarr i dtaca le gníomhaíocht agus nuálaíocht na gcomhpháirtithe agus na n</w:t>
      </w:r>
      <w:r>
        <w:rPr>
          <w:noProof/>
        </w:rPr>
        <w:noBreakHyphen/>
        <w:t>eagraíochtaí PEN, agus i dtaca lena n</w:t>
      </w:r>
      <w:r>
        <w:rPr>
          <w:noProof/>
        </w:rPr>
        <w:noBreakHyphen/>
        <w:t>idirnáisiúnú, agus tagann dá mbarr go gcruthaítear gréasáin ildisciplíneacha trasteorann, agus tagann dá mbarr breis comhar trasearnála agus for-rochtain gheografach níos fairsinge.</w:t>
      </w:r>
    </w:p>
    <w:p>
      <w:pPr>
        <w:rPr>
          <w:noProof/>
        </w:rPr>
      </w:pPr>
      <w:r>
        <w:rPr>
          <w:noProof/>
        </w:rPr>
        <w:t>Is é EIT, freisin, an t</w:t>
      </w:r>
      <w:r>
        <w:rPr>
          <w:noProof/>
        </w:rPr>
        <w:noBreakHyphen/>
        <w:t>aon ionstraim de chuid an chláir Fís Eorpach a bhfuil fócas ar leith aici ar an oideachas mar phríomhspreagadh chun an nuálaíocht, an fás agus an t</w:t>
      </w:r>
      <w:r>
        <w:rPr>
          <w:noProof/>
        </w:rPr>
        <w:noBreakHyphen/>
        <w:t>iomaíochas a chur chun cinn.</w:t>
      </w:r>
      <w:bookmarkStart w:id="1" w:name="_Toc534627716"/>
      <w:bookmarkEnd w:id="1"/>
    </w:p>
    <w:p>
      <w:pPr>
        <w:pStyle w:val="ManualHeading1"/>
        <w:rPr>
          <w:noProof/>
        </w:rPr>
      </w:pPr>
      <w:r>
        <w:rPr>
          <w:noProof/>
        </w:rPr>
        <w:t>3.</w:t>
      </w:r>
      <w:r>
        <w:rPr>
          <w:noProof/>
        </w:rPr>
        <w:tab/>
        <w:t>TORTHAÍ Ó MHEASTÓIREACHTAÍ EX POST, Ó CHOMHAIRLIÚCHÁIN LEIS NA PÁIRTITHE LEASMHARA AGUS Ó MHEASÚNUITHE TIONCHAIR</w:t>
      </w:r>
    </w:p>
    <w:p>
      <w:pPr>
        <w:rPr>
          <w:i/>
          <w:noProof/>
        </w:rPr>
      </w:pPr>
      <w:r>
        <w:rPr>
          <w:i/>
          <w:noProof/>
        </w:rPr>
        <w:t>Meastóireacht sheachtrach</w:t>
      </w:r>
    </w:p>
    <w:p>
      <w:pPr>
        <w:rPr>
          <w:noProof/>
        </w:rPr>
      </w:pPr>
      <w:r>
        <w:rPr>
          <w:noProof/>
        </w:rPr>
        <w:t>Leis an togra seo cuirtear leis an meastóireacht sheachtrach a rinneadh ar EIT in 2017, meastóireacht a dheimhnigh go raibh réasúnaíocht bhailí le bunú EIT agus gurb ábhartha fós an tsamhail sin aige, eadhon an comhtháthú ar thriantán an eolais ar son na nuálaíochta. Dírítear i samhail EIT ar na laigí struchtúracha atá ar an acmhainneacht nuálaíochta san Aontas Eorpach (i bpríomhréimsí téamacha) leithéid an chultúir fiontraíochta theoranta, an leibhéil ísil comhair idir an lucht acadúil agus an lucht tionscail agus na forbartha neamhleordhóthanaí ar an bpoitéinseal daonna, agus tá sé d’aidhm léi cuidiú an bhearna nuálaíochta idir an tAontas agus a phríomh-iomaitheoirí a dhúnadh.</w:t>
      </w:r>
    </w:p>
    <w:p>
      <w:pPr>
        <w:rPr>
          <w:i/>
          <w:noProof/>
        </w:rPr>
      </w:pPr>
      <w:r>
        <w:rPr>
          <w:i/>
          <w:noProof/>
        </w:rPr>
        <w:t>Comhairliúchán poiblí oscailte</w:t>
      </w:r>
    </w:p>
    <w:p>
      <w:pPr>
        <w:rPr>
          <w:noProof/>
        </w:rPr>
      </w:pPr>
      <w:r>
        <w:rPr>
          <w:noProof/>
        </w:rPr>
        <w:t>Tugtar san áireamh sa togra torthaí an Chomhairliúcháin Phoiblí Oscailte (CPO) a rinneadh mar chuid de mheasúnú tionchair an Choimisiúin Eorpaigh chun tacú lena thograí le haghaidh athbhreithniú an Rialacháin lena mbunaítear an Institiúid Eorpach um Nuálaíocht agus Teicneolaíocht (EIT) (CE Uimh. 294/2008) agus le haghaidh Clár Oibre Straitéiseach um Nuálaíocht nua i gcomhair EIT le haghaidh 2021-2027.  Ba é cuspóir a bhí leis an gComhairliúchán Poiblí Oscailte faisnéis, tuairimí agus dearcthaí a chruinniú ó raon leathan páirtithe leasmhara maidir le 1) na dúshláin agus na deiseanna sa réimse taighde agus nuálaíochta Eorpach, 2) spriocanna beartais EIT, agus 3) na roghanna beartais i dtaca le dul i ngleic leis na dúshláin.</w:t>
      </w:r>
    </w:p>
    <w:p>
      <w:pPr>
        <w:pBdr>
          <w:top w:val="nil"/>
          <w:left w:val="nil"/>
          <w:bottom w:val="nil"/>
          <w:right w:val="nil"/>
          <w:between w:val="nil"/>
          <w:bar w:val="nil"/>
        </w:pBdr>
        <w:spacing w:before="0" w:after="240"/>
        <w:rPr>
          <w:i/>
          <w:noProof/>
        </w:rPr>
      </w:pPr>
      <w:r>
        <w:rPr>
          <w:i/>
          <w:noProof/>
        </w:rPr>
        <w:t>Measúnú tionchair</w:t>
      </w:r>
    </w:p>
    <w:p>
      <w:pPr>
        <w:rPr>
          <w:noProof/>
        </w:rPr>
      </w:pPr>
      <w:r>
        <w:rPr>
          <w:noProof/>
        </w:rPr>
        <w:t>Tá mar thaca leis an togra seo Measúnú Tionchair ina gcumhdaítear an togra le haghaidh athbhreithniú an Rialacháin maidir le EIT agus an togra le haghaidh Clár Oibre Straitéiseach um Nuálaíocht nua i gcomhair EIT le haghaidh 2021-2027.</w:t>
      </w:r>
    </w:p>
    <w:p>
      <w:pPr>
        <w:rPr>
          <w:noProof/>
        </w:rPr>
      </w:pPr>
      <w:r>
        <w:rPr>
          <w:noProof/>
        </w:rPr>
        <w:t>Chuir an Measúnú Tionchair maidir le EIT leis an Measúnú Tionchair a rinneadh le haghaidh an chláir Fís Eorpach. Tuairim “dhearfach” a thug an Bord um Ghrinnscrúdú Rialála, agus mhol sé breis mínithe a dhéanamh (i) ar dhearcthaí na bpáirtithe leasmhara ar na roghanna éagsúla, (ii) ar shásraí seachadta na samhla nua cistiúcháin agus (iii) ar an bhfor-rochtain réigiúnach.</w:t>
      </w:r>
    </w:p>
    <w:p>
      <w:pPr>
        <w:pBdr>
          <w:top w:val="nil"/>
          <w:left w:val="nil"/>
          <w:bottom w:val="nil"/>
          <w:right w:val="nil"/>
          <w:between w:val="nil"/>
          <w:bar w:val="nil"/>
        </w:pBdr>
        <w:rPr>
          <w:rFonts w:eastAsia="Arial Unicode MS"/>
          <w:noProof/>
        </w:rPr>
      </w:pPr>
      <w:r>
        <w:rPr>
          <w:noProof/>
        </w:rPr>
        <w:t>Aithníodh na roghanna beartais seo a leanas sa mheasúnú tionchair: rogha bhonnlíne agus dhá rogha dhifriúla a bhí dírithe ar dhul i ngleic leis na fadhbanna agus leis na saincheisteanna teicniúla a aibhsíodh sa mheasúnú tionchair.</w:t>
      </w:r>
    </w:p>
    <w:p>
      <w:pPr>
        <w:pBdr>
          <w:top w:val="nil"/>
          <w:left w:val="nil"/>
          <w:bottom w:val="nil"/>
          <w:right w:val="nil"/>
          <w:between w:val="nil"/>
          <w:bar w:val="nil"/>
        </w:pBdr>
        <w:rPr>
          <w:rFonts w:eastAsia="Arial Unicode MS"/>
          <w:noProof/>
        </w:rPr>
      </w:pPr>
      <w:r>
        <w:rPr>
          <w:noProof/>
        </w:rPr>
        <w:t>Is é rud a bheadh i gceist le rogha bhonnlíne 1 leanúint le gníomhaíochtaí EIT mar atá faoi láthair, mórán, agus gan a dhéanamh ach na coigeartuithe ba ghá chun é a ailíniú leis an togra le haghaidh an chláir Fís Eorpach. Cuireann Rogha 2 leis an mbonnlíne. De bhreis air sin, de réir Rogha 2 ghlacfaí líon áirithe de bhearta teicniúla chun feabhas a chur ar fheidhmiú EIT, agus moltar gníomhaíocht nua chun an t</w:t>
      </w:r>
      <w:r>
        <w:rPr>
          <w:noProof/>
        </w:rPr>
        <w:noBreakHyphen/>
        <w:t>oideachas san fhiontraíocht a chothú ar fud na hEorpa. Is neamhionann Rogha 3 agus Rogha 2, óir bhunófaí (le Rogha 3) Mol EIT i ngach Ballstát chun an tionchar atá ag gníomhaíochtaí EIT a mhéadú fud fad na hEorpa.</w:t>
      </w:r>
    </w:p>
    <w:p>
      <w:pPr>
        <w:pBdr>
          <w:top w:val="nil"/>
          <w:left w:val="nil"/>
          <w:bottom w:val="nil"/>
          <w:right w:val="nil"/>
          <w:between w:val="nil"/>
          <w:bar w:val="nil"/>
        </w:pBdr>
        <w:rPr>
          <w:noProof/>
        </w:rPr>
      </w:pPr>
      <w:r>
        <w:rPr>
          <w:noProof/>
        </w:rPr>
        <w:t>Is í Rogha 2 a aithníodh mar an rogha thosaíochta ós í is fearr a thugann cothromaíocht i dtaca le cuspóirí an tionscnaimh a ghnóthú agus i dtaca le, lena linn sin, na hacmhainní atá ar fáil a thabhairt san áireamh agus an tionchar eacnamaíoch agus sochaíoch is mó is féidir a imirt. Beidh de thoradh air sin go ndéanfar feabhsuithe móra ar EIT sa chéad chlárthréimhse eile.</w:t>
      </w:r>
    </w:p>
    <w:p>
      <w:pPr>
        <w:pStyle w:val="ManualHeading2"/>
        <w:rPr>
          <w:rFonts w:eastAsia="Arial Unicode MS"/>
          <w:noProof/>
          <w:u w:color="000000"/>
          <w:bdr w:val="nil"/>
        </w:rPr>
      </w:pPr>
      <w:r>
        <w:rPr>
          <w:noProof/>
        </w:rPr>
        <w:t>•</w:t>
      </w:r>
      <w:r>
        <w:rPr>
          <w:noProof/>
        </w:rPr>
        <w:tab/>
        <w:t>Cearta bunúsacha</w:t>
      </w:r>
    </w:p>
    <w:p>
      <w:pPr>
        <w:rPr>
          <w:noProof/>
        </w:rPr>
      </w:pPr>
      <w:r>
        <w:rPr>
          <w:noProof/>
        </w:rPr>
        <w:t>Urramaítear, i dtogra an Choimisiúin, na cearta bunúsacha agus cloítear leis na prionsabail atá i gCairt um Chearta Bunúsacha an Aontais Eorpaigh.</w:t>
      </w:r>
    </w:p>
    <w:p>
      <w:pPr>
        <w:pStyle w:val="ManualHeading1"/>
        <w:rPr>
          <w:noProof/>
        </w:rPr>
      </w:pPr>
      <w:r>
        <w:rPr>
          <w:noProof/>
        </w:rPr>
        <w:t>4.</w:t>
      </w:r>
      <w:r>
        <w:rPr>
          <w:noProof/>
        </w:rPr>
        <w:tab/>
        <w:t>IMPLEACHTAÍ BUISÉADACHA</w:t>
      </w:r>
    </w:p>
    <w:p>
      <w:pPr>
        <w:rPr>
          <w:noProof/>
        </w:rPr>
      </w:pPr>
      <w:r>
        <w:rPr>
          <w:noProof/>
        </w:rPr>
        <w:t>Déantar cur síos mionsonraithe sa Ráiteas Airgeadais Reachtach ar impleachtaí buiséadacha an togra agus ar na hacmhainní daonna agus riaracháin a theastaíonn.</w:t>
      </w:r>
    </w:p>
    <w:p>
      <w:pPr>
        <w:pStyle w:val="ManualHeading1"/>
        <w:rPr>
          <w:noProof/>
        </w:rPr>
      </w:pPr>
      <w:r>
        <w:rPr>
          <w:noProof/>
        </w:rPr>
        <w:t>5.</w:t>
      </w:r>
      <w:r>
        <w:rPr>
          <w:noProof/>
        </w:rPr>
        <w:tab/>
        <w:t>EILIMINTÍ EILE</w:t>
      </w:r>
    </w:p>
    <w:p>
      <w:pPr>
        <w:pStyle w:val="ManualHeading2"/>
        <w:rPr>
          <w:rFonts w:eastAsia="Arial Unicode MS"/>
          <w:noProof/>
          <w:u w:color="000000"/>
          <w:bdr w:val="nil"/>
        </w:rPr>
      </w:pPr>
      <w:r>
        <w:rPr>
          <w:noProof/>
        </w:rPr>
        <w:t>•</w:t>
      </w:r>
      <w:r>
        <w:rPr>
          <w:noProof/>
        </w:rPr>
        <w:tab/>
        <w:t>Pleananna cur chun feidhme, agus socruithe faireacháin, meastóireachta agus tuairiscithe</w:t>
      </w:r>
    </w:p>
    <w:p>
      <w:pPr>
        <w:rPr>
          <w:noProof/>
        </w:rPr>
      </w:pPr>
      <w:r>
        <w:rPr>
          <w:noProof/>
        </w:rPr>
        <w:t>Baintear úsáid as an bhfaireachán agus as an meastóireacht mar bhunuirlisí chun tionchar EIT á thomhas, agus déanfar a n</w:t>
      </w:r>
      <w:r>
        <w:rPr>
          <w:noProof/>
        </w:rPr>
        <w:noBreakHyphen/>
        <w:t>úsáid a threisiú agus a fheabhsú go leanúnach le linn na chéad chlárthréimhse eile. I bhfianaise chineál na samhla le haghaidh chomhtháthú an triantáin eolais, is tábhachtach creat faireacháin a chur i bhfeidhm a fhágfaidh solúbthacht ar na leibhéil ábhartha uile agus a áiritheoidh comhsheasmhacht le cuspóirí ginearálta an chláir Fís Eorpach agus leis an tionchar atáthar a lorg.</w:t>
      </w:r>
    </w:p>
    <w:p>
      <w:pPr>
        <w:pBdr>
          <w:top w:val="nil"/>
          <w:left w:val="nil"/>
          <w:bottom w:val="nil"/>
          <w:right w:val="nil"/>
          <w:between w:val="nil"/>
          <w:bar w:val="nil"/>
        </w:pBdr>
        <w:spacing w:before="0" w:after="0"/>
        <w:rPr>
          <w:rFonts w:eastAsia="Arial Unicode MS"/>
          <w:i/>
          <w:noProof/>
        </w:rPr>
      </w:pPr>
      <w:r>
        <w:rPr>
          <w:i/>
          <w:noProof/>
        </w:rPr>
        <w:t>Faireachán</w:t>
      </w:r>
    </w:p>
    <w:p>
      <w:pPr>
        <w:rPr>
          <w:noProof/>
        </w:rPr>
      </w:pPr>
      <w:r>
        <w:rPr>
          <w:noProof/>
        </w:rPr>
        <w:t>Déanfar faireachán, trí bhíthin táscairí, ar na hionchuir, na haschuir, na torthaí agus na tionchair uile a shainaithnítear sa mheasúnú tionchair a ghabhann leis an togra seo. Tá na táscairí sin ann cheana i gcás fhormhór na gcatagóirí. I gcás nach ann dóibh cheana, déanfar táscairí nua a fhorbairt chun a chur ar chumas EIT faireachán a dhéanamh ar ghnóthú a chuspóirí.</w:t>
      </w:r>
    </w:p>
    <w:p>
      <w:pPr>
        <w:rPr>
          <w:noProof/>
        </w:rPr>
      </w:pPr>
      <w:r>
        <w:rPr>
          <w:noProof/>
        </w:rPr>
        <w:t>I gcomhchéim agus i lánchomhlíontacht leis na huirlisí faireacháin atá ann cheana, déanfar ailíniú dlúth idir forálacha faireacháin EIT agus na cinn le haghaidh an chláir Fís Eorpach. Sampla de sin, go n</w:t>
      </w:r>
      <w:r>
        <w:rPr>
          <w:noProof/>
        </w:rPr>
        <w:noBreakHyphen/>
        <w:t>ailíneoidh EIT a chuid uirlisí faireacháin le Conairí Tionchair an chláir Fís Eorpach, Conairí Tionchair lena bhféachtar le freagairt ar dhóigh níos cuimsithí don riachtanas atá le táscairí le haghaidh tionchair eolaíocha, eacnamaíocha agus sochaíocha. Faireachán rialta a dhéanamh ar fheidhmíocht oibríochtúil na PENanna agus a chuid córas faireacháin agus tuairiscithe a athoiriúnú dá réir ar bhonn leanúnach, beidh sé sin ar cheann de fhreagrachtaí EIT. Tabharfar torthaí an fhaireacháin sin san áireamh i bpróisis pleanála gnó na PENanna agus i gcinnteoireacht EIT maidir le leithdháileadh an bhuiséid agus maidir le hullmhú na gcreatchomhaontuithe comhpháirtíochta arb iad na PENanna a dtairbhithe. Ba cheart torthaí an fhaireacháin a chur ar fáil go leanúnach lena dtabhairt san áireamh sa phróiseas déanta beartais.</w:t>
      </w:r>
    </w:p>
    <w:p>
      <w:pPr>
        <w:rPr>
          <w:noProof/>
          <w:szCs w:val="24"/>
        </w:rPr>
      </w:pPr>
      <w:r>
        <w:rPr>
          <w:noProof/>
          <w:color w:val="000000"/>
        </w:rPr>
        <w:t xml:space="preserve">Tabharfaidh EIT dá aire go géar gach a mbaineann le cur in úsáid mhodheolaíocht an Radair Nuálaíochta sa chlár Fís Eorpach, agus fiosróidh sé conas a d’fhéadfadh na PENanna breis acmhainne a bhaint as an Radar Nuálaíochta d’fhonn feabhas a chur ar a chuid gníomhaíochtaí faireacháin. </w:t>
      </w:r>
    </w:p>
    <w:p>
      <w:pPr>
        <w:pBdr>
          <w:top w:val="nil"/>
          <w:left w:val="nil"/>
          <w:bottom w:val="nil"/>
          <w:right w:val="nil"/>
          <w:between w:val="nil"/>
          <w:bar w:val="nil"/>
        </w:pBdr>
        <w:spacing w:before="0" w:after="0"/>
        <w:rPr>
          <w:rFonts w:eastAsia="Arial Unicode MS"/>
          <w:i/>
          <w:noProof/>
        </w:rPr>
      </w:pPr>
      <w:r>
        <w:rPr>
          <w:i/>
          <w:noProof/>
        </w:rPr>
        <w:t>Meastóireacht</w:t>
      </w:r>
    </w:p>
    <w:p>
      <w:pPr>
        <w:rPr>
          <w:noProof/>
        </w:rPr>
      </w:pPr>
      <w:r>
        <w:rPr>
          <w:noProof/>
        </w:rPr>
        <w:t>Déanfaidh an Coimisiún meastóireacht ar fheidhmíocht EIT agus déanfaidh sé sin de réir cheanglais an Rialacháin leasaithe maidir le EIT, agus tabharfar an mheastóireacht sin san áireamh sa mheastóireacht fhoriomlán ar an gclár Fís Eorpach, meastóireacht a dhéanfar leath bealaigh tríd an tréimhse agus ar chríochnú di. Mar chuid de sin, déanfar measúnú ar na sineirgí idir EIT agus ionstraimí eile an chláir.</w:t>
      </w:r>
    </w:p>
    <w:p>
      <w:pPr>
        <w:rPr>
          <w:noProof/>
        </w:rPr>
      </w:pPr>
      <w:r>
        <w:rPr>
          <w:noProof/>
        </w:rPr>
        <w:t>Maidir leis na PENanna, úsáidfear sainchreat táscairí chun measúnú a dhéanamh ar fheidhmíocht na PENanna ar feadh na chéad chlárthréimhse eile (tugtar mionsonraí faoi seo sa togra le haghaidh Clár Oibre Straitéiseach um Nuálaíocht nua). Baintear tairbhe sa chreat sin as táscairí atá ann agus as táscairí a bhíodh ann tráth, agus ceartaítear bearnaí nó uireasaí a aithníodh sa chóras tomhaiste feidhmíochta mar atá faoi láthair. Chomh maith leis sin, tá an creat sin ailínithe le creat táscairí an chláir Fís Eorpach.</w:t>
      </w:r>
    </w:p>
    <w:p>
      <w:pPr>
        <w:pStyle w:val="ManualHeading2"/>
        <w:rPr>
          <w:rFonts w:eastAsia="Arial Unicode MS"/>
          <w:noProof/>
          <w:u w:color="000000"/>
          <w:bdr w:val="nil"/>
        </w:rPr>
      </w:pPr>
      <w:r>
        <w:rPr>
          <w:noProof/>
        </w:rPr>
        <w:t>•</w:t>
      </w:r>
      <w:r>
        <w:rPr>
          <w:noProof/>
        </w:rPr>
        <w:tab/>
        <w:t>Míniúchán mionsonraithe ar fhorálacha sonracha an togra</w:t>
      </w:r>
    </w:p>
    <w:p>
      <w:pPr>
        <w:rPr>
          <w:noProof/>
        </w:rPr>
      </w:pPr>
      <w:r>
        <w:rPr>
          <w:noProof/>
        </w:rPr>
        <w:t>I gClár Oibre Straitéiseach um Nuálaíocht nua EIT le haghaidh 2021-2027, cuirtear béim ar leith ar ról EIT i ngnóthú chuspóirí an chláir Fís Eorpach, an clár réime de chuid an Aontais lena dtacaítear leis an taighde agus leis an nuálaíocht ar feadh na tréimhse sin</w:t>
      </w:r>
      <w:r>
        <w:rPr>
          <w:b/>
          <w:noProof/>
        </w:rPr>
        <w:t xml:space="preserve">. </w:t>
      </w:r>
      <w:r>
        <w:rPr>
          <w:noProof/>
        </w:rPr>
        <w:t>Sainaithnítear ann príomhbhuanna EIT, na cinn a bheidh ina mbonn ag a straitéis le haghaidh na todhchaí, mar aon leis na dúshláin shonracha agus na saincheisteanna sonracha a rachaidh an straitéis sin i ngleic leo. Thairis sin, soiléirítear in COSN ról EIT sa chlár Fís Eorpach agus leagtar amach a chomhlántacht le codanna éagsúla den chlár Fís Eorpach, go háirithe leis an gComhairle Nuálaíochta Eorpach.</w:t>
      </w:r>
    </w:p>
    <w:p>
      <w:pPr>
        <w:rPr>
          <w:noProof/>
        </w:rPr>
      </w:pPr>
      <w:r>
        <w:rPr>
          <w:noProof/>
        </w:rPr>
        <w:t>Tá in COSN freisin líon áirithe feabhsuithe ar shamhail EIT mar atá faoi láthair. Baineann siad leis an ailíniú leis na comhpháirtíochtaí Eorpacha faoin gclár Fís Eorpach agus lena rialacha rialaithe, le feabhsú na samhla reatha cistiúcháin mar a mhol Cúirt Iniúchóirí na hEorpa, agus le háireamh na féidearthachta d’EIT meabhráin chomhoibre a thabhairt i gcrích le PENanna d’fhonn sean-PENanna a choinneáil ina mbaill ghníomhacha de Phobal EIT tar éis theacht chun críche dá gcreatchomhaontuithe comhpháirtíochta.</w:t>
      </w:r>
    </w:p>
    <w:p>
      <w:pPr>
        <w:pBdr>
          <w:top w:val="nil"/>
          <w:left w:val="nil"/>
          <w:bottom w:val="nil"/>
          <w:right w:val="nil"/>
          <w:between w:val="nil"/>
          <w:bar w:val="nil"/>
        </w:pBdr>
        <w:spacing w:before="0" w:after="240"/>
        <w:rPr>
          <w:rFonts w:eastAsia="Arial Unicode MS"/>
          <w:noProof/>
        </w:rPr>
      </w:pPr>
      <w:r>
        <w:rPr>
          <w:noProof/>
        </w:rPr>
        <w:t>Tugtar soiléirithe sonracha in COSN ar phrionsabail a leagtar síos sa Rialachán maidir le EIT. Tugtar forléargas ann ar na hacmhainní airgeadais agus daonna a theastaíonn chun cuspóirí EIT a chur chun feidhme. Sainítear forálacha soiléire maidir le faireachán agus meastóireacht ann, agus lena linn sin tugtar san áireamh creat an chláir Fís Eorpach agus sainiúlachtaí EIT.</w:t>
      </w:r>
    </w:p>
    <w:p>
      <w:pPr>
        <w:pBdr>
          <w:top w:val="nil"/>
          <w:left w:val="nil"/>
          <w:bottom w:val="nil"/>
          <w:right w:val="nil"/>
          <w:between w:val="nil"/>
          <w:bar w:val="nil"/>
        </w:pBdr>
        <w:spacing w:before="0" w:after="240"/>
        <w:rPr>
          <w:noProof/>
        </w:rPr>
      </w:pPr>
      <w:r>
        <w:rPr>
          <w:noProof/>
          <w:color w:val="000000" w:themeColor="text1"/>
        </w:rPr>
        <w:t xml:space="preserve">De bhreis air sin, </w:t>
      </w:r>
      <w:r>
        <w:rPr>
          <w:noProof/>
        </w:rPr>
        <w:t>tugann COSN isteach cuspóirí soiléire maidir le gníomhaíocht nua um chomhordú agus thacaíocht a bhfuiltear lena lainseáil. Beidh an ghníomhaíocht nua sin ina taca chun cumas fiontraíochta agus nuálaíochta Institiúidí Ardoideachais Eorpacha a fhorbairt, thar a bhfuil i gceist leis na PENanna, chun a chur ar a gcumas comhtháthú ar dhóigh níos fearr le héiceachórais nuálaíochta áitiúla. Beidh Lipéad EIT ina chuid d’fhócas treisithe EIT ar an oideachas.</w:t>
      </w:r>
    </w:p>
    <w:p>
      <w:pPr>
        <w:pBdr>
          <w:top w:val="nil"/>
          <w:left w:val="nil"/>
          <w:bottom w:val="nil"/>
          <w:right w:val="nil"/>
          <w:between w:val="nil"/>
          <w:bar w:val="nil"/>
        </w:pBdr>
        <w:spacing w:before="0" w:after="240"/>
        <w:rPr>
          <w:noProof/>
          <w:color w:val="000000" w:themeColor="text1"/>
          <w:szCs w:val="24"/>
        </w:rPr>
      </w:pPr>
      <w:r>
        <w:rPr>
          <w:noProof/>
        </w:rPr>
        <w:t xml:space="preserve">Cuirfidh EIT béim láidir ar </w:t>
      </w:r>
      <w:r>
        <w:rPr>
          <w:noProof/>
          <w:color w:val="000000" w:themeColor="text1"/>
        </w:rPr>
        <w:t xml:space="preserve">ghníomhaíochtaí cothrománacha, cuiream i gcás dea-chleachtais a aithint, a chódú, a leathadh, agus gné na cumarsáide de sin, agus an comhar idirnáisiúnta. Rud eile a bheidh ina phríomhréimse gníomhaíochta ag EIT, leathnú agus </w:t>
      </w:r>
      <w:r>
        <w:rPr>
          <w:noProof/>
        </w:rPr>
        <w:t>láidriú a fhor-rochtana réigiúnaí tríd an Scéim Nuálaíochta Réigiúnach. Go háirithe, tabharfar deiseanna, tríd an Scéim Nuálaíochta Réigiúnach, do Bhallstáit a bhfuil a bhfeidhmíocht nuálaíochta ar leibhéal íseal agus éascófar rochtain dóibh ar PENanna EIT.</w:t>
      </w:r>
    </w:p>
    <w:p>
      <w:pPr>
        <w:pBdr>
          <w:top w:val="nil"/>
          <w:left w:val="nil"/>
          <w:bottom w:val="nil"/>
          <w:right w:val="nil"/>
          <w:between w:val="nil"/>
          <w:bar w:val="nil"/>
        </w:pBdr>
        <w:spacing w:before="0" w:after="240"/>
        <w:rPr>
          <w:rFonts w:eastAsia="Times New Roman"/>
          <w:noProof/>
          <w:szCs w:val="24"/>
        </w:rPr>
      </w:pPr>
      <w:r>
        <w:rPr>
          <w:noProof/>
          <w:color w:val="000000" w:themeColor="text1"/>
        </w:rPr>
        <w:t>In COSN, sainaithnítear na Tionscail Chultúir agus Chruthaitheachta mar réimse tosaíochta le haghaidh PEN nua a lainseálfaí glao ina leith in 2021. Tá sé beartaithe an dara glao i leith PEN nua a lainseáil in 2024 má leasaítear Iarscríbhinn I chun réimsí tosaíochta nua a áireamh</w:t>
      </w:r>
      <w:r>
        <w:rPr>
          <w:noProof/>
        </w:rPr>
        <w:t xml:space="preserve">. D’fhéadfaí réimsí tosaíochta eile a áireamh in COSN agus, dá éis sin, d’fhéadfaí tuilleadh glaonna i leith PENanna a lainseáil sa chás go mbeadh teacht amach anseo ar bhuiséad eile de bhreis ar bhuiséad EIT. </w:t>
      </w:r>
    </w:p>
    <w:p>
      <w:pPr>
        <w:rPr>
          <w:noProof/>
        </w:rPr>
      </w:pP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2019/0152 (COD)</w:t>
      </w:r>
    </w:p>
    <w:p>
      <w:pPr>
        <w:pStyle w:val="Statut"/>
        <w:rPr>
          <w:noProof/>
        </w:rPr>
      </w:pPr>
      <w:r>
        <w:rPr>
          <w:noProof/>
        </w:rPr>
        <w:t>Togra le haghaidh</w:t>
      </w:r>
    </w:p>
    <w:p>
      <w:pPr>
        <w:pStyle w:val="Typedudocument"/>
        <w:rPr>
          <w:noProof/>
        </w:rPr>
      </w:pPr>
      <w:r>
        <w:rPr>
          <w:noProof/>
        </w:rPr>
        <w:t>CINNEADH Ó PHARLAIMINT NA hEORPA AGUS ÓN gCOMHAIRLE</w:t>
      </w:r>
    </w:p>
    <w:p>
      <w:pPr>
        <w:pStyle w:val="Titreobjet"/>
        <w:rPr>
          <w:noProof/>
        </w:rPr>
      </w:pPr>
      <w:r>
        <w:rPr>
          <w:noProof/>
        </w:rPr>
        <w:t xml:space="preserve">maidir le Clár Oibre Straiteiseach um Nualaíocht na hInstitiúide Eorpaí </w:t>
      </w:r>
      <w:r>
        <w:rPr>
          <w:noProof/>
        </w:rPr>
        <w:br/>
        <w:t xml:space="preserve">um Nuálaíocht agus Teicneolaíocht (EIT) 2021-2027: </w:t>
      </w:r>
      <w:r>
        <w:rPr>
          <w:noProof/>
        </w:rPr>
        <w:br/>
        <w:t>Borradh a chur faoi Thallann Nuálaíochta agus faoi Chumas Nuálaíochta na hEorpa</w:t>
      </w:r>
    </w:p>
    <w:p>
      <w:pPr>
        <w:pStyle w:val="IntrtEEE"/>
        <w:rPr>
          <w:noProof/>
        </w:rPr>
      </w:pPr>
      <w:r>
        <w:rPr>
          <w:noProof/>
        </w:rPr>
        <w:t>(Téacs atá ábhartha maidir le LEE)</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173(3) de,</w:t>
      </w:r>
    </w:p>
    <w:p>
      <w:pPr>
        <w:rPr>
          <w:noProof/>
        </w:rPr>
      </w:pPr>
      <w:r>
        <w:rPr>
          <w:noProof/>
        </w:rPr>
        <w:t>Ag féachaint do Rialachán (CE) Uimh. 294/2008</w:t>
      </w:r>
      <w:r>
        <w:rPr>
          <w:rFonts w:ascii="Tahoma" w:hAnsi="Tahoma"/>
          <w:noProof/>
          <w:sz w:val="17"/>
        </w:rPr>
        <w:t xml:space="preserve"> </w:t>
      </w:r>
      <w:r>
        <w:rPr>
          <w:noProof/>
        </w:rPr>
        <w:t>ó Pharlaimint na hEorpa agus ón gComhairle an 11 Márta 2008 lena mbunaítear an Institiúid Eorpach um Nuálaíocht agus Teicneolaíocht</w:t>
      </w:r>
      <w:r>
        <w:rPr>
          <w:rStyle w:val="FootnoteReference"/>
          <w:noProof/>
        </w:rPr>
        <w:footnoteReference w:id="5"/>
      </w:r>
      <w:r>
        <w:rPr>
          <w:noProof/>
        </w:rPr>
        <w:t>, agus go háirithe Airteagal 17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p>
    <w:p>
      <w:pPr>
        <w:rPr>
          <w:noProof/>
        </w:rPr>
      </w:pPr>
      <w:r>
        <w:rPr>
          <w:noProof/>
        </w:rPr>
        <w:t>Ag gníomhú dóibh i gcomhréir leis an ngnáthnós imeachta reachtach,</w:t>
      </w:r>
    </w:p>
    <w:p>
      <w:pPr>
        <w:rPr>
          <w:noProof/>
        </w:rPr>
      </w:pPr>
      <w:r>
        <w:rPr>
          <w:noProof/>
        </w:rPr>
        <w:t>De bharr an méid seo a leanas:</w:t>
      </w:r>
    </w:p>
    <w:p>
      <w:pPr>
        <w:pStyle w:val="ManualConsidrant"/>
        <w:rPr>
          <w:noProof/>
        </w:rPr>
      </w:pPr>
      <w:r>
        <w:t>(1)</w:t>
      </w:r>
      <w:r>
        <w:tab/>
      </w:r>
      <w:r>
        <w:rPr>
          <w:noProof/>
        </w:rPr>
        <w:t>Déantar foráil, i Rialachán (CE) Uimh. 294/2008,</w:t>
      </w:r>
      <w:r>
        <w:rPr>
          <w:rFonts w:ascii="Tahoma" w:hAnsi="Tahoma"/>
          <w:noProof/>
          <w:sz w:val="17"/>
        </w:rPr>
        <w:t xml:space="preserve"> </w:t>
      </w:r>
      <w:r>
        <w:rPr>
          <w:noProof/>
        </w:rPr>
        <w:t>maidir le Clár Oibre Straitéiseach um Nuálaíocht (“COSN”) a ghlacadh.</w:t>
      </w:r>
    </w:p>
    <w:p>
      <w:pPr>
        <w:pStyle w:val="ManualConsidrant"/>
        <w:rPr>
          <w:noProof/>
        </w:rPr>
      </w:pPr>
      <w:r>
        <w:t>(2)</w:t>
      </w:r>
      <w:r>
        <w:tab/>
      </w:r>
      <w:r>
        <w:rPr>
          <w:noProof/>
        </w:rPr>
        <w:t>Ba cheart na réimsí tosaíochta agus an straitéis fhadtéarmach le haghaidh na hInstitiúide Eorpaí um Nuálaíocht agus Teicneolaíocht (“COSN”) a shainiú in COSN, agus ba cheart a áireamh ann freisin measúnú ar a thionchar socheacnamaíoch agus ar a chumas maidir leis an mbreisluach nuálaíochta is fearr a ghiniúint. Ba cheart torthaí an fhaireacháin agus na meastóireachta ar EIT a thabhairt san áireamh in COSN.</w:t>
      </w:r>
    </w:p>
    <w:p>
      <w:pPr>
        <w:pStyle w:val="ManualConsidrant"/>
        <w:rPr>
          <w:noProof/>
        </w:rPr>
      </w:pPr>
      <w:r>
        <w:t>(3)</w:t>
      </w:r>
      <w:r>
        <w:tab/>
      </w:r>
      <w:r>
        <w:rPr>
          <w:noProof/>
        </w:rPr>
        <w:t>Ba cheart a áireamh, in COSN, anailís ar shineirgí agus ar chomhlántachtaí iomchuí a d’fhéadfaí a dhéanamh idir gníomhaíochtaí EIT agus tionscnaimh, ionstraimí agus cláir eile de chuid an Aontais.</w:t>
      </w:r>
    </w:p>
    <w:p>
      <w:pPr>
        <w:pStyle w:val="Formuledadoption"/>
        <w:rPr>
          <w:noProof/>
        </w:rPr>
      </w:pPr>
      <w:r>
        <w:rPr>
          <w:noProof/>
        </w:rPr>
        <w:t xml:space="preserve">TAR ÉIS AN CINNEADH SEO A GHLACADH: </w:t>
      </w:r>
    </w:p>
    <w:p>
      <w:pPr>
        <w:pStyle w:val="Titrearticle"/>
        <w:rPr>
          <w:noProof/>
        </w:rPr>
      </w:pPr>
      <w:r>
        <w:rPr>
          <w:noProof/>
        </w:rPr>
        <w:t>Airteagal 1</w:t>
      </w:r>
    </w:p>
    <w:p>
      <w:pPr>
        <w:rPr>
          <w:noProof/>
        </w:rPr>
      </w:pPr>
      <w:r>
        <w:rPr>
          <w:noProof/>
        </w:rPr>
        <w:t>Glactar leis seo Clár Oibre Straitéiseach um Nuálaíocht na hInstitiúide Eorpaí um Nuálaíocht agus Teicneolaíocht i gcomhair na tréimhse ó 2021 go 2027 mar a leagtar amach san Iarscríbhinn.</w:t>
      </w:r>
    </w:p>
    <w:p>
      <w:pPr>
        <w:pStyle w:val="Titrearticle"/>
        <w:rPr>
          <w:noProof/>
        </w:rPr>
      </w:pPr>
      <w:r>
        <w:rPr>
          <w:noProof/>
        </w:rPr>
        <w:t>Airteagal 2</w:t>
      </w:r>
    </w:p>
    <w:p>
      <w:pPr>
        <w:rPr>
          <w:noProof/>
        </w:rPr>
      </w:pPr>
      <w:r>
        <w:rPr>
          <w:noProof/>
        </w:rPr>
        <w:t>Cuirfear COSN chun feidhme i gcomhréir le Rialachán (AE) Uimh. </w:t>
      </w:r>
      <w:r>
        <w:t xml:space="preserve"> maidir leis an</w:t>
      </w:r>
      <w:r>
        <w:rPr>
          <w:noProof/>
        </w:rPr>
        <w:t xml:space="preserve"> Institiúid Eorpach um Nuálaíocht agus Teicneolaíocht</w:t>
      </w:r>
      <w:r>
        <w:rPr>
          <w:rStyle w:val="FootnoteReference"/>
          <w:noProof/>
        </w:rPr>
        <w:footnoteReference w:id="6"/>
      </w:r>
      <w:r>
        <w:t>.</w:t>
      </w:r>
    </w:p>
    <w:p>
      <w:pPr>
        <w:pStyle w:val="Titrearticle"/>
        <w:rPr>
          <w:noProof/>
        </w:rPr>
      </w:pPr>
      <w:r>
        <w:rPr>
          <w:noProof/>
        </w:rPr>
        <w:t>Airteagal 3</w:t>
      </w:r>
    </w:p>
    <w:p>
      <w:pPr>
        <w:keepNext/>
        <w:keepLines/>
        <w:rPr>
          <w:noProof/>
        </w:rPr>
      </w:pPr>
      <w:r>
        <w:rPr>
          <w:noProof/>
        </w:rPr>
        <w:t>Tiocfaidh an Cinneadh seo i bhfeidhm an […] lá tar éis lá a fhoilsithe in Iris Oifigiúil an Aontais Eorpaigh.</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p>
      <w:pPr>
        <w:rPr>
          <w:noProof/>
        </w:rPr>
        <w:sectPr>
          <w:pgSz w:w="11907" w:h="16839"/>
          <w:pgMar w:top="1134" w:right="1417" w:bottom="1134" w:left="1417" w:header="709" w:footer="709" w:gutter="0"/>
          <w:cols w:space="708"/>
          <w:docGrid w:linePitch="360"/>
        </w:sectPr>
      </w:pPr>
    </w:p>
    <w:p>
      <w:pPr>
        <w:pStyle w:val="Fichefinanciretitre"/>
        <w:rPr>
          <w:noProof/>
        </w:rPr>
      </w:pPr>
      <w:bookmarkStart w:id="2" w:name="_Toc514941970"/>
      <w:r>
        <w:rPr>
          <w:noProof/>
        </w:rPr>
        <w:t>RÁITEAS AIRGEADAIS REACHTACH</w:t>
      </w:r>
      <w:bookmarkEnd w:id="2"/>
    </w:p>
    <w:p>
      <w:pPr>
        <w:keepNext/>
        <w:tabs>
          <w:tab w:val="left" w:pos="850"/>
        </w:tabs>
        <w:spacing w:before="360"/>
        <w:ind w:left="850" w:hanging="850"/>
        <w:outlineLvl w:val="0"/>
        <w:rPr>
          <w:rFonts w:eastAsia="Calibri"/>
          <w:b/>
          <w:smallCaps/>
          <w:noProof/>
        </w:rPr>
      </w:pPr>
      <w:r>
        <w:rPr>
          <w:b/>
          <w:smallCaps/>
          <w:noProof/>
        </w:rPr>
        <w:t xml:space="preserve">1. </w:t>
      </w:r>
      <w:r>
        <w:rPr>
          <w:noProof/>
        </w:rPr>
        <w:tab/>
      </w:r>
      <w:r>
        <w:rPr>
          <w:b/>
          <w:smallCaps/>
          <w:noProof/>
        </w:rPr>
        <w:t xml:space="preserve">LEAGAN AMACH AN TOGRA/TIONSCNAIMH </w:t>
      </w:r>
    </w:p>
    <w:p>
      <w:pPr>
        <w:keepNext/>
        <w:tabs>
          <w:tab w:val="left" w:pos="850"/>
        </w:tabs>
        <w:ind w:left="850" w:hanging="850"/>
        <w:outlineLvl w:val="1"/>
        <w:rPr>
          <w:rFonts w:eastAsia="Calibri"/>
          <w:noProof/>
        </w:rPr>
      </w:pPr>
      <w:r>
        <w:rPr>
          <w:noProof/>
        </w:rPr>
        <w:t>1.1.</w:t>
      </w:r>
      <w:r>
        <w:rPr>
          <w:noProof/>
        </w:rPr>
        <w:tab/>
        <w:t>Teideal an togra/tionscnaimh</w:t>
      </w:r>
    </w:p>
    <w:p>
      <w:pPr>
        <w:keepNext/>
        <w:tabs>
          <w:tab w:val="left" w:pos="850"/>
        </w:tabs>
        <w:ind w:left="850" w:hanging="850"/>
        <w:outlineLvl w:val="1"/>
        <w:rPr>
          <w:rFonts w:eastAsia="Calibri"/>
          <w:noProof/>
        </w:rPr>
      </w:pPr>
      <w:r>
        <w:rPr>
          <w:noProof/>
        </w:rPr>
        <w:t>1.2.</w:t>
      </w:r>
      <w:r>
        <w:rPr>
          <w:noProof/>
        </w:rPr>
        <w:tab/>
        <w:t>Réimsí beartais lena mbaineann (Cnuasach cláir)</w:t>
      </w:r>
    </w:p>
    <w:p>
      <w:pPr>
        <w:keepNext/>
        <w:tabs>
          <w:tab w:val="left" w:pos="850"/>
        </w:tabs>
        <w:ind w:left="850" w:hanging="850"/>
        <w:outlineLvl w:val="1"/>
        <w:rPr>
          <w:rFonts w:eastAsia="Calibri"/>
          <w:noProof/>
        </w:rPr>
      </w:pPr>
      <w:r>
        <w:rPr>
          <w:noProof/>
        </w:rPr>
        <w:t>1.3.</w:t>
      </w:r>
      <w:r>
        <w:rPr>
          <w:noProof/>
        </w:rPr>
        <w:tab/>
        <w:t>Baineann an togra/tionscnamh le:</w:t>
      </w:r>
    </w:p>
    <w:p>
      <w:pPr>
        <w:keepNext/>
        <w:tabs>
          <w:tab w:val="left" w:pos="850"/>
        </w:tabs>
        <w:ind w:left="850" w:hanging="850"/>
        <w:outlineLvl w:val="1"/>
        <w:rPr>
          <w:rFonts w:eastAsia="Calibri"/>
          <w:noProof/>
        </w:rPr>
      </w:pPr>
      <w:r>
        <w:rPr>
          <w:noProof/>
        </w:rPr>
        <w:t>1.4.</w:t>
      </w:r>
      <w:r>
        <w:rPr>
          <w:noProof/>
        </w:rPr>
        <w:tab/>
        <w:t>Forais an togra/tionscnaimh</w:t>
      </w:r>
    </w:p>
    <w:p>
      <w:pPr>
        <w:keepNext/>
        <w:tabs>
          <w:tab w:val="left" w:pos="850"/>
        </w:tabs>
        <w:ind w:left="850" w:hanging="850"/>
        <w:outlineLvl w:val="1"/>
        <w:rPr>
          <w:rFonts w:eastAsia="Calibri"/>
          <w:i/>
          <w:noProof/>
        </w:rPr>
      </w:pPr>
      <w:r>
        <w:rPr>
          <w:i/>
          <w:noProof/>
        </w:rPr>
        <w:t>1.4.1.</w:t>
      </w:r>
      <w:r>
        <w:rPr>
          <w:noProof/>
        </w:rPr>
        <w:tab/>
      </w:r>
      <w:r>
        <w:rPr>
          <w:i/>
          <w:noProof/>
        </w:rPr>
        <w:t>Na ceanglais is gá a chomhlíonadh sa ghearrthéarma nó san fhadtéarma, lena n</w:t>
      </w:r>
      <w:r>
        <w:rPr>
          <w:i/>
          <w:noProof/>
        </w:rPr>
        <w:noBreakHyphen/>
        <w:t>áirítear amlíne mhionsonraithe maidir le cur chun feidhme céimneach an tionscnaimh</w:t>
      </w:r>
    </w:p>
    <w:p>
      <w:pPr>
        <w:keepNext/>
        <w:tabs>
          <w:tab w:val="left" w:pos="850"/>
        </w:tabs>
        <w:ind w:left="850" w:hanging="850"/>
        <w:outlineLvl w:val="1"/>
        <w:rPr>
          <w:rFonts w:eastAsia="Calibri"/>
          <w:i/>
          <w:noProof/>
        </w:rPr>
      </w:pPr>
      <w:r>
        <w:rPr>
          <w:i/>
          <w:noProof/>
        </w:rPr>
        <w:t>1.4.2.</w:t>
      </w:r>
      <w:r>
        <w:rPr>
          <w:noProof/>
        </w:rPr>
        <w:tab/>
      </w:r>
      <w:r>
        <w:rPr>
          <w:i/>
          <w:noProof/>
        </w:rPr>
        <w:t>Breisluach a bhaineann le rannpháirteachas an Aontais (d’fhéadfadh an breisluach a bheith ann mar thoradh ar fhachtóirí éagsúla, e.g. gnóthachain de thoradh comhordú, deimhneacht dhlíthiúil, éifeachtacht mhéadaithe nó comhlántachtaí). Chun críocha an phointe seo, is é“breisluach a bhaineann le rannpháirteachas AE” an luach a bhíonn mar thoradh ar idirghabháil ón Aontas ar luach é atá sa bhreis ar an luach a bheadh ann dá mbeadh na Ballstáit ag feidhmiú astu féin</w:t>
      </w:r>
    </w:p>
    <w:p>
      <w:pPr>
        <w:keepNext/>
        <w:tabs>
          <w:tab w:val="left" w:pos="850"/>
        </w:tabs>
        <w:ind w:left="850" w:hanging="850"/>
        <w:outlineLvl w:val="1"/>
        <w:rPr>
          <w:rFonts w:eastAsia="Calibri"/>
          <w:i/>
          <w:noProof/>
        </w:rPr>
      </w:pPr>
      <w:r>
        <w:rPr>
          <w:i/>
          <w:noProof/>
        </w:rPr>
        <w:t>1.4.3.</w:t>
      </w:r>
      <w:r>
        <w:rPr>
          <w:noProof/>
        </w:rPr>
        <w:tab/>
      </w:r>
      <w:r>
        <w:rPr>
          <w:i/>
          <w:noProof/>
        </w:rPr>
        <w:t>Ceachtanna a foghlaimíodh ó thaithí eile den sórt sin san am a chuaigh thart</w:t>
      </w:r>
    </w:p>
    <w:p>
      <w:pPr>
        <w:keepNext/>
        <w:tabs>
          <w:tab w:val="left" w:pos="850"/>
        </w:tabs>
        <w:ind w:left="850" w:hanging="850"/>
        <w:outlineLvl w:val="1"/>
        <w:rPr>
          <w:rFonts w:eastAsia="Calibri"/>
          <w:i/>
          <w:noProof/>
        </w:rPr>
      </w:pPr>
      <w:r>
        <w:rPr>
          <w:i/>
          <w:noProof/>
        </w:rPr>
        <w:t>1.4.4.</w:t>
      </w:r>
      <w:r>
        <w:rPr>
          <w:noProof/>
        </w:rPr>
        <w:tab/>
      </w:r>
      <w:r>
        <w:rPr>
          <w:i/>
          <w:noProof/>
        </w:rPr>
        <w:t>Comhoiriúnacht d'ionstraimí iomchuí eile agus sineirgíocht a d'fhéadfadh a bheith ann</w:t>
      </w:r>
    </w:p>
    <w:p>
      <w:pPr>
        <w:keepNext/>
        <w:tabs>
          <w:tab w:val="left" w:pos="850"/>
        </w:tabs>
        <w:ind w:left="850" w:hanging="850"/>
        <w:outlineLvl w:val="1"/>
        <w:rPr>
          <w:rFonts w:eastAsia="Calibri"/>
          <w:noProof/>
        </w:rPr>
      </w:pPr>
      <w:r>
        <w:rPr>
          <w:noProof/>
        </w:rPr>
        <w:t>1.5.</w:t>
      </w:r>
      <w:r>
        <w:rPr>
          <w:noProof/>
        </w:rPr>
        <w:tab/>
        <w:t>Fad agus tionchar airgeadais</w:t>
      </w:r>
    </w:p>
    <w:p>
      <w:pPr>
        <w:keepNext/>
        <w:tabs>
          <w:tab w:val="left" w:pos="850"/>
        </w:tabs>
        <w:ind w:left="850" w:hanging="850"/>
        <w:outlineLvl w:val="1"/>
        <w:rPr>
          <w:rFonts w:eastAsia="Calibri"/>
          <w:noProof/>
        </w:rPr>
      </w:pPr>
      <w:r>
        <w:rPr>
          <w:noProof/>
        </w:rPr>
        <w:t>1.6.</w:t>
      </w:r>
      <w:r>
        <w:rPr>
          <w:noProof/>
        </w:rPr>
        <w:tab/>
        <w:t>Modhanna bainistíochta atá beartaithe</w:t>
      </w:r>
    </w:p>
    <w:p>
      <w:pPr>
        <w:keepNext/>
        <w:tabs>
          <w:tab w:val="left" w:pos="850"/>
        </w:tabs>
        <w:ind w:left="850" w:hanging="850"/>
        <w:outlineLvl w:val="1"/>
        <w:rPr>
          <w:rFonts w:eastAsia="Calibri"/>
          <w:noProof/>
        </w:rPr>
      </w:pPr>
      <w:r>
        <w:rPr>
          <w:noProof/>
        </w:rPr>
        <w:t>1.7.</w:t>
      </w:r>
      <w:r>
        <w:rPr>
          <w:noProof/>
        </w:rPr>
        <w:tab/>
        <w:t>Modhanna bainistíochta atá beartaithe</w:t>
      </w:r>
    </w:p>
    <w:p>
      <w:pPr>
        <w:keepNext/>
        <w:tabs>
          <w:tab w:val="left" w:pos="850"/>
        </w:tabs>
        <w:spacing w:before="360"/>
        <w:ind w:left="850" w:hanging="850"/>
        <w:outlineLvl w:val="0"/>
        <w:rPr>
          <w:rFonts w:eastAsia="Calibri"/>
          <w:b/>
          <w:smallCaps/>
          <w:noProof/>
        </w:rPr>
      </w:pPr>
      <w:r>
        <w:rPr>
          <w:b/>
          <w:smallCaps/>
          <w:noProof/>
        </w:rPr>
        <w:t>2.</w:t>
      </w:r>
      <w:r>
        <w:rPr>
          <w:noProof/>
        </w:rPr>
        <w:tab/>
      </w:r>
      <w:r>
        <w:rPr>
          <w:b/>
          <w:smallCaps/>
          <w:noProof/>
        </w:rPr>
        <w:t xml:space="preserve">BEARTA BAINISTÍOCHTA </w:t>
      </w:r>
    </w:p>
    <w:p>
      <w:pPr>
        <w:keepNext/>
        <w:tabs>
          <w:tab w:val="left" w:pos="850"/>
        </w:tabs>
        <w:ind w:left="850" w:hanging="850"/>
        <w:outlineLvl w:val="1"/>
        <w:rPr>
          <w:rFonts w:eastAsia="Calibri"/>
          <w:noProof/>
        </w:rPr>
      </w:pPr>
      <w:r>
        <w:rPr>
          <w:noProof/>
        </w:rPr>
        <w:tab/>
        <w:t>2.1.</w:t>
      </w:r>
      <w:r>
        <w:rPr>
          <w:noProof/>
        </w:rPr>
        <w:tab/>
        <w:t>Rialacha faireacháin agus tuairiscithe</w:t>
      </w:r>
    </w:p>
    <w:p>
      <w:pPr>
        <w:keepNext/>
        <w:tabs>
          <w:tab w:val="left" w:pos="850"/>
        </w:tabs>
        <w:ind w:left="850" w:hanging="850"/>
        <w:outlineLvl w:val="1"/>
        <w:rPr>
          <w:rFonts w:eastAsia="Calibri"/>
          <w:noProof/>
        </w:rPr>
      </w:pPr>
      <w:r>
        <w:rPr>
          <w:noProof/>
        </w:rPr>
        <w:tab/>
        <w:t>2.2.</w:t>
      </w:r>
      <w:r>
        <w:rPr>
          <w:noProof/>
        </w:rPr>
        <w:tab/>
        <w:t>Córas bainistíochta agus rialaithe</w:t>
      </w:r>
    </w:p>
    <w:p>
      <w:pPr>
        <w:keepNext/>
        <w:ind w:left="851" w:hanging="851"/>
        <w:outlineLvl w:val="1"/>
        <w:rPr>
          <w:rFonts w:eastAsia="Calibri"/>
          <w:i/>
          <w:noProof/>
        </w:rPr>
      </w:pPr>
      <w:r>
        <w:rPr>
          <w:noProof/>
        </w:rPr>
        <w:tab/>
      </w:r>
      <w:r>
        <w:rPr>
          <w:i/>
          <w:noProof/>
        </w:rPr>
        <w:t>2.2.1.</w:t>
      </w:r>
      <w:r>
        <w:rPr>
          <w:noProof/>
        </w:rPr>
        <w:tab/>
      </w:r>
      <w:r>
        <w:rPr>
          <w:i/>
          <w:noProof/>
        </w:rPr>
        <w:t>An bonn cirt atá leis na modhanna bainistíochta, le sásraí cur chun feidhme an mhaoinithe, leis na coinníollacha íocaíochta agus leis an straitéis rialaithe atá beartaithe</w:t>
      </w:r>
    </w:p>
    <w:p>
      <w:pPr>
        <w:keepNext/>
        <w:tabs>
          <w:tab w:val="left" w:pos="850"/>
        </w:tabs>
        <w:ind w:left="850" w:hanging="850"/>
        <w:outlineLvl w:val="1"/>
        <w:rPr>
          <w:rFonts w:eastAsia="Calibri"/>
          <w:i/>
          <w:noProof/>
        </w:rPr>
      </w:pPr>
      <w:r>
        <w:rPr>
          <w:noProof/>
        </w:rPr>
        <w:tab/>
      </w:r>
      <w:r>
        <w:rPr>
          <w:i/>
          <w:noProof/>
        </w:rPr>
        <w:t>2.2.2.</w:t>
      </w:r>
      <w:r>
        <w:rPr>
          <w:noProof/>
        </w:rPr>
        <w:tab/>
      </w:r>
      <w:r>
        <w:rPr>
          <w:i/>
          <w:noProof/>
        </w:rPr>
        <w:t>Faisnéis faoi na rioscaí a aithníodh agus na córais rialaithe inmheánacha a cuireadh ar bun chun na rioscaí a mhaolú</w:t>
      </w:r>
    </w:p>
    <w:p>
      <w:pPr>
        <w:keepNext/>
        <w:tabs>
          <w:tab w:val="left" w:pos="850"/>
        </w:tabs>
        <w:ind w:left="850" w:hanging="850"/>
        <w:outlineLvl w:val="1"/>
        <w:rPr>
          <w:rFonts w:eastAsia="Calibri"/>
          <w:i/>
          <w:noProof/>
        </w:rPr>
      </w:pPr>
      <w:r>
        <w:rPr>
          <w:noProof/>
        </w:rPr>
        <w:tab/>
      </w:r>
      <w:r>
        <w:rPr>
          <w:i/>
          <w:noProof/>
        </w:rPr>
        <w:t>2.2.3.</w:t>
      </w:r>
      <w:r>
        <w:rPr>
          <w:noProof/>
        </w:rPr>
        <w:tab/>
      </w:r>
      <w:r>
        <w:rPr>
          <w:i/>
          <w:noProof/>
        </w:rPr>
        <w:t>Meastachán ar chost-éifeachtúlacht na rialuithe agus an bonn cirt atá leis sin (cóimheas “costais rialaithe ÷ luach na gcistí gaolmhara arna mbainistiú”) agus measúnú ar an leibhéal riosca earráide a mheastar a bheidh ann (tráth an íocaíocht a dhéanamh agus tráth an clár a dhúnadh)</w:t>
      </w:r>
    </w:p>
    <w:p>
      <w:pPr>
        <w:keepNext/>
        <w:tabs>
          <w:tab w:val="left" w:pos="850"/>
        </w:tabs>
        <w:ind w:left="850" w:hanging="850"/>
        <w:outlineLvl w:val="1"/>
        <w:rPr>
          <w:rFonts w:eastAsia="Calibri"/>
          <w:noProof/>
        </w:rPr>
      </w:pPr>
      <w:r>
        <w:rPr>
          <w:noProof/>
        </w:rPr>
        <w:tab/>
        <w:t>2.3.</w:t>
      </w:r>
      <w:r>
        <w:rPr>
          <w:noProof/>
        </w:rPr>
        <w:tab/>
        <w:t>Bearta chun calaois agus neamhrialtachtaí a chosc</w:t>
      </w:r>
    </w:p>
    <w:p>
      <w:pPr>
        <w:keepNext/>
        <w:tabs>
          <w:tab w:val="left" w:pos="850"/>
        </w:tabs>
        <w:spacing w:before="360"/>
        <w:ind w:left="850" w:hanging="850"/>
        <w:outlineLvl w:val="0"/>
        <w:rPr>
          <w:rFonts w:eastAsia="Calibri"/>
          <w:b/>
          <w:smallCaps/>
          <w:noProof/>
        </w:rPr>
      </w:pPr>
      <w:r>
        <w:rPr>
          <w:b/>
          <w:smallCaps/>
          <w:noProof/>
        </w:rPr>
        <w:t>3.</w:t>
      </w:r>
      <w:r>
        <w:rPr>
          <w:noProof/>
        </w:rPr>
        <w:tab/>
      </w:r>
      <w:r>
        <w:rPr>
          <w:b/>
          <w:smallCaps/>
          <w:noProof/>
        </w:rPr>
        <w:t xml:space="preserve">AN TIONCHAR AIRGEADAIS A MHEASTAR A BHEIDH AG AN TOGRA/TIONSCNAMH </w:t>
      </w:r>
    </w:p>
    <w:p>
      <w:pPr>
        <w:keepNext/>
        <w:tabs>
          <w:tab w:val="left" w:pos="850"/>
        </w:tabs>
        <w:ind w:left="850" w:hanging="850"/>
        <w:outlineLvl w:val="1"/>
        <w:rPr>
          <w:rFonts w:eastAsia="Calibri"/>
          <w:noProof/>
        </w:rPr>
      </w:pPr>
      <w:r>
        <w:rPr>
          <w:noProof/>
        </w:rPr>
        <w:tab/>
        <w:t>3.1.</w:t>
      </w:r>
      <w:r>
        <w:rPr>
          <w:noProof/>
        </w:rPr>
        <w:tab/>
        <w:t>Ceannteideal an chreata airgeadais ilbhliantúil agus na línte buiséid nua arna mbeartú</w:t>
      </w:r>
    </w:p>
    <w:p>
      <w:pPr>
        <w:keepNext/>
        <w:tabs>
          <w:tab w:val="left" w:pos="850"/>
        </w:tabs>
        <w:ind w:left="850" w:hanging="850"/>
        <w:outlineLvl w:val="1"/>
        <w:rPr>
          <w:rFonts w:eastAsia="Calibri"/>
          <w:b/>
          <w:noProof/>
        </w:rPr>
      </w:pPr>
      <w:r>
        <w:rPr>
          <w:noProof/>
        </w:rPr>
        <w:tab/>
        <w:t>3.2.</w:t>
      </w:r>
      <w:r>
        <w:rPr>
          <w:noProof/>
        </w:rPr>
        <w:tab/>
        <w:t>An tionchar a mheastar a bheidh ag an togra/tionscnamh ar chaiteachas</w:t>
      </w:r>
    </w:p>
    <w:p>
      <w:pPr>
        <w:keepNext/>
        <w:tabs>
          <w:tab w:val="left" w:pos="850"/>
        </w:tabs>
        <w:ind w:left="850" w:hanging="850"/>
        <w:outlineLvl w:val="2"/>
        <w:rPr>
          <w:rFonts w:eastAsia="Calibri"/>
          <w:i/>
          <w:noProof/>
        </w:rPr>
      </w:pPr>
      <w:r>
        <w:rPr>
          <w:noProof/>
        </w:rPr>
        <w:tab/>
      </w:r>
      <w:r>
        <w:rPr>
          <w:i/>
          <w:noProof/>
        </w:rPr>
        <w:t>3.2.1.</w:t>
      </w:r>
      <w:r>
        <w:rPr>
          <w:noProof/>
        </w:rPr>
        <w:tab/>
      </w:r>
      <w:r>
        <w:rPr>
          <w:i/>
          <w:noProof/>
        </w:rPr>
        <w:t>Achoimre ar an tionchar a mheastar a bheidh ag an togra/tionscnamh ar chaiteachas</w:t>
      </w:r>
    </w:p>
    <w:p>
      <w:pPr>
        <w:keepNext/>
        <w:tabs>
          <w:tab w:val="left" w:pos="850"/>
        </w:tabs>
        <w:ind w:left="850" w:hanging="850"/>
        <w:outlineLvl w:val="2"/>
        <w:rPr>
          <w:rFonts w:eastAsia="Calibri"/>
          <w:i/>
          <w:noProof/>
        </w:rPr>
      </w:pPr>
      <w:r>
        <w:rPr>
          <w:noProof/>
        </w:rPr>
        <w:tab/>
      </w:r>
      <w:r>
        <w:rPr>
          <w:i/>
          <w:noProof/>
        </w:rPr>
        <w:t>3.2.2.</w:t>
      </w:r>
      <w:r>
        <w:rPr>
          <w:noProof/>
        </w:rPr>
        <w:tab/>
      </w:r>
      <w:r>
        <w:rPr>
          <w:i/>
          <w:noProof/>
        </w:rPr>
        <w:t>Achoimre ar an tionchar a mheastar a bheidh ag an togra/tionscnamh ar leithreasuithe de chineál riaracháin</w:t>
      </w:r>
    </w:p>
    <w:p>
      <w:pPr>
        <w:keepNext/>
        <w:tabs>
          <w:tab w:val="left" w:pos="850"/>
        </w:tabs>
        <w:ind w:left="850" w:hanging="850"/>
        <w:outlineLvl w:val="2"/>
        <w:rPr>
          <w:rFonts w:eastAsia="Calibri"/>
          <w:i/>
          <w:noProof/>
        </w:rPr>
      </w:pPr>
      <w:r>
        <w:rPr>
          <w:noProof/>
        </w:rPr>
        <w:tab/>
      </w:r>
      <w:r>
        <w:rPr>
          <w:i/>
          <w:noProof/>
        </w:rPr>
        <w:t>3.2.3.</w:t>
      </w:r>
      <w:r>
        <w:rPr>
          <w:noProof/>
        </w:rPr>
        <w:tab/>
      </w:r>
      <w:r>
        <w:rPr>
          <w:i/>
          <w:noProof/>
        </w:rPr>
        <w:t>Ranníocaíochtaí ó thríú páirtithe</w:t>
      </w:r>
    </w:p>
    <w:p>
      <w:pPr>
        <w:keepNext/>
        <w:tabs>
          <w:tab w:val="left" w:pos="850"/>
        </w:tabs>
        <w:ind w:left="850" w:hanging="850"/>
        <w:jc w:val="left"/>
        <w:outlineLvl w:val="1"/>
        <w:rPr>
          <w:rFonts w:eastAsia="Calibri"/>
          <w:noProof/>
        </w:rPr>
      </w:pPr>
      <w:r>
        <w:rPr>
          <w:noProof/>
        </w:rPr>
        <w:tab/>
        <w:t>3.3.</w:t>
      </w:r>
      <w:r>
        <w:rPr>
          <w:noProof/>
        </w:rPr>
        <w:tab/>
        <w:t>An tionchar a mheastar a bheidh ar ioncam</w:t>
      </w:r>
    </w:p>
    <w:p>
      <w:pPr>
        <w:keepNext/>
        <w:tabs>
          <w:tab w:val="left" w:pos="850"/>
        </w:tabs>
        <w:jc w:val="left"/>
        <w:outlineLvl w:val="1"/>
        <w:rPr>
          <w:rFonts w:eastAsia="Calibri"/>
          <w:noProof/>
        </w:rPr>
        <w:sectPr>
          <w:pgSz w:w="11907" w:h="16840" w:code="9"/>
          <w:pgMar w:top="1134" w:right="1418" w:bottom="1134" w:left="1418" w:header="709" w:footer="709" w:gutter="0"/>
          <w:cols w:space="708"/>
          <w:docGrid w:linePitch="360"/>
        </w:sectPr>
      </w:pPr>
    </w:p>
    <w:p>
      <w:pPr>
        <w:jc w:val="center"/>
        <w:rPr>
          <w:rFonts w:eastAsia="Calibri"/>
          <w:b/>
          <w:noProof/>
          <w:u w:val="single"/>
        </w:rPr>
      </w:pPr>
      <w:r>
        <w:rPr>
          <w:b/>
          <w:noProof/>
          <w:u w:val="single"/>
        </w:rPr>
        <w:t xml:space="preserve">RÁITEAS AIRGEADAIS REACHTACH </w:t>
      </w:r>
    </w:p>
    <w:p>
      <w:pPr>
        <w:keepNext/>
        <w:tabs>
          <w:tab w:val="left" w:pos="850"/>
        </w:tabs>
        <w:spacing w:before="360"/>
        <w:ind w:left="850" w:hanging="850"/>
        <w:outlineLvl w:val="0"/>
        <w:rPr>
          <w:rFonts w:eastAsia="Calibri"/>
          <w:b/>
          <w:smallCaps/>
          <w:noProof/>
        </w:rPr>
      </w:pPr>
      <w:bookmarkStart w:id="3" w:name="_Toc514941973"/>
      <w:r>
        <w:rPr>
          <w:b/>
          <w:smallCaps/>
          <w:noProof/>
        </w:rPr>
        <w:t xml:space="preserve">1. </w:t>
      </w:r>
      <w:r>
        <w:rPr>
          <w:noProof/>
        </w:rPr>
        <w:tab/>
      </w:r>
      <w:r>
        <w:rPr>
          <w:b/>
          <w:smallCaps/>
          <w:noProof/>
        </w:rPr>
        <w:t xml:space="preserve">LEAGAN AMACH AN TOGRA/TIONSCNAIMH </w:t>
      </w:r>
    </w:p>
    <w:p>
      <w:pPr>
        <w:keepNext/>
        <w:tabs>
          <w:tab w:val="left" w:pos="850"/>
        </w:tabs>
        <w:ind w:left="850" w:hanging="850"/>
        <w:outlineLvl w:val="1"/>
        <w:rPr>
          <w:rFonts w:eastAsia="Calibri"/>
          <w:b/>
          <w:noProof/>
        </w:rPr>
      </w:pPr>
      <w:r>
        <w:rPr>
          <w:b/>
          <w:noProof/>
        </w:rPr>
        <w:t>1.1.</w:t>
      </w:r>
      <w:r>
        <w:rPr>
          <w:noProof/>
        </w:rPr>
        <w:tab/>
      </w:r>
      <w:r>
        <w:rPr>
          <w:b/>
          <w:noProof/>
        </w:rPr>
        <w:t>Teideal an togra/tionscnaimh</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Leasú ar an Rialachán ó Pharlaimint na hEorpa agus ón gComhairle lena mbunaítear an Institiúid Eorpach um Nuálaíocht agus Teicneolaíocht (EIT), agus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Cinneadh ó Pharlaimint na hEorpa agus ón gComhairle maidir le Clár Oibre Straitéiseach um Nuálaíocht de chuid na hInstitiúide Eorpaí um Nuálaíocht agus Teicneolaíocht (EIT) 2021-2027 a bhunú</w:t>
      </w:r>
    </w:p>
    <w:p>
      <w:pPr>
        <w:keepNext/>
        <w:tabs>
          <w:tab w:val="left" w:pos="850"/>
        </w:tabs>
        <w:ind w:left="850" w:hanging="850"/>
        <w:outlineLvl w:val="1"/>
        <w:rPr>
          <w:rFonts w:eastAsia="Calibri"/>
          <w:noProof/>
        </w:rPr>
      </w:pPr>
      <w:bookmarkStart w:id="4" w:name="_Toc514941974"/>
      <w:bookmarkEnd w:id="3"/>
      <w:r>
        <w:rPr>
          <w:b/>
          <w:noProof/>
        </w:rPr>
        <w:t>1.2.</w:t>
      </w:r>
      <w:r>
        <w:rPr>
          <w:noProof/>
        </w:rPr>
        <w:tab/>
      </w:r>
      <w:r>
        <w:rPr>
          <w:b/>
          <w:noProof/>
        </w:rPr>
        <w:t>Réimsí beartais lena mbaineann (Cnuasach cláir)</w:t>
      </w:r>
      <w:r>
        <w:rPr>
          <w:noProof/>
        </w:rPr>
        <w:t>)</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Fís Eorpach – an Clár Réime um Thaighde agus um Nuálaíocht (2021-2027)</w:t>
      </w:r>
    </w:p>
    <w:bookmarkEnd w:id="4"/>
    <w:p>
      <w:pPr>
        <w:keepNext/>
        <w:tabs>
          <w:tab w:val="left" w:pos="850"/>
        </w:tabs>
        <w:ind w:left="850" w:hanging="850"/>
        <w:outlineLvl w:val="1"/>
        <w:rPr>
          <w:rFonts w:eastAsia="Calibri"/>
          <w:b/>
          <w:noProof/>
        </w:rPr>
      </w:pPr>
      <w:r>
        <w:rPr>
          <w:b/>
          <w:noProof/>
        </w:rPr>
        <w:t>1.3.</w:t>
      </w:r>
      <w:r>
        <w:rPr>
          <w:noProof/>
        </w:rPr>
        <w:tab/>
      </w:r>
      <w:r>
        <w:rPr>
          <w:b/>
          <w:noProof/>
        </w:rPr>
        <w:t>Baineann an togra/tionscnamh le:</w:t>
      </w:r>
    </w:p>
    <w:p>
      <w:pPr>
        <w:ind w:left="850"/>
        <w:rPr>
          <w:rFonts w:eastAsia="Calibri"/>
          <w:b/>
          <w:noProof/>
          <w:sz w:val="22"/>
        </w:rPr>
      </w:pPr>
      <w:r>
        <w:rPr>
          <w:rFonts w:eastAsia="Calibri"/>
          <w:noProof/>
          <w:sz w:val="22"/>
        </w:rPr>
        <w:sym w:font="Wingdings" w:char="F0A8"/>
      </w:r>
      <w:r>
        <w:rPr>
          <w:b/>
          <w:i/>
          <w:noProof/>
          <w:sz w:val="22"/>
        </w:rPr>
        <w:t xml:space="preserve"> </w:t>
      </w:r>
      <w:r>
        <w:rPr>
          <w:b/>
          <w:noProof/>
        </w:rPr>
        <w:t>beart nua</w:t>
      </w:r>
      <w:r>
        <w:rPr>
          <w:b/>
          <w:noProof/>
          <w:sz w:val="22"/>
        </w:rPr>
        <w:t xml:space="preserve"> </w:t>
      </w:r>
    </w:p>
    <w:p>
      <w:pPr>
        <w:ind w:left="850"/>
        <w:rPr>
          <w:rFonts w:eastAsia="Calibri"/>
          <w:noProof/>
          <w:sz w:val="22"/>
        </w:rPr>
      </w:pPr>
      <w:r>
        <w:rPr>
          <w:rFonts w:eastAsia="Calibri"/>
          <w:noProof/>
          <w:sz w:val="22"/>
        </w:rPr>
        <w:sym w:font="Wingdings" w:char="F0A8"/>
      </w:r>
      <w:r>
        <w:rPr>
          <w:i/>
          <w:noProof/>
          <w:sz w:val="22"/>
        </w:rPr>
        <w:t xml:space="preserve"> </w:t>
      </w:r>
      <w:r>
        <w:rPr>
          <w:b/>
          <w:noProof/>
        </w:rPr>
        <w:t>beart nua a leanann treoirthionscadal/réamhbheart</w:t>
      </w:r>
      <w:r>
        <w:rPr>
          <w:rStyle w:val="FootnoteReference"/>
          <w:noProof/>
        </w:rPr>
        <w:footnoteReference w:id="7"/>
      </w:r>
      <w:r>
        <w:rPr>
          <w:noProof/>
          <w:sz w:val="22"/>
        </w:rPr>
        <w:t xml:space="preserve"> </w:t>
      </w:r>
    </w:p>
    <w:p>
      <w:pPr>
        <w:ind w:left="850"/>
        <w:rPr>
          <w:rFonts w:eastAsia="Calibri"/>
          <w:noProof/>
          <w:sz w:val="22"/>
        </w:rPr>
      </w:pPr>
      <w:r>
        <w:rPr>
          <w:b/>
          <w:noProof/>
          <w:sz w:val="22"/>
        </w:rPr>
        <w:t>X</w:t>
      </w:r>
      <w:r>
        <w:rPr>
          <w:i/>
          <w:noProof/>
          <w:sz w:val="22"/>
        </w:rPr>
        <w:t xml:space="preserve"> </w:t>
      </w:r>
      <w:r>
        <w:rPr>
          <w:b/>
          <w:noProof/>
        </w:rPr>
        <w:t>síneadh ar bheart atá ann cheana</w:t>
      </w:r>
      <w:r>
        <w:rPr>
          <w:noProof/>
          <w:sz w:val="22"/>
        </w:rPr>
        <w:t xml:space="preserve"> </w:t>
      </w:r>
    </w:p>
    <w:p>
      <w:pPr>
        <w:ind w:left="850"/>
        <w:rPr>
          <w:rFonts w:eastAsia="Calibri"/>
          <w:noProof/>
        </w:rPr>
      </w:pPr>
      <w:r>
        <w:rPr>
          <w:rFonts w:eastAsia="Calibri"/>
          <w:noProof/>
          <w:sz w:val="22"/>
        </w:rPr>
        <w:sym w:font="Wingdings" w:char="F0A8"/>
      </w:r>
      <w:r>
        <w:rPr>
          <w:i/>
          <w:noProof/>
          <w:sz w:val="22"/>
        </w:rPr>
        <w:t xml:space="preserve"> </w:t>
      </w:r>
      <w:r>
        <w:rPr>
          <w:b/>
          <w:noProof/>
        </w:rPr>
        <w:t>beart nó bearta a chumasc nó a atreorú i dtreo beart eile/beart nua</w:t>
      </w:r>
      <w:r>
        <w:rPr>
          <w:noProof/>
        </w:rPr>
        <w:t xml:space="preserve"> </w:t>
      </w:r>
    </w:p>
    <w:p>
      <w:pPr>
        <w:keepNext/>
        <w:tabs>
          <w:tab w:val="left" w:pos="850"/>
        </w:tabs>
        <w:ind w:left="850" w:hanging="850"/>
        <w:outlineLvl w:val="1"/>
        <w:rPr>
          <w:rFonts w:eastAsia="Calibri"/>
          <w:b/>
          <w:noProof/>
        </w:rPr>
      </w:pPr>
      <w:bookmarkStart w:id="5" w:name="_Toc514941976"/>
      <w:bookmarkStart w:id="6" w:name="_Toc5205283"/>
      <w:r>
        <w:rPr>
          <w:b/>
          <w:noProof/>
        </w:rPr>
        <w:t>1.4.</w:t>
      </w:r>
      <w:r>
        <w:rPr>
          <w:noProof/>
        </w:rPr>
        <w:tab/>
      </w:r>
      <w:r>
        <w:rPr>
          <w:b/>
          <w:noProof/>
        </w:rPr>
        <w:t>Forais an togra/tionscnaimh</w:t>
      </w:r>
    </w:p>
    <w:bookmarkEnd w:id="5"/>
    <w:bookmarkEnd w:id="6"/>
    <w:p>
      <w:pPr>
        <w:keepNext/>
        <w:tabs>
          <w:tab w:val="left" w:pos="850"/>
        </w:tabs>
        <w:ind w:left="850" w:hanging="850"/>
        <w:outlineLvl w:val="1"/>
        <w:rPr>
          <w:rFonts w:eastAsia="Calibri"/>
          <w:i/>
          <w:noProof/>
        </w:rPr>
      </w:pPr>
      <w:r>
        <w:rPr>
          <w:i/>
          <w:noProof/>
        </w:rPr>
        <w:t>1.4.1.</w:t>
      </w:r>
      <w:r>
        <w:rPr>
          <w:noProof/>
        </w:rPr>
        <w:tab/>
      </w:r>
      <w:r>
        <w:rPr>
          <w:i/>
          <w:noProof/>
        </w:rPr>
        <w:t>Na ceanglais is gá a chomhlíonadh sa ghearrthéarma nó san fhadtéarma, lena n</w:t>
      </w:r>
      <w:r>
        <w:rPr>
          <w:i/>
          <w:noProof/>
        </w:rPr>
        <w:noBreakHyphen/>
        <w:t>áirítear</w:t>
      </w:r>
      <w:r>
        <w:rPr>
          <w:noProof/>
        </w:rPr>
        <w:tab/>
      </w:r>
      <w:r>
        <w:rPr>
          <w:i/>
          <w:noProof/>
        </w:rPr>
        <w:t>amlíne mhionsonraithe maidir le cur chun feidhme céimneach an tionscnaimh</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Is dlúthchuid í an Institiúid Eorpach um Nuálaíocht agus Teicneolaíocht (EIT) den togra ón gCoimisiún maidir leis an gclár Fís Eorpach (2021 – 2027) faoi cholún na Nuálaíochta Oscailte ach tá bunús dlí ar leithligh léi (Rialachán maidir le EIT).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rPr>
        <w:t>Leis an togra Fís Eorpach</w:t>
      </w:r>
      <w:r>
        <w:rPr>
          <w:rStyle w:val="FootnoteReference"/>
          <w:noProof/>
        </w:rPr>
        <w:footnoteReference w:id="8"/>
      </w:r>
      <w:r>
        <w:rPr>
          <w:noProof/>
        </w:rPr>
        <w:t xml:space="preserve"> deimhníodh tábhacht agus rannchuidiú EIT agus a chuid PENanna maidir le tosaíochtaí straitéiseacha an Aontais i réimse na nuálaíochta a bhaint amach. Is ann a mholtar buiséad EIT le haghaidh 2021-2027</w:t>
      </w:r>
      <w:r>
        <w:rPr>
          <w:rStyle w:val="FootnoteReference"/>
          <w:noProof/>
        </w:rPr>
        <w:footnoteReference w:id="9"/>
      </w:r>
      <w:r>
        <w:rPr>
          <w:noProof/>
        </w:rPr>
        <w:t>, a raon feidhme, a bhreisluach agus a phríomhréimsí gníomhaíochta, agus luaitear ann ról leasaithe EIT chun a rannchuidiú le cuspóirí an chláir Fís Eorpach a athneartú.</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Is é is aidhm don tionscnamh an Rialachán maidir le EIT a chur i gcomhoiriúnacht leis an gclár Fís Eorpach agus feidhmiú EIT a fheabhsú agus ceachtanna a foghlaimíodh ó na blianta a chuaigh thart a chur san áireamh. Is é is aidhm dó freisin Clár Oibre Straitéiseach um Nuálaíocht (COSN) nua a mholadh, clár oibre ina leagfar amach straitéis agus tosaíochtaí EIT don tréimhse 2021-2027 agus ina saineofar a chuspóirí, a phríomhghníomhaíochtaí, na torthaí a mbeifear ag súil leo agus na hacmhainní is gá.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Is é misean foriomlán EIT don tréimhse 2021-2027 cur le fás eacnamaíoch inbhuanaithe na hEorpa agus le hiomaíochas trí chumas nuálaíochta na mBallstát agus an Aontais a athneartú. Déanfaidh sé sin trí oideachas, taighde agus nuálaíocht den chaighdeán is airde a chur chun cinn agus a chomhtháthú.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Leanfaidh EIT de bheith ag feidhmiú go príomha trína Phobail Eolais agus Nuálaíochta (PENanna), ar comhpháirtíochtaí mórscála Eorpacha iad lena dtugtar aghaidh ar dhúshláin shochaíocha shonracha. Leanfaidh sé de na héiceachórais nuálaíochta thart timpeall air a neartú trí bheith ag cothú chomhtháthú thrí thaobh an Triantáin Eolais. Coimeádfaidh gach PEN a struchtúr eagrúcháin féin, struchtúr a bheidh bunaithe ar “Ionaid Chomhlonnaithe”, arb iad na hionaid gheografacha iad lena dtugtar le chéile gníomhaithe an Triantáin Eolais agus trína bhféadfar gaireacht gheografach agus comhar níos dlúithe a bheith ann.</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Cuirfidh EIT gníomhaíochtaí chun feidhme arb é is aidhm dóibh:</w:t>
      </w:r>
    </w:p>
    <w:p>
      <w:pPr>
        <w:pStyle w:val="Point1number"/>
        <w:numPr>
          <w:ilvl w:val="2"/>
          <w:numId w:val="12"/>
        </w:numPr>
        <w:pBdr>
          <w:top w:val="single" w:sz="4" w:space="1" w:color="auto"/>
          <w:left w:val="single" w:sz="4" w:space="4" w:color="auto"/>
          <w:bottom w:val="single" w:sz="4" w:space="1" w:color="auto"/>
          <w:right w:val="single" w:sz="4" w:space="4" w:color="auto"/>
        </w:pBdr>
        <w:rPr>
          <w:rFonts w:eastAsia="Calibri"/>
          <w:noProof/>
        </w:rPr>
      </w:pPr>
      <w:r>
        <w:rPr>
          <w:noProof/>
        </w:rPr>
        <w:t>Éiceachórais nuálaíochta inbhuanaithe a neartú ar fud na hEorpa;</w:t>
      </w:r>
    </w:p>
    <w:p>
      <w:pPr>
        <w:pStyle w:val="Point1number"/>
        <w:numPr>
          <w:ilvl w:val="2"/>
          <w:numId w:val="12"/>
        </w:numPr>
        <w:pBdr>
          <w:top w:val="single" w:sz="4" w:space="1" w:color="auto"/>
          <w:left w:val="single" w:sz="4" w:space="4" w:color="auto"/>
          <w:bottom w:val="single" w:sz="4" w:space="1" w:color="auto"/>
          <w:right w:val="single" w:sz="4" w:space="4" w:color="auto"/>
        </w:pBdr>
        <w:rPr>
          <w:rFonts w:eastAsia="Calibri"/>
          <w:noProof/>
        </w:rPr>
      </w:pPr>
      <w:r>
        <w:rPr>
          <w:noProof/>
        </w:rPr>
        <w:t xml:space="preserve"> Fothú scileanna fiontraíochta agus nuálaíochta a chothú san fhoghlaim ar feadh an tsaoil agus tacú le claochlú fiontraíochta Institiúidí Ardoideachais an Aontais Eorpaigh;</w:t>
      </w:r>
    </w:p>
    <w:p>
      <w:pPr>
        <w:pStyle w:val="Point1number"/>
        <w:numPr>
          <w:ilvl w:val="2"/>
          <w:numId w:val="12"/>
        </w:numPr>
        <w:pBdr>
          <w:top w:val="single" w:sz="4" w:space="1" w:color="auto"/>
          <w:left w:val="single" w:sz="4" w:space="4" w:color="auto"/>
          <w:bottom w:val="single" w:sz="4" w:space="1" w:color="auto"/>
          <w:right w:val="single" w:sz="4" w:space="4" w:color="auto"/>
        </w:pBdr>
        <w:rPr>
          <w:rFonts w:eastAsia="Calibri"/>
          <w:noProof/>
        </w:rPr>
      </w:pPr>
      <w:r>
        <w:rPr>
          <w:noProof/>
        </w:rPr>
        <w:t>Réitigh nua ar dhúshláin dhomhanda a thabhairt chuig an margadh.</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Forbróidh EIT sineirgí agus cuirfidh sé leis an mbreisluach faoin gclár Fís Eorpach, ach a ghníomhaíochtaí a thabhairt i gcrích. Cuirfear chun feidhme é trí thacaíocht a thabhairt do PENanna agus trí ghníomhaíochtaí a ndéanfaidh EIT comhordú orthu..</w:t>
      </w:r>
    </w:p>
    <w:p>
      <w:pPr>
        <w:pBdr>
          <w:top w:val="single" w:sz="4" w:space="1" w:color="auto"/>
          <w:left w:val="single" w:sz="4" w:space="4" w:color="auto"/>
          <w:bottom w:val="single" w:sz="4" w:space="1" w:color="auto"/>
          <w:right w:val="single" w:sz="4" w:space="4" w:color="auto"/>
        </w:pBdr>
        <w:ind w:left="850"/>
        <w:rPr>
          <w:rFonts w:eastAsia="Calibri"/>
          <w:i/>
          <w:noProof/>
          <w:color w:val="000000"/>
          <w:u w:val="single"/>
        </w:rPr>
      </w:pPr>
      <w:r>
        <w:rPr>
          <w:i/>
          <w:noProof/>
          <w:color w:val="000000"/>
          <w:u w:val="single"/>
        </w:rPr>
        <w:t>Tacú le PENanna:</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Déanfaidh EIT na hocht PEN atá ann faoi láthair a chomhdhlúthú, cothóidh sé a bhfás agus a dtionchar, agus tacóidh sé lena n</w:t>
      </w:r>
      <w:r>
        <w:rPr>
          <w:noProof/>
          <w:color w:val="000000"/>
        </w:rPr>
        <w:noBreakHyphen/>
        <w:t>aistriú ionsar an inbhuanaitheacht airgeadais. Go háirithe, bainfidh an méid sin leis an gcéad sraith de thrí PEN a seoladh in 2009 (EIT Climate, EIT Digital agus EIT InnoEnergy) a dtiocfaidh deireadh lena gcreat-chomhaontuithe comhpháirtíochta tar éis 2024.</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Seolfaidh EIT dhá PEN nua freisin i réimsí téamacha sonracha chun dul i ngleic leis na dúshláin agus leis na riachtanais shochaíocha dhomhanda a bheidh ann amach anseo (déantar foráil maidir le glaonna in 2021 agus 2024).</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Trí bhíthin na nithe seo a leanas, soláthróidh EIT tacaíocht do PENanna a mbíonn punanna de ghníomhaíochtaí an triantáin eolais ar siúl acu:</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1- </w:t>
      </w:r>
      <w:r>
        <w:rPr>
          <w:i/>
          <w:noProof/>
          <w:color w:val="000000"/>
        </w:rPr>
        <w:t>Gníomhaíochtaí oideachais agus oiliúna</w:t>
      </w:r>
      <w:r>
        <w:rPr>
          <w:noProof/>
          <w:color w:val="000000"/>
        </w:rPr>
        <w:t xml:space="preserve"> a bhfuil gnéithe láidre fiontraíochta iontu chun an chéad ghlúin eile de dhaoine ardchumasacha a oiliúint, lena n</w:t>
      </w:r>
      <w:r>
        <w:rPr>
          <w:noProof/>
          <w:color w:val="000000"/>
        </w:rPr>
        <w:noBreakHyphen/>
        <w:t>áirítear cláir a dhearadh agus a chur chun feidhme, cláir a bhfuil lipéad EIT orthu, go háirithe ar leibhéal máistreachta agus dochtúireachta (Lipéad EIT);</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2-. </w:t>
      </w:r>
      <w:r>
        <w:rPr>
          <w:i/>
          <w:noProof/>
          <w:color w:val="000000"/>
        </w:rPr>
        <w:t>Gníomhaíochtaí lena dtugtar tacaíocht don nuálaíocht</w:t>
      </w:r>
      <w:r>
        <w:rPr>
          <w:noProof/>
          <w:color w:val="000000"/>
        </w:rPr>
        <w:t xml:space="preserve"> chun forbairt a dhéanamh ar tháirgí agus ar sheirbhísí a thugann aghaidh ar dheis shonrach ghnó;</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3- </w:t>
      </w:r>
      <w:r>
        <w:rPr>
          <w:i/>
          <w:noProof/>
          <w:color w:val="000000"/>
        </w:rPr>
        <w:t>Cruthú gnó agus gníomhaíochtaí tacaíochta</w:t>
      </w:r>
      <w:r>
        <w:rPr>
          <w:noProof/>
          <w:color w:val="000000"/>
        </w:rPr>
        <w:t>, amhail scéimeanna luasaire chun cabhrú le fiontraithe fiontair a bhfuil rath orthu a dhéanamh dá gcuid smaointí agus chun dlús a chur leis an bpróiseas fáis.</w:t>
      </w:r>
    </w:p>
    <w:p>
      <w:pPr>
        <w:pBdr>
          <w:top w:val="single" w:sz="4" w:space="1" w:color="auto"/>
          <w:left w:val="single" w:sz="4" w:space="4" w:color="auto"/>
          <w:bottom w:val="single" w:sz="4" w:space="1" w:color="auto"/>
          <w:right w:val="single" w:sz="4" w:space="4" w:color="auto"/>
        </w:pBdr>
        <w:ind w:left="850"/>
        <w:rPr>
          <w:rFonts w:eastAsia="Calibri"/>
          <w:i/>
          <w:noProof/>
          <w:color w:val="000000"/>
          <w:u w:val="single"/>
        </w:rPr>
      </w:pPr>
      <w:r>
        <w:rPr>
          <w:i/>
          <w:noProof/>
          <w:color w:val="000000"/>
          <w:u w:val="single"/>
        </w:rPr>
        <w:t>Gníomhaíochtaí arna gcomhordú ag EIT:</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Féachfaidh EIT le tacú le hinstitiúidí ardoideachais iad féin a chomhtháthú ar bhonn níos fearr i slabhraí luacha agus in éiceachórais nuálaíochta. Trí bhíthin a PENanna, cuirfidh EIT gníomhaíocht tacaíochta chun feidhme, gníomhaíocht lena ndéantar institiúidí ardoideachais agus príomhghníomhaithe nuálaíochta eile amhail gnólachtaí a thabhairt le chéile i dtionscadail chun bheith ag obair ar réimsí straitéiseacha forbartha cumais. Beidh spriocanna comhchoiteanna ag na comhpháirtithe agus oibreoidh siad i gcomhar ionsar thorthaí a bheidh tairbhiúil do gach páirtí. </w:t>
      </w:r>
      <w:r>
        <w:rPr>
          <w:noProof/>
        </w:rPr>
        <w:t xml:space="preserve">Leis an ngníomhaíocht áiritheofar cur chuige cuimsitheach chun institiúidí ardoideachais, nach comhpháirtithe PENanna iad, a mhealladh; cur chuige idirdhisciplíneach idirearnála; agus nasc leis an Straitéis um Speisialtóireacht Chliste de chuid an Choimisiúin Eorpaigh, le hardáin théamacha ábhartha agus le SNR EIT.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Leis an Scéim Nuálaíochta Réigiúnach agus leis na gníomhaíochtaí nua arna gcomhordú ag EIT, méadóidh EIT a fhor-rochtain réigiúnach nuálaíochta agus a thionchar gaolmhar.</w:t>
      </w:r>
    </w:p>
    <w:p>
      <w:pPr>
        <w:keepNext/>
        <w:tabs>
          <w:tab w:val="left" w:pos="850"/>
        </w:tabs>
        <w:ind w:left="850" w:hanging="850"/>
        <w:outlineLvl w:val="1"/>
        <w:rPr>
          <w:rFonts w:eastAsia="Calibri"/>
          <w:i/>
          <w:noProof/>
        </w:rPr>
      </w:pPr>
      <w:r>
        <w:rPr>
          <w:i/>
          <w:noProof/>
        </w:rPr>
        <w:t>1.4.2.</w:t>
      </w:r>
      <w:r>
        <w:rPr>
          <w:noProof/>
        </w:rPr>
        <w:tab/>
      </w:r>
      <w:r>
        <w:rPr>
          <w:i/>
          <w:noProof/>
        </w:rPr>
        <w:t>Breisluach a bhaineann le rannpháirteachas an Aontais (d’fhéadfadh an breisluach a bheith ann mar thoradh ar fhachtóirí éagsúla, e.g. gnóthachain de thoradh comhordú, deimhneacht dhlíthiúil, éifeachtacht mhéadaithe nó comhlántachtaí). Chun críocha an phointe seo, is é“breisluach a bhaineann le rannpháirteachas AE” an luach a bhíonn mar thoradh ar idirghabháil ón Aontas ar luach é atá sa bhreis ar an luach a bheadh ann dá mbeadh na Ballstáit ag feidhmiú astu féin</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Cúiseanna le beart a dhéanamh ar leibhéal an Aontais (ex-ante)</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Mar gheall ar chineál agus ar scála na ndúshlán nuálaíochta, is gá gníomhaithe agus acmhainní a chur ar fáil ar leibhéal an Aontais tríd an gcomhar trasteorann a chothú. Is gá fáil réidh leis na bacainní atá ann idir disciplíní agus atá feadh na slabhraí luacha agus cruthú timpeallachta fabhraí a chothú, timpeallacht ina ndéanfar eolas agus saineolas a mhalartú go héifeachtach, agus ina ndéanfar fiontraithe ardchumasacha a fhorbairt agus a mhealladh.</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I measúnú tionchair an chláir Fís Eorpach sainaithníodh laigí struchtúracha sonracha i gcumas nuálaíochta an Aontais Eorpaigh, laigí ar gá aghaidh a thabhairt orthu ar leibhéal an Aontais agus is air sin a dhíreofaí rannchuidiú EIT. Go háirithe, ní mór d’Institiúidí Ardoideachais Eorpacha an fhiontraíocht a spreagadh, teorainneacha disciplíneacha a shárú agus comhar láidir neamhdhisciplíneach idir na hollscoileanna agus an earnáil thionsclaíoch a bhuanú. Tá sé thar a bheith tábhachtach go mbeidh rochtain ar fhionraithe ardchumasacha, mar aon le rochtain ar sheirbhísí gairmiúla, ar chaipiteal agus ar mhargaí ar leibhéal an Aontais Eorpaigh, agus go dtabharfar príomhghníomhaithe na nuálaíochta le chéile faoi chuimsiú cuspóir comhchoiteann chun go bhféadfar éiceachóras nuálaíochta a chothú. Is gá iarrachtaí ar fud an Aontais Eorpaigh a chomhordú chun mais chriticiúil de chnuasaigh agus d'éiceachórais fiontraíochta idirnasctha ar fud an Aontais Eorpaigh a fhorbairt. Téann an leibhéal méadaíochta agus scála na hidirghabhála thar an méid is féidir leis na Ballstáit a dhéanamh astu féin agus teastaíonn idirghabháil ar leibhéal an Aontais Eorpaigh.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An breisluach ar leibhéal an Aontais a mheastar a ghinfear (ex-post)</w:t>
      </w:r>
    </w:p>
    <w:p>
      <w:pPr>
        <w:pBdr>
          <w:top w:val="single" w:sz="4" w:space="1" w:color="auto"/>
          <w:left w:val="single" w:sz="4" w:space="4" w:color="auto"/>
          <w:bottom w:val="single" w:sz="4" w:space="1" w:color="auto"/>
          <w:right w:val="single" w:sz="4" w:space="4" w:color="auto"/>
        </w:pBdr>
        <w:spacing w:before="0" w:after="0"/>
        <w:ind w:left="850"/>
        <w:rPr>
          <w:rFonts w:eastAsia="Calibri"/>
          <w:noProof/>
          <w:color w:val="000000"/>
        </w:rPr>
      </w:pPr>
      <w:r>
        <w:rPr>
          <w:noProof/>
          <w:color w:val="000000"/>
        </w:rPr>
        <w:t>Meastar go gcomhlíonfaidh EIT a chuspóirí don tréimhse 2021 – 2027 faoi mar a leagtar amach sa togra maidir le Fís Eorpach. Is éard a thiocfaidh as an leas sonrach a bhaineann le hinfheistíocht an Aontais in EIT:</w:t>
      </w:r>
    </w:p>
    <w:p>
      <w:pPr>
        <w:pBdr>
          <w:top w:val="single" w:sz="4" w:space="1" w:color="auto"/>
          <w:left w:val="single" w:sz="4" w:space="4" w:color="auto"/>
          <w:bottom w:val="single" w:sz="4" w:space="1" w:color="auto"/>
          <w:right w:val="single" w:sz="4" w:space="4" w:color="auto"/>
        </w:pBdr>
        <w:spacing w:before="0" w:after="0"/>
        <w:ind w:left="850"/>
        <w:rPr>
          <w:rFonts w:eastAsia="Calibri"/>
          <w:noProof/>
        </w:rPr>
      </w:pPr>
      <w:r>
        <w:rPr>
          <w:noProof/>
          <w:color w:val="000000"/>
        </w:rPr>
        <w:t xml:space="preserve">- </w:t>
      </w:r>
      <w:r>
        <w:rPr>
          <w:noProof/>
        </w:rPr>
        <w:t>cruthú timpeallachtaí nua atá fabhrach don chomhar agus don nuálaíocht;</w:t>
      </w:r>
    </w:p>
    <w:p>
      <w:pPr>
        <w:pBdr>
          <w:top w:val="single" w:sz="4" w:space="1" w:color="auto"/>
          <w:left w:val="single" w:sz="4" w:space="4" w:color="auto"/>
          <w:bottom w:val="single" w:sz="4" w:space="1" w:color="auto"/>
          <w:right w:val="single" w:sz="4" w:space="4" w:color="auto"/>
        </w:pBdr>
        <w:spacing w:before="0" w:after="0"/>
        <w:ind w:left="850"/>
        <w:rPr>
          <w:rFonts w:eastAsia="Calibri"/>
          <w:noProof/>
        </w:rPr>
      </w:pPr>
      <w:r>
        <w:rPr>
          <w:noProof/>
        </w:rPr>
        <w:t>- acmhainneachtaí nuálaíochta níos láidre a bheith ag na hollscoileanna agus ag an earnáil taighde;</w:t>
      </w:r>
    </w:p>
    <w:p>
      <w:pPr>
        <w:pBdr>
          <w:top w:val="single" w:sz="4" w:space="1" w:color="auto"/>
          <w:left w:val="single" w:sz="4" w:space="4" w:color="auto"/>
          <w:bottom w:val="single" w:sz="4" w:space="1" w:color="auto"/>
          <w:right w:val="single" w:sz="4" w:space="4" w:color="auto"/>
        </w:pBdr>
        <w:spacing w:before="0" w:after="0"/>
        <w:ind w:left="850"/>
        <w:rPr>
          <w:rFonts w:eastAsia="Calibri"/>
          <w:noProof/>
        </w:rPr>
      </w:pPr>
      <w:r>
        <w:rPr>
          <w:noProof/>
        </w:rPr>
        <w:t>- glúin nua fiontraithe;</w:t>
      </w:r>
    </w:p>
    <w:p>
      <w:pPr>
        <w:pBdr>
          <w:top w:val="single" w:sz="4" w:space="1" w:color="auto"/>
          <w:left w:val="single" w:sz="4" w:space="4" w:color="auto"/>
          <w:bottom w:val="single" w:sz="4" w:space="1" w:color="auto"/>
          <w:right w:val="single" w:sz="4" w:space="4" w:color="auto"/>
        </w:pBdr>
        <w:spacing w:before="0" w:after="0"/>
        <w:ind w:left="850"/>
        <w:rPr>
          <w:rFonts w:eastAsia="Calibri"/>
          <w:noProof/>
        </w:rPr>
      </w:pPr>
      <w:r>
        <w:rPr>
          <w:noProof/>
        </w:rPr>
        <w:t>- cruthú agus forbairt fiontar nuálach;</w:t>
      </w:r>
    </w:p>
    <w:p>
      <w:pPr>
        <w:pBdr>
          <w:top w:val="single" w:sz="4" w:space="1" w:color="auto"/>
          <w:left w:val="single" w:sz="4" w:space="4" w:color="auto"/>
          <w:bottom w:val="single" w:sz="4" w:space="1" w:color="auto"/>
          <w:right w:val="single" w:sz="4" w:space="4" w:color="auto"/>
        </w:pBdr>
        <w:spacing w:before="0" w:after="0"/>
        <w:ind w:left="850"/>
        <w:rPr>
          <w:rFonts w:eastAsia="Calibri"/>
          <w:noProof/>
        </w:rPr>
      </w:pPr>
      <w:r>
        <w:rPr>
          <w:noProof/>
        </w:rPr>
        <w:t>- for-rochtain réigiúnach níos leithne ar ghníomhaíochtaí nuálaíochta EIT.</w:t>
      </w:r>
    </w:p>
    <w:p>
      <w:pPr>
        <w:keepNext/>
        <w:tabs>
          <w:tab w:val="left" w:pos="850"/>
        </w:tabs>
        <w:ind w:left="850" w:hanging="850"/>
        <w:outlineLvl w:val="1"/>
        <w:rPr>
          <w:rFonts w:eastAsia="Calibri"/>
          <w:i/>
          <w:noProof/>
        </w:rPr>
      </w:pPr>
      <w:bookmarkStart w:id="7" w:name="_Toc514941979"/>
      <w:r>
        <w:rPr>
          <w:i/>
          <w:noProof/>
        </w:rPr>
        <w:t>1.4.3.</w:t>
      </w:r>
      <w:r>
        <w:rPr>
          <w:noProof/>
        </w:rPr>
        <w:tab/>
      </w:r>
      <w:r>
        <w:rPr>
          <w:i/>
          <w:noProof/>
        </w:rPr>
        <w:t>Ceachtanna a foghlaimíodh ó thaithí eile den sórt sin san am a chuaigh thart</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Bunaíodh EIT in 2008 chun aghaidh a thabhairt ar dhúshláin mhóra shochaíocha trí chumas nuálaíochta agus feidhmíochta an Aontais a fheabhsú. In 2017 thángthas ar an gconclúid i meastóireacht lár téarma EIT go bhfuil EIT an-ábhartha agus go bhfuil breisluach soiléir AE aige fós. Níl aon ionstraim eile ann lena dtógtar líonraí nuálaíochta ar fud an Aontais Eorpaigh i réimsí an oideachais, an taighde, an ghnó agus i réimsí geallsealbhóirí eile.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A bhuí le EIT tá éiceachóras nuálaíochta cruthaithe san Eoraip ina bhfuil breis agus 1200 comhpháirtí ó réimse an ghnó, an taighde agus an oideachais, éiceachóras a eagraíodh in 8 bPobal Eolais agus Nuálaíochta i níos mó ná 40 ionad comhlonnaithe. Léiríonn breis agus 50% de chomhpháirtithe ó earnáil an ghnó (an tionscal, FBManna agus gnólachtaí nuathionscanta) go bhfuil an ionstraim gar don mhargadh. Bíonn toradh ar Chomhphobal EIT: seoladh breis agus 600 táirge agus seirbhís nua sa mhargadh, tugadh tacaíocht do níos mó ná 1250 gnólacht nuathionscanta agus fiontar nuálach, rinneadh breis agus EUR 890m d'infheistíocht sheachtrach; agus cruthaíodh breis agus 6,000 post. Tá timpeall 1,700 céimí, arb iad na chéad chohóirt iad ó chúrsaí máistreachta faoi lipéad EIT, ag dul isteach sa mhargadh saothair anois.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Toisc gur dearadh EIT ina chomhlacht neamhspleách, is féidir leis a bheith solúbtha, uathrialaitheach, oiriúnaitheach agus dírithe ar ghnó agus cinntí á ndéanamh aige. Is é 4 mhí an t</w:t>
      </w:r>
      <w:r>
        <w:rPr>
          <w:noProof/>
          <w:color w:val="000000"/>
        </w:rPr>
        <w:noBreakHyphen/>
        <w:t>am chun deontais a thabhairt i gcomparáid leis na 6 mhí a bhí ann ar an meán sa chlár Fís 2020. Leis na rialacha maidir le cistiú iomaíoch, inbhuanaitheacht agus simpliú airgeadais, cothaítear nuálaíocht in PENanna. Tá costais riaracháin EIT an-íseal, is lú ná 2% den bhuiséad iomlán iad i gcomparáid leis an 4.6% ar an meán a tuairiscíodh le haghaidh chlár Fís 2020.</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Don tréimhse 2021-2027, is é an aidhm a bheidh go háirithe leis na feabhsuithe a dhéanfar ar EIT:</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Nósanna imeachta a shimpliú a thuilleadh chun PENanna a bhainistiú go héifeachtúil (e.g. sásra comhchistiúcháin a thabhairt isteach, ilbhliantúlacht deontas, etc.).</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 Tacú le hinstitiúidí ardoideachais a chomhtháthú níos fearr i slabhraí luacha agus in éiceachórais nuálaíochta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Dul i ngleic le tuilleadh dúshlán trí dhá PEN nua a sheoladh</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 Oscailteacht agus trédhearcacht PENanna a threisiú agus iad a ailíniú leis </w:t>
      </w:r>
      <w:r>
        <w:rPr>
          <w:noProof/>
        </w:rPr>
        <w:t xml:space="preserve">an gcur chuige beartaithe i gcomhair Comhpháirtíochtaí Eorpacha faoin gclár Fís Eorpach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Tionchar EIT a mhéadú ar an leibhéal réigiúnach agus ar an leibhéal áitiúil agus go háirithe i dtíortha a bhfuil feidhmíocht nuálaíochta níos ísle acu</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Infheictheacht ghníomhaíocht EIT sna Ballstáit agus níos faide i gcéin a mhéadú</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Na sineirgí agus na comhlántachtaí le hionstraimí eile de chuid an chláir Fís Eorpach, an Aontais agus na mBallstát a mhéadú</w:t>
      </w:r>
    </w:p>
    <w:bookmarkEnd w:id="7"/>
    <w:p>
      <w:pPr>
        <w:keepNext/>
        <w:tabs>
          <w:tab w:val="left" w:pos="850"/>
        </w:tabs>
        <w:ind w:left="850" w:hanging="850"/>
        <w:outlineLvl w:val="1"/>
        <w:rPr>
          <w:rFonts w:eastAsia="Calibri"/>
          <w:i/>
          <w:noProof/>
        </w:rPr>
      </w:pPr>
      <w:r>
        <w:rPr>
          <w:i/>
          <w:noProof/>
        </w:rPr>
        <w:t>1.4.4.</w:t>
      </w:r>
      <w:r>
        <w:rPr>
          <w:noProof/>
        </w:rPr>
        <w:tab/>
      </w:r>
      <w:r>
        <w:rPr>
          <w:i/>
          <w:noProof/>
        </w:rPr>
        <w:t>Comhoiriúnacht d'ionstraimí iomchuí eile agus sineirgíocht a d'fhéadfadh a bheith ann</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Agus é ag cur lena raon feidhme leathan gníomhaíochta agus lena ról faoi leith, is maith atá EIT in ann sineirgí a chruthú agus comhlántachtaí a sholáthar i gcomhar le cláir nó le hionstraimí eile de chuid an Aontais, lena n</w:t>
      </w:r>
      <w:r>
        <w:rPr>
          <w:noProof/>
          <w:color w:val="000000"/>
        </w:rPr>
        <w:noBreakHyphen/>
        <w:t xml:space="preserve">áirítear trína thacaíocht do PENanna a athneartú maidir lena ngníomhaíochtaí pleanála agus cur chun feidhme. Sa liosta neamh-uileghabhálach thíos, tugtar samplaí nithiúla de na bealaí a rannchuideoidh EIT le sineirgí sa mheántéarma agus san fhadtéarma laistigh den chlár Fís Eorpach agus lasmuigh de.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u w:val="single"/>
        </w:rPr>
        <w:t>Fís Eorpach:</w:t>
      </w:r>
      <w:r>
        <w:rPr>
          <w:noProof/>
          <w:color w:val="000000"/>
        </w:rPr>
        <w:t xml:space="preserve"> Táthar ag súil go mbeidh sineirgí láidre ann idir EIT agus an Clár Fís Eorpach ar fad. Go háirithe, beidh sineirgí le EIC an-tábhachtach don tionchar a bheidh ag an gcolún “Nuálaíocht Oscailte” agus don tacaíocht a thabharfar d'éiceachórais.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Sa Cholún [Dúshláin Dhomhanda agus Iomaíochas Tionsclaíoch], is féidir le EIT, trí bhíthin a PENanna, comhoibriú le Comhpháirtíochtaí Eorpacha, rannchuidiú le misin, tacú le bearta atá dírithe ar an éileamh agus seirbhísí saothraithe a sholáthar chun aistriú teicneolaíochta a neartú agus chun dlús a chur le tráchtálú na dtorthaí arna mbaint amach ag na cnuasaigh théamacha nó ag comhpháirtíochtaí Eorpacha eile.</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u w:val="single"/>
        </w:rPr>
        <w:t>Erasmus:</w:t>
      </w:r>
      <w:r>
        <w:rPr>
          <w:noProof/>
          <w:color w:val="000000"/>
        </w:rPr>
        <w:t xml:space="preserve"> Bunóidh Erasmus agus EIT sineirgí idir a gcomhphobail faoi seach. Leis an gcomhar díreofar ar rochtain ar scoileanna samhraidh PENanna a áirithiú do mhic léinn Erasmus a bhíonn rannpháirteach in institiúidí ardoideachais ar comhpháirtithe PEN iad nó ar ghníomhaíochtaí oiliúna ábhartha eile (mar shampla, fiontraíocht nó bainistíocht nuálaíochta) agus ar theagmhálacha a bhunú le líonra </w:t>
      </w:r>
      <w:r>
        <w:rPr>
          <w:i/>
          <w:noProof/>
          <w:color w:val="000000"/>
        </w:rPr>
        <w:t>alumni</w:t>
      </w:r>
      <w:r>
        <w:rPr>
          <w:noProof/>
          <w:color w:val="000000"/>
        </w:rPr>
        <w:t xml:space="preserve"> na PENanna.</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Áiritheofar sineirgí, i gcás inar féidir, le tionscnamh na nOllscoileanna Eorpacha, rud a d’fhéadfadh cuidiú le gníomhaíochtaí oideachais agus oiliúna EIT a phríomhshruthú chun go mbeidh tionchar sistéamach acu.</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u w:val="single"/>
        </w:rPr>
        <w:t>An Clár don Eoraip Dhigiteach (CED):</w:t>
      </w:r>
      <w:r>
        <w:rPr>
          <w:noProof/>
          <w:color w:val="000000"/>
        </w:rPr>
        <w:t xml:space="preserve"> Comhoibreoidh ionaid chomhlonnaithe PENanna leis na Moil Nuálaíochta Digití Eorpacha chun tacú le claochlú digiteach na n</w:t>
      </w:r>
      <w:r>
        <w:rPr>
          <w:noProof/>
          <w:color w:val="000000"/>
        </w:rPr>
        <w:noBreakHyphen/>
        <w:t>eagraíochtaí tionscail agus eagraíochtaí san earnáil phoiblí.</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u w:val="single"/>
        </w:rPr>
        <w:t>Cistí Beartais Comhtháthaithe (go háirithe CFRE agus CSIE+):</w:t>
      </w:r>
      <w:r>
        <w:rPr>
          <w:noProof/>
          <w:color w:val="000000"/>
        </w:rPr>
        <w:t xml:space="preserve"> Trína n</w:t>
      </w:r>
      <w:r>
        <w:rPr>
          <w:noProof/>
          <w:color w:val="000000"/>
        </w:rPr>
        <w:noBreakHyphen/>
        <w:t>ionaid chomhlonnaithe cuirfidh PENanna EIT comhar réigiúnach agus trasréigiúnach chun cinn idir gníomhaithe an triantáin eolais (oideachas, taighde, gnó) agus na húdaráis bhainistíochta i sineirgíocht le hobair an Choimisiúin Eorpaigh ar chomhar agus infheistíochtaí idir-réigiúnacha i dtosaíochtaí gaolmhara na speisialtóireachta cliste.</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u w:val="single"/>
        </w:rPr>
        <w:t>InvestEU:</w:t>
      </w:r>
      <w:r>
        <w:rPr>
          <w:noProof/>
          <w:color w:val="000000"/>
        </w:rPr>
        <w:t xml:space="preserve"> Iarrfaidh PENanna EIT comhar Mhol Comhairleach InvestEU chun tacaíocht theicniúil agus cúnamh teicniúil a sholáthar d'fhiontair a fhaigheann tacaíocht ó PENanna chun tionscadail a ullmhú, a fhorbairt agus a chur chun feidhme.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u w:val="single"/>
        </w:rPr>
        <w:t>Eoraip na Cruthaitheachta:</w:t>
      </w:r>
      <w:r>
        <w:rPr>
          <w:noProof/>
          <w:color w:val="000000"/>
        </w:rPr>
        <w:t xml:space="preserve"> Beidh an Clár ábhartha go sonrach do ghníomhaíochtaí PEN nó tionscail chultúrtha agus cruthaitheachta a bheidh ann amach anseo. Leis an gclár forbrófar sineirgí agus comhlántachtaí láidre i réimsí amhail scileanna cruthaitheacha, poist agus samhlacha gnó.</w:t>
      </w:r>
    </w:p>
    <w:p>
      <w:pPr>
        <w:keepNext/>
        <w:tabs>
          <w:tab w:val="left" w:pos="850"/>
        </w:tabs>
        <w:ind w:left="850" w:hanging="850"/>
        <w:outlineLvl w:val="1"/>
        <w:rPr>
          <w:rFonts w:eastAsia="Calibri"/>
          <w:b/>
          <w:noProof/>
        </w:rPr>
      </w:pPr>
      <w:r>
        <w:rPr>
          <w:noProof/>
        </w:rPr>
        <w:br w:type="page"/>
      </w:r>
      <w:r>
        <w:rPr>
          <w:b/>
          <w:noProof/>
        </w:rPr>
        <w:t>1.5.</w:t>
      </w:r>
      <w:r>
        <w:rPr>
          <w:noProof/>
        </w:rPr>
        <w:tab/>
      </w:r>
      <w:r>
        <w:rPr>
          <w:b/>
          <w:noProof/>
        </w:rPr>
        <w:t>Fad agus tionchar airgeadais</w:t>
      </w:r>
    </w:p>
    <w:p>
      <w:pPr>
        <w:ind w:left="850"/>
        <w:rPr>
          <w:rFonts w:eastAsia="Calibri"/>
          <w:noProof/>
        </w:rPr>
      </w:pPr>
      <w:r>
        <w:rPr>
          <w:b/>
          <w:noProof/>
        </w:rPr>
        <w:t>X</w:t>
      </w:r>
      <w:r>
        <w:rPr>
          <w:b/>
          <w:i/>
          <w:noProof/>
        </w:rPr>
        <w:t xml:space="preserve"> </w:t>
      </w:r>
      <w:r>
        <w:rPr>
          <w:b/>
          <w:noProof/>
        </w:rPr>
        <w:t xml:space="preserve">tréimhse theoranta </w:t>
      </w:r>
    </w:p>
    <w:p>
      <w:pPr>
        <w:tabs>
          <w:tab w:val="num" w:pos="1134"/>
        </w:tabs>
        <w:ind w:left="1134" w:hanging="283"/>
        <w:rPr>
          <w:rFonts w:eastAsia="Calibri"/>
          <w:noProof/>
        </w:rPr>
      </w:pPr>
      <w:r>
        <w:rPr>
          <w:b/>
          <w:noProof/>
        </w:rPr>
        <w:t>X</w:t>
      </w:r>
      <w:r>
        <w:rPr>
          <w:noProof/>
        </w:rPr>
        <w:tab/>
        <w:t xml:space="preserve">i bhfeidhm ó [01/01]2021 go [31/12]2027 </w:t>
      </w:r>
    </w:p>
    <w:p>
      <w:pPr>
        <w:tabs>
          <w:tab w:val="num" w:pos="1134"/>
        </w:tabs>
        <w:ind w:left="1134" w:hanging="283"/>
        <w:rPr>
          <w:rFonts w:eastAsia="Calibri"/>
          <w:noProof/>
        </w:rPr>
      </w:pPr>
      <w:r>
        <w:rPr>
          <w:b/>
          <w:noProof/>
        </w:rPr>
        <w:t>X</w:t>
      </w:r>
      <w:r>
        <w:rPr>
          <w:noProof/>
        </w:rPr>
        <w:tab/>
        <w:t xml:space="preserve">Tionchar airgeadais ó 2021 go 2027 do leithreasuithe faoi chomhair gealltanas agus ó 2021 go 2029 do leithreasuithe faoi chomhair íocaíochtaí. </w:t>
      </w:r>
    </w:p>
    <w:p>
      <w:pPr>
        <w:ind w:left="850"/>
        <w:rPr>
          <w:rFonts w:eastAsia="Calibri"/>
          <w:noProof/>
        </w:rPr>
      </w:pPr>
      <w:r>
        <w:rPr>
          <w:rFonts w:eastAsia="Calibri"/>
          <w:noProof/>
        </w:rPr>
        <w:sym w:font="Wingdings" w:char="F0A8"/>
      </w:r>
      <w:r>
        <w:rPr>
          <w:b/>
          <w:i/>
          <w:noProof/>
        </w:rPr>
        <w:t xml:space="preserve"> </w:t>
      </w:r>
      <w:r>
        <w:rPr>
          <w:b/>
          <w:noProof/>
        </w:rPr>
        <w:t>tréimhse neamhtheoranta</w:t>
      </w:r>
    </w:p>
    <w:p>
      <w:pPr>
        <w:tabs>
          <w:tab w:val="num" w:pos="1134"/>
        </w:tabs>
        <w:ind w:left="1134" w:hanging="283"/>
        <w:rPr>
          <w:rFonts w:eastAsia="Calibri"/>
          <w:noProof/>
        </w:rPr>
      </w:pPr>
      <w:r>
        <w:rPr>
          <w:noProof/>
        </w:rPr>
        <w:t>Cuirfear chun feidhme é le linn na tréimhse tosaigh BBBB go BBBB,</w:t>
      </w:r>
    </w:p>
    <w:p>
      <w:pPr>
        <w:tabs>
          <w:tab w:val="num" w:pos="1134"/>
        </w:tabs>
        <w:ind w:left="1134" w:hanging="283"/>
        <w:rPr>
          <w:rFonts w:eastAsia="Calibri"/>
          <w:noProof/>
        </w:rPr>
      </w:pPr>
      <w:r>
        <w:rPr>
          <w:noProof/>
        </w:rPr>
        <w:t>agus cuirfear ag feidhmiú go hiomlán ina dhiaidh sin é.</w:t>
      </w:r>
    </w:p>
    <w:p>
      <w:pPr>
        <w:keepNext/>
        <w:tabs>
          <w:tab w:val="left" w:pos="850"/>
        </w:tabs>
        <w:ind w:left="850" w:hanging="850"/>
        <w:outlineLvl w:val="1"/>
        <w:rPr>
          <w:rFonts w:eastAsia="Calibri"/>
          <w:b/>
          <w:noProof/>
          <w:szCs w:val="24"/>
        </w:rPr>
      </w:pPr>
      <w:bookmarkStart w:id="8" w:name="_Toc514941981"/>
      <w:bookmarkStart w:id="9" w:name="_Toc5205288"/>
      <w:r>
        <w:rPr>
          <w:b/>
          <w:noProof/>
        </w:rPr>
        <w:t>1.6.</w:t>
      </w:r>
      <w:r>
        <w:rPr>
          <w:noProof/>
        </w:rPr>
        <w:tab/>
      </w:r>
      <w:r>
        <w:rPr>
          <w:b/>
          <w:noProof/>
        </w:rPr>
        <w:t>Modhanna bainistíochta atá beartaithe</w:t>
      </w:r>
      <w:r>
        <w:rPr>
          <w:rStyle w:val="FootnoteReference"/>
          <w:noProof/>
        </w:rPr>
        <w:footnoteReference w:id="10"/>
      </w:r>
      <w:bookmarkEnd w:id="8"/>
      <w:bookmarkEnd w:id="9"/>
      <w:r>
        <w:rPr>
          <w:b/>
          <w:noProof/>
          <w:vertAlign w:val="superscript"/>
        </w:rPr>
        <w:t xml:space="preserve"> </w:t>
      </w:r>
    </w:p>
    <w:p>
      <w:pPr>
        <w:ind w:left="850"/>
        <w:rPr>
          <w:rFonts w:eastAsia="Calibri"/>
          <w:noProof/>
        </w:rPr>
      </w:pPr>
      <w:r>
        <w:rPr>
          <w:rFonts w:eastAsia="Calibri"/>
          <w:noProof/>
        </w:rPr>
        <w:sym w:font="Wingdings" w:char="F0A8"/>
      </w:r>
      <w:r>
        <w:rPr>
          <w:i/>
          <w:noProof/>
        </w:rPr>
        <w:t xml:space="preserve"> </w:t>
      </w:r>
      <w:r>
        <w:rPr>
          <w:b/>
          <w:noProof/>
        </w:rPr>
        <w:t>Bainistíocht dhíreach</w:t>
      </w:r>
      <w:r>
        <w:rPr>
          <w:noProof/>
        </w:rPr>
        <w:t xml:space="preserve"> a dhéanann an Coimisiún</w:t>
      </w:r>
    </w:p>
    <w:p>
      <w:pPr>
        <w:tabs>
          <w:tab w:val="num" w:pos="1134"/>
        </w:tabs>
        <w:ind w:left="1134" w:hanging="283"/>
        <w:rPr>
          <w:rFonts w:eastAsia="Calibri"/>
          <w:noProof/>
        </w:rPr>
      </w:pPr>
      <w:r>
        <w:rPr>
          <w:rFonts w:eastAsia="Calibri"/>
          <w:noProof/>
        </w:rPr>
        <w:sym w:font="Wingdings" w:char="F0A8"/>
      </w:r>
      <w:r>
        <w:rPr>
          <w:noProof/>
        </w:rPr>
        <w:t xml:space="preserve"> ina ranna, lena n</w:t>
      </w:r>
      <w:r>
        <w:rPr>
          <w:noProof/>
        </w:rPr>
        <w:noBreakHyphen/>
        <w:t xml:space="preserve">áirítear an chuid sin den fhoireann atá i dtoscaireachtaí an Aontais; </w:t>
      </w:r>
    </w:p>
    <w:p>
      <w:pPr>
        <w:tabs>
          <w:tab w:val="num" w:pos="1134"/>
        </w:tabs>
        <w:ind w:left="1134" w:hanging="283"/>
        <w:rPr>
          <w:rFonts w:eastAsia="Calibri"/>
          <w:noProof/>
        </w:rPr>
      </w:pPr>
      <w:r>
        <w:rPr>
          <w:rFonts w:eastAsia="Calibri"/>
          <w:noProof/>
        </w:rPr>
        <w:sym w:font="Wingdings" w:char="F0A8"/>
      </w:r>
      <w:r>
        <w:rPr>
          <w:noProof/>
        </w:rPr>
        <w:tab/>
        <w:t xml:space="preserve">trí na gníomhaireachtaí feidhmiúcháin; </w:t>
      </w:r>
    </w:p>
    <w:p>
      <w:pPr>
        <w:ind w:left="850"/>
        <w:rPr>
          <w:rFonts w:eastAsia="Calibri"/>
          <w:noProof/>
        </w:rPr>
      </w:pPr>
      <w:r>
        <w:rPr>
          <w:rFonts w:eastAsia="Calibri"/>
          <w:noProof/>
        </w:rPr>
        <w:sym w:font="Wingdings" w:char="F0A8"/>
      </w:r>
      <w:r>
        <w:rPr>
          <w:b/>
          <w:i/>
          <w:noProof/>
        </w:rPr>
        <w:t xml:space="preserve"> </w:t>
      </w:r>
      <w:r>
        <w:rPr>
          <w:b/>
          <w:noProof/>
        </w:rPr>
        <w:t>Bainistíocht atá comhroinnte</w:t>
      </w:r>
      <w:r>
        <w:rPr>
          <w:noProof/>
        </w:rPr>
        <w:t xml:space="preserve"> leis na Ballstáit </w:t>
      </w:r>
    </w:p>
    <w:p>
      <w:pPr>
        <w:ind w:left="850"/>
        <w:rPr>
          <w:rFonts w:eastAsia="Calibri"/>
          <w:noProof/>
        </w:rPr>
      </w:pPr>
      <w:r>
        <w:rPr>
          <w:b/>
          <w:noProof/>
        </w:rPr>
        <w:t>X</w:t>
      </w:r>
      <w:r>
        <w:rPr>
          <w:i/>
          <w:noProof/>
        </w:rPr>
        <w:t xml:space="preserve"> </w:t>
      </w:r>
      <w:r>
        <w:rPr>
          <w:b/>
          <w:noProof/>
        </w:rPr>
        <w:t>Bainistíocht indíreach</w:t>
      </w:r>
      <w:r>
        <w:rPr>
          <w:noProof/>
        </w:rPr>
        <w:t xml:space="preserve"> trí chúraimí a bhaineann le cur chun feidhme an bhuiséid a shannadh dóibh seo a leanas:</w:t>
      </w:r>
    </w:p>
    <w:p>
      <w:pPr>
        <w:tabs>
          <w:tab w:val="num" w:pos="1134"/>
        </w:tabs>
        <w:ind w:left="1134" w:hanging="283"/>
        <w:rPr>
          <w:rFonts w:eastAsia="Calibri"/>
          <w:noProof/>
        </w:rPr>
      </w:pPr>
      <w:r>
        <w:rPr>
          <w:rFonts w:eastAsia="Calibri"/>
          <w:noProof/>
        </w:rPr>
        <w:sym w:font="Wingdings" w:char="F0A8"/>
      </w:r>
      <w:r>
        <w:rPr>
          <w:noProof/>
        </w:rPr>
        <w:t xml:space="preserve"> tríú tíortha nó na comhlachtaí a d'ainmnigh siad;</w:t>
      </w:r>
    </w:p>
    <w:p>
      <w:pPr>
        <w:tabs>
          <w:tab w:val="num" w:pos="1134"/>
        </w:tabs>
        <w:ind w:left="1134" w:hanging="283"/>
        <w:rPr>
          <w:rFonts w:eastAsia="Calibri"/>
          <w:noProof/>
        </w:rPr>
      </w:pPr>
      <w:r>
        <w:rPr>
          <w:rFonts w:eastAsia="Calibri"/>
          <w:noProof/>
        </w:rPr>
        <w:sym w:font="Wingdings" w:char="F0A8"/>
      </w:r>
      <w:r>
        <w:rPr>
          <w:noProof/>
        </w:rPr>
        <w:t xml:space="preserve"> eagraíochtaí idirnáisiúnta agus a ngníomhaireachtaí (tabhair sonraí);</w:t>
      </w:r>
    </w:p>
    <w:p>
      <w:pPr>
        <w:tabs>
          <w:tab w:val="num" w:pos="1134"/>
        </w:tabs>
        <w:ind w:left="1134" w:hanging="283"/>
        <w:rPr>
          <w:rFonts w:eastAsia="Calibri"/>
          <w:noProof/>
        </w:rPr>
      </w:pPr>
      <w:r>
        <w:rPr>
          <w:rFonts w:eastAsia="Calibri"/>
          <w:noProof/>
        </w:rPr>
        <w:sym w:font="Wingdings" w:char="F0A8"/>
      </w:r>
      <w:r>
        <w:rPr>
          <w:noProof/>
        </w:rPr>
        <w:t>BEI agus an Ciste Eorpach Infheistíochta;</w:t>
      </w:r>
    </w:p>
    <w:p>
      <w:pPr>
        <w:tabs>
          <w:tab w:val="num" w:pos="1134"/>
        </w:tabs>
        <w:ind w:left="1134" w:hanging="283"/>
        <w:rPr>
          <w:rFonts w:eastAsia="Calibri"/>
          <w:noProof/>
        </w:rPr>
      </w:pPr>
      <w:r>
        <w:rPr>
          <w:b/>
          <w:noProof/>
        </w:rPr>
        <w:t>X</w:t>
      </w:r>
      <w:r>
        <w:rPr>
          <w:noProof/>
        </w:rPr>
        <w:t xml:space="preserve"> comhlachtaí dá dtagraítear in Airteagal 70 agus 71 den Rialachán Airgeadais;</w:t>
      </w:r>
    </w:p>
    <w:p>
      <w:pPr>
        <w:tabs>
          <w:tab w:val="num" w:pos="1134"/>
        </w:tabs>
        <w:ind w:left="1134" w:hanging="283"/>
        <w:rPr>
          <w:rFonts w:eastAsia="Calibri"/>
          <w:noProof/>
        </w:rPr>
      </w:pPr>
      <w:r>
        <w:rPr>
          <w:rFonts w:eastAsia="Calibri"/>
          <w:noProof/>
        </w:rPr>
        <w:sym w:font="Wingdings" w:char="F0A8"/>
      </w:r>
      <w:r>
        <w:rPr>
          <w:noProof/>
        </w:rPr>
        <w:t xml:space="preserve"> comhlachtaí dlí phoiblí;</w:t>
      </w:r>
    </w:p>
    <w:p>
      <w:pPr>
        <w:tabs>
          <w:tab w:val="num" w:pos="1134"/>
        </w:tabs>
        <w:ind w:left="1134" w:hanging="283"/>
        <w:rPr>
          <w:rFonts w:eastAsia="Calibri"/>
          <w:noProof/>
        </w:rPr>
      </w:pPr>
      <w:r>
        <w:rPr>
          <w:rFonts w:eastAsia="Calibri"/>
          <w:noProof/>
        </w:rPr>
        <w:sym w:font="Wingdings" w:char="F0A8"/>
      </w:r>
      <w:r>
        <w:rPr>
          <w:noProof/>
        </w:rPr>
        <w:t xml:space="preserve"> comhlachtaí arna rialú ag an dlí príobháideach agus a bhfuil misean seirbhíse poiblí acu sa mhéid go gcuireann siad ráthaíochtaí leordhóthanacha airgeadais ar fáil;</w:t>
      </w:r>
    </w:p>
    <w:p>
      <w:pPr>
        <w:tabs>
          <w:tab w:val="num" w:pos="1134"/>
        </w:tabs>
        <w:ind w:left="1134" w:hanging="283"/>
        <w:rPr>
          <w:rFonts w:eastAsia="Calibri"/>
          <w:noProof/>
        </w:rPr>
      </w:pPr>
      <w:r>
        <w:rPr>
          <w:rFonts w:eastAsia="Calibri"/>
          <w:noProof/>
        </w:rPr>
        <w:sym w:font="Wingdings" w:char="F0A8"/>
      </w:r>
      <w:r>
        <w:rPr>
          <w:noProof/>
        </w:rPr>
        <w:t xml:space="preserve"> comhlachtaí arna rialú ag dlí príobháideach Ballstáit, a gcuirtear de chúram orthu comhpháirtíochtaí príobháideacha poiblí a chur chun feidhme, agus a sholáthraíonn ráthaíochtaí leordhóthanacha airgeadais;</w:t>
      </w:r>
    </w:p>
    <w:p>
      <w:pPr>
        <w:tabs>
          <w:tab w:val="num" w:pos="1134"/>
        </w:tabs>
        <w:ind w:left="1134" w:hanging="283"/>
        <w:rPr>
          <w:rFonts w:eastAsia="Calibri"/>
          <w:noProof/>
        </w:rPr>
      </w:pPr>
      <w:r>
        <w:rPr>
          <w:rFonts w:eastAsia="Calibri"/>
          <w:noProof/>
        </w:rPr>
        <w:sym w:font="Wingdings" w:char="F0A8"/>
      </w:r>
      <w:r>
        <w:rPr>
          <w:noProof/>
        </w:rPr>
        <w:t xml:space="preserve"> daoine a gcuirtear de chúram orthu bearta sonracha a chur chun feidhme in CBES de bhun Theideal V de CAE, ar daoine iad a aithnítear sa bhunghníomh ábhartha.</w:t>
      </w:r>
    </w:p>
    <w:p>
      <w:pPr>
        <w:tabs>
          <w:tab w:val="num" w:pos="1134"/>
        </w:tabs>
        <w:ind w:left="1134" w:hanging="283"/>
        <w:rPr>
          <w:rFonts w:eastAsia="Calibri"/>
          <w:i/>
          <w:noProof/>
          <w:sz w:val="18"/>
          <w:u w:val="single"/>
        </w:rPr>
      </w:pPr>
      <w:r>
        <w:rPr>
          <w:i/>
          <w:noProof/>
          <w:sz w:val="18"/>
        </w:rPr>
        <w:t>I gcás ina sonraítear níos mó ná modh bainistíochta amháin, tabhair sonraí sa roinn "Nótaí" le do thoil.</w:t>
      </w:r>
    </w:p>
    <w:p>
      <w:pPr>
        <w:rPr>
          <w:rFonts w:eastAsia="Calibri"/>
          <w:noProof/>
        </w:rPr>
        <w:sectPr>
          <w:pgSz w:w="11907" w:h="16840" w:code="9"/>
          <w:pgMar w:top="1134" w:right="1418" w:bottom="1134" w:left="1418" w:header="709" w:footer="709" w:gutter="0"/>
          <w:cols w:space="708"/>
          <w:docGrid w:linePitch="360"/>
        </w:sectPr>
      </w:pPr>
    </w:p>
    <w:p>
      <w:pPr>
        <w:keepNext/>
        <w:tabs>
          <w:tab w:val="left" w:pos="850"/>
        </w:tabs>
        <w:spacing w:before="360"/>
        <w:ind w:left="850" w:hanging="850"/>
        <w:outlineLvl w:val="0"/>
        <w:rPr>
          <w:rFonts w:eastAsia="Calibri"/>
          <w:b/>
          <w:smallCaps/>
          <w:noProof/>
        </w:rPr>
      </w:pPr>
      <w:bookmarkStart w:id="10" w:name="_Toc514941983"/>
      <w:bookmarkStart w:id="11" w:name="_Toc5205290"/>
      <w:r>
        <w:rPr>
          <w:b/>
          <w:smallCaps/>
          <w:noProof/>
        </w:rPr>
        <w:t>2.</w:t>
      </w:r>
      <w:r>
        <w:rPr>
          <w:noProof/>
        </w:rPr>
        <w:tab/>
      </w:r>
      <w:r>
        <w:rPr>
          <w:b/>
          <w:smallCaps/>
          <w:noProof/>
        </w:rPr>
        <w:t>BEARTA BAINISTÍOCHTA</w:t>
      </w:r>
    </w:p>
    <w:bookmarkEnd w:id="10"/>
    <w:bookmarkEnd w:id="11"/>
    <w:p>
      <w:pPr>
        <w:keepNext/>
        <w:outlineLvl w:val="1"/>
        <w:rPr>
          <w:rFonts w:eastAsia="Calibri"/>
          <w:b/>
          <w:bCs/>
          <w:noProof/>
          <w:szCs w:val="26"/>
        </w:rPr>
      </w:pPr>
      <w:r>
        <w:rPr>
          <w:b/>
          <w:noProof/>
        </w:rPr>
        <w:t>2.1.</w:t>
      </w:r>
      <w:r>
        <w:rPr>
          <w:noProof/>
        </w:rPr>
        <w:tab/>
      </w:r>
      <w:r>
        <w:rPr>
          <w:b/>
          <w:noProof/>
        </w:rPr>
        <w:t>Rialacha faireacháin agus tuairiscithe</w:t>
      </w:r>
      <w:r>
        <w:rPr>
          <w:b/>
          <w:noProof/>
          <w:sz w:val="16"/>
        </w:rPr>
        <w:t xml:space="preserve"> </w:t>
      </w:r>
    </w:p>
    <w:p>
      <w:pPr>
        <w:ind w:left="850"/>
        <w:rPr>
          <w:rFonts w:eastAsia="Calibri"/>
          <w:i/>
          <w:noProof/>
          <w:sz w:val="20"/>
        </w:rPr>
      </w:pPr>
      <w:r>
        <w:rPr>
          <w:i/>
          <w:noProof/>
          <w:sz w:val="20"/>
        </w:rPr>
        <w:t>Sonraigh minicíocht na mbeart agus na coinníollacha atá leo</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 xml:space="preserve">Cuirfidh EIT creat meastóireachta agus faireacháin i bhfeidhm a fhágfaidh solúbthacht </w:t>
      </w:r>
      <w:r>
        <w:rPr>
          <w:noProof/>
        </w:rPr>
        <w:t xml:space="preserve"> ar na leibhéil ábhartha uile agus a áiritheoidh comhsheasmhacht le cuspóirí ginearálta an chláir Fís Eorpach agus leis an tionchar atáthar a lorg. </w:t>
      </w:r>
      <w:r>
        <w:rPr>
          <w:noProof/>
          <w:color w:val="000000"/>
        </w:rPr>
        <w:t xml:space="preserve">Go háirithe, áiritheofar lúba aiseolais idir an Coimisiún, EIT agus PENanna chun na cuspóirí a shaothrú ar bhonn comhsheasmhach, comhleanúnach, éifeachtúil. </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FAIREACHÁN</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Bunófar faireachán EIT i gcomhréir leis na sraitheanna seo a leanas:</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1. Ceann de phríomhchúraimí a bheidh ar EIT, faireachán a dhéanamh ar chur chun feidhme a bhuiséid oibriúcháin, go príomha trí bhíthin PENanna. Glacfaidh an Coimisiún páirt i gcomhdhearadh gach uirlise ábhartha tionchair agus faireacháin a fhorbróidh nó a chuirfidh EIT chun feidhme chun comhoiriúnacht agus comhsheasmhacht le córas faireacháin an chláir Fís Eorpach ina iomláine a áirithiú, lena n</w:t>
      </w:r>
      <w:r>
        <w:rPr>
          <w:noProof/>
          <w:color w:val="000000"/>
        </w:rPr>
        <w:noBreakHyphen/>
        <w:t xml:space="preserve">áirítear na príomhchonairí tionchair, an creat critéar le haghaidh Comhpháirtíochtaí Eorpacha agus an Phróisis um Pleanáil Straitéiseach. </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 xml:space="preserve">Ceann de na freagrachtaí a bheidh ar EIT, faireachán rialta a dhéanamh ar fheidhmíocht oibríochtúil agus ar thorthaí oibríochtúla PENanna agus a chórais faireacháin a athoiriúnú ar bhonn leanúnach. Tabharfar torthaí an fhaireacháin sin san áireamh i bpróisis pleanála gnó PENanna agus i gcinnteoireacht EIT maidir le leithdháileadh an bhuiséid, maidir le hullmhú na gcreat-chomhaontuithe comhpháirtíochta agus maidir leis na comhaontuithe deontais sonracha arb iad PENanna a dtairbhithe. </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2. Le faireachán ar ghníomhaíochtaí EIT féin (aschuir, torthaí agus tionchair na ngníomhaíochtaí) comhcheanglófar táscairí cainníochtúla agus cáilíochtúla i bpeirspictíocht mheántéarmach. Tar éis neamhspleáchas iomlán airgeadais a dheonú do EIT in Eanáir 2018, síníodh Meabhrán Tuisceana idir EIT agus an Coimisiún (AS EAC). Leis an Meabhrán Tuisceana sin sainmhínítear na módúlachtaí comhair eatarthu agus na socruithe mionsonraithe a bhaineann le soláthar na ranníocaíochta airgeadais ó bhuiséad ginearálta an Aontais Eorpaigh le EIT.</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Leis an bhfaireachán seo ar ghníomhaíochtaí EIT, rianófar a mhéid a bhaintear amach le COSN agus leis an Doiciméad Clársceidealaithe Aonair trí anailís a dhéanamh ar a tháscairí. Déanfar tomhas, mar shampla, ar fheidhmíocht EIT maidir le tacaíocht a sholáthar do na PENanna, maidir le tionscadail a nasctar le gníomhaíochtaí arna gcomhordú ag EIT a bhainistiú, ar dhéine agus ar chumhdach na n</w:t>
      </w:r>
      <w:r>
        <w:rPr>
          <w:noProof/>
          <w:color w:val="000000"/>
        </w:rPr>
        <w:noBreakHyphen/>
        <w:t>imeachtaí múscailte feasachta agus for-rochtana (an líon ceardlann agus imeachtaí maidir leis an gcleachtas is fearr), ar scaipeadh agus ar ghníomhaíochtaí idirnáisiúnta agus ar thionchar EIT ar chláir oibre níos forleithne na hEorpa maidir le nuálaíocht beartais, taighde agus oideachas.</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 xml:space="preserve">3. </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I gcomhréir le Rialachán EIT agus leis an Rialachán maidir leis an gclár Fís Eorpach, is in 2023 agus in 2026 a dhéanfaidh an Coimisiún na meastóireachtaí tráthrialta ar ghníomhaíochtaí EIT, lena n</w:t>
      </w:r>
      <w:r>
        <w:rPr>
          <w:noProof/>
          <w:color w:val="000000"/>
        </w:rPr>
        <w:noBreakHyphen/>
        <w:t>áirítear na gníomhaíochtaí sin a bhainistítear trí bhíthin PENanna. Leis na meastóireachtaí sin, déanfar measúnú ar éifeachtacht, éifeachtúlacht, ábharthacht, comhleanúnachas agus breisluach AE ghníomhaíochtaí EIT. Bunófar iad ar mheastóireachtaí seachtracha neamhspleácha agus cuirfear san áireamh iad sna meastóireachtaí meántéarmacha agus sna meastóireachtaí ex-post a dhéanfar ar an gclár Fís Eorpach ina iomláine d’fhonn sineirgí idir EIT agus codanna eile den chlár a áirithiú. Thairis sin, féadfaidh an Coimisiún meastóireachtaí breise a dhéanamh tráth ar bith ar théamaí nó ar thopaicí atá ábhartha go straitéiseach. Ba cheart sineirgí na ngníomhaíochtaí atá á mbeartú ag EIT le cláir eile de chuid an Aontais a áirithiú trí mheasúnú a dhéanfaidh an Coimisiún ar Dhoiciméad Clársceidealaithe Aonair EIT.</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TUAIRISCIÚ</w:t>
      </w:r>
    </w:p>
    <w:p>
      <w:pPr>
        <w:pBdr>
          <w:top w:val="single" w:sz="4" w:space="1" w:color="auto"/>
          <w:left w:val="single" w:sz="4" w:space="0" w:color="auto"/>
          <w:bottom w:val="single" w:sz="4" w:space="1" w:color="auto"/>
          <w:right w:val="single" w:sz="4" w:space="4" w:color="auto"/>
        </w:pBdr>
        <w:ind w:left="850"/>
        <w:rPr>
          <w:rFonts w:eastAsia="Calibri"/>
          <w:noProof/>
        </w:rPr>
      </w:pPr>
      <w:r>
        <w:rPr>
          <w:noProof/>
        </w:rPr>
        <w:t>Is comhlacht de chuid an Aontais é EIT a fhaigheann fóirdheontas ó bhuiséad an Aontais Eorpaigh. Ó thaobh na bainistíochta agus an rialaithe airgeadais de, glacfar le EIT faoi mar a ghlactar le comhlachtaí eile arna mbunú faoin gConradh. Dá réir sin, an Comhaontú Idirinstitiúideach</w:t>
      </w:r>
      <w:r>
        <w:rPr>
          <w:rStyle w:val="FootnoteReference"/>
          <w:noProof/>
        </w:rPr>
        <w:footnoteReference w:id="11"/>
      </w:r>
      <w:r>
        <w:rPr>
          <w:noProof/>
        </w:rPr>
        <w:t xml:space="preserve"> idir Parlaimint na hEorpa, an Chomhairle agus an Coimisiún maidir le smacht buiséadach, comhar in ábhair bhuiséadacha agus bainistíocht fhónta airgeadais, beidh feidhm ag an gcomhaontú sin maidir le EIT.</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 A mhéid a bhaineann le tuairisciú ar chur chun feidhme an chórais faireacháin:</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 xml:space="preserve">• I </w:t>
      </w:r>
      <w:r>
        <w:rPr>
          <w:i/>
          <w:noProof/>
          <w:color w:val="000000"/>
        </w:rPr>
        <w:t>nDoiciméad Clársceidealaithe Aonair (DSA)</w:t>
      </w:r>
      <w:r>
        <w:rPr>
          <w:noProof/>
          <w:color w:val="000000"/>
        </w:rPr>
        <w:t xml:space="preserve"> EIT, ar doiciméad é a ghlactar go bliantúil, tá clár oibre ilbhliantúil (n+3) agus clár oibre bliantúil (n+1) ann. Leagfar amach sna cláir oibre sin cláreagrú straitéiseach foriomlán le haghaidh bhlianta n+1 go n+3, lena n</w:t>
      </w:r>
      <w:r>
        <w:rPr>
          <w:noProof/>
          <w:color w:val="000000"/>
        </w:rPr>
        <w:noBreakHyphen/>
        <w:t>áirítear na cuspóirí, na torthaí a bhfuiltear ag súil leo agus na táscairí feidhmíochta chun faireachán a dhéanamh ar ghnóthachtáil na gcuspóirí agus na dtorthaí.  Ina theannta sin, i measc nithe eile beidh meastachán ar a ioncam agus ar a chaiteachas sa Doiciméad Clársceidealaithe Aonair; doiciméad clársceidealaithe acmhainní; faisnéis maidir lena bheartas tógála; straitéis chun gnóthachain éifeachtúlachta agus sineirgí a bhaint amach; straitéis maidir leis an mbainistiú eagrúcháin agus na córais rialaithe inmheánacha lena n</w:t>
      </w:r>
      <w:r>
        <w:rPr>
          <w:noProof/>
          <w:color w:val="000000"/>
        </w:rPr>
        <w:noBreakHyphen/>
        <w:t xml:space="preserve">áirítear a straitéis frithchalaoise de réir an leagain is déanaí agus léiriú ar bhearta atá ann chun nach mbeidh coinbhleacht leasa, neamhrialtachtaí agus calaois ann arís. </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 xml:space="preserve">• Sa </w:t>
      </w:r>
      <w:r>
        <w:rPr>
          <w:i/>
          <w:noProof/>
          <w:color w:val="000000"/>
        </w:rPr>
        <w:t>Tuarascáil Bhliantúil Gníomhaíochta</w:t>
      </w:r>
      <w:r>
        <w:rPr>
          <w:noProof/>
          <w:color w:val="000000"/>
        </w:rPr>
        <w:t xml:space="preserve"> don bhliain roimhe sin (n-1) áireofar torthaí an phróisis faireacháin le haghaidh n</w:t>
      </w:r>
      <w:r>
        <w:rPr>
          <w:noProof/>
          <w:color w:val="000000"/>
        </w:rPr>
        <w:noBreakHyphen/>
        <w:t>1 agus cuirfear síos inti ar conas a baineadh amach na cuspóirí agus ar a mhéid a baineadh amach iad. Ba cheart don Tuarascáil Bhliantúil Gníomhaíochta Tuarascálacha ar Chostais agus ar Fheidhmíocht an PEN don bhliain roimhe sin (n-1) dá chuid oibríochtaí a chur san áireamh.</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Bunaítear dálaí tuairiscithe PENanna faoin gCreat-Chomhaontú Comhpháirtíochta agus faoi na Comhaontuithe Deontais (tuairisciú maidir le feidhmíocht agus costais). Chun an éifeachtúlacht agus an chost-éifeachtúlacht a mhéadú agus ar bhonn na taithí a fuair EIT le linn chur chun feidhme na gcomhaontuithe deontais ag na PENanna, cuirfear roinnt bearta simplithe chun feidhme sa phróiseas bainistithe deontas, bearta a mbeidh de phríomhspriocanna acu an t</w:t>
      </w:r>
      <w:r>
        <w:rPr>
          <w:noProof/>
          <w:color w:val="000000"/>
        </w:rPr>
        <w:noBreakHyphen/>
        <w:t xml:space="preserve">ualach oibre riaracháin a laghdú do PENanna agus cur le cáilíocht na sonraí a bhailítear. </w:t>
      </w:r>
    </w:p>
    <w:p>
      <w:pPr>
        <w:pBdr>
          <w:top w:val="single" w:sz="4" w:space="1" w:color="auto"/>
          <w:left w:val="single" w:sz="4" w:space="0" w:color="auto"/>
          <w:bottom w:val="single" w:sz="4" w:space="1" w:color="auto"/>
          <w:right w:val="single" w:sz="4" w:space="4" w:color="auto"/>
        </w:pBdr>
        <w:ind w:left="850"/>
        <w:rPr>
          <w:rFonts w:eastAsia="Calibri"/>
          <w:noProof/>
          <w:color w:val="000000"/>
        </w:rPr>
      </w:pPr>
    </w:p>
    <w:p>
      <w:pPr>
        <w:keepNext/>
        <w:outlineLvl w:val="1"/>
        <w:rPr>
          <w:rFonts w:eastAsia="Calibri"/>
          <w:b/>
          <w:noProof/>
        </w:rPr>
      </w:pPr>
      <w:r>
        <w:rPr>
          <w:b/>
          <w:noProof/>
        </w:rPr>
        <w:t>2.2.</w:t>
      </w:r>
      <w:r>
        <w:rPr>
          <w:noProof/>
        </w:rPr>
        <w:tab/>
      </w:r>
      <w:r>
        <w:rPr>
          <w:b/>
          <w:noProof/>
        </w:rPr>
        <w:t>Córas bainistíochta agus rialaithe</w:t>
      </w:r>
    </w:p>
    <w:p>
      <w:pPr>
        <w:keepNext/>
        <w:outlineLvl w:val="1"/>
        <w:rPr>
          <w:rFonts w:eastAsia="Calibri"/>
          <w:b/>
          <w:noProof/>
          <w:color w:val="000000"/>
          <w:szCs w:val="24"/>
        </w:rPr>
      </w:pPr>
      <w:r>
        <w:rPr>
          <w:i/>
          <w:noProof/>
        </w:rPr>
        <w:t>2.2.1.</w:t>
      </w:r>
      <w:r>
        <w:rPr>
          <w:noProof/>
        </w:rPr>
        <w:tab/>
      </w:r>
      <w:r>
        <w:rPr>
          <w:i/>
          <w:noProof/>
        </w:rPr>
        <w:t>An bonn cirt atá leis na modhanna bainistíochta, le sásraí cur chun feidhme an mhaoinithe, leis na coinníollacha íocaíochta agus leis an straitéis rialaithe atá beartaithe</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De bhrí gur comhlacht é atá comhtháthaithe go hiomlán sa chlár Fís Eorpach, déantar sásraí chur chun feidhme an mhaoinithe, na módúlachtaí íocaíochta, agus an straitéis rialaithe bheartaithe a ailíniú leo sin sa chlár Fís Eorpach chun a áirithiú go mbeidh cur chuige comhsheasmhach ann do na tairbhithe agus do na geallsealbhóirí a mhéid a bhaineann le rialacha incháilitheachta agus le bainistíocht fhónta airgeadais.  </w:t>
      </w:r>
    </w:p>
    <w:p>
      <w:pPr>
        <w:pBdr>
          <w:top w:val="single" w:sz="4" w:space="1" w:color="auto"/>
          <w:left w:val="single" w:sz="4" w:space="4" w:color="auto"/>
          <w:bottom w:val="single" w:sz="4" w:space="1" w:color="auto"/>
          <w:right w:val="single" w:sz="4" w:space="4" w:color="auto"/>
        </w:pBdr>
        <w:ind w:left="850"/>
        <w:rPr>
          <w:rFonts w:eastAsia="Calibri"/>
          <w:i/>
          <w:noProof/>
          <w:color w:val="000000"/>
        </w:rPr>
      </w:pPr>
      <w:r>
        <w:rPr>
          <w:noProof/>
          <w:color w:val="000000"/>
        </w:rPr>
        <w:t>Agus ráta earráide faoi bhun 2% a bheith go leanúnach aige, bhí feidhmíocht EIT in 2014-2020 ar na feidhmíochtaí is fearr i réimse an taighde, agus a bhuí lena dhearadh saincheaptha, cuimsítear rátaí ísle earráide le cur chuige rialaithe rud a choimeádann costais rialaithe íseal agus coimeádtar an éifeachtacht agus an éifeachtúlacht ag an am céanna trí úsáid cháiréiseach a bhaint as an seachfhoinsiú.</w:t>
      </w:r>
    </w:p>
    <w:p>
      <w:pPr>
        <w:keepNext/>
        <w:outlineLvl w:val="2"/>
        <w:rPr>
          <w:rFonts w:eastAsia="Calibri"/>
          <w:bCs/>
          <w:i/>
          <w:noProof/>
          <w:color w:val="000000"/>
        </w:rPr>
      </w:pPr>
      <w:r>
        <w:rPr>
          <w:i/>
          <w:noProof/>
        </w:rPr>
        <w:t>2.2.2.</w:t>
      </w:r>
      <w:r>
        <w:rPr>
          <w:noProof/>
        </w:rPr>
        <w:tab/>
      </w:r>
      <w:r>
        <w:rPr>
          <w:i/>
          <w:noProof/>
        </w:rPr>
        <w:t>Faisnéis faoi na rioscaí a aithníodh agus na córais rialaithe inmheánacha a cuireadh ar bun chun na rioscaí a mhaolú</w:t>
      </w:r>
      <w:r>
        <w:rPr>
          <w:noProof/>
          <w:sz w:val="16"/>
        </w:rPr>
        <w:t xml:space="preserve">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Ag cur san áireamh dó an gá soiléir atá ann an buiséad Eorpach a bhainistiú ar bhealach éifeachtúil éifeachtach, agus chun bainistíocht fhónta airgeadais a áirithiú, tá córas rialaithe inmheánach curtha i bhfeidhm ag EIT chun dearbhú réasúnta a thabhairt gur laistigh de na teorainneacha atá beartaithe faoin gclár Fís Eorpach a bheidh an ráta earráide le linn na tréimhse caiteachais ilbhliantúla agus go deimhin go mbeidh an ráta earráide níos ísle ná sin. Le creat rialaithe inmheánach EIT cuirfear freisin le: Caighdeáin Rialaithe Inmheánacha an Choimisiúin, nósanna imeachta EIT féin, seiceálacha ex-ante ar 100% de chaiteachas fógartha PENanna arna mhaoiniú ag EIT, deimhnithe iniúchóireachta, deimhniú ex-ante ar mhodheolaíochtaí dearbhaithe costas, iniúchtaí ex-post ar shampla d'éilimh, torthaí na dtionscadal agus meastóireacht sheachtrach.</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Tá an struchtúr eagrúcháin agus na córais agus na nósanna imeachta bainistíochta agus rialaithe inmheánacha i bhfeidhm ag EIT a oireann do chomhlíonadh dhualgais EIT. Tá seo déanta i gcomhréir leis na caighdeáin arna nglacadh ag an mBord Rialaithe ar bhonn caighdeáin choibhéiseacha arna leagan síos ag an gCoimisiún, agus ag féachaint go hiomchuí do na rioscaí a bhaineann leis an timpeallacht bhainistíochta agus do chineál na gníomhartha a mhaoinítear.</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Is ar bhonn bliantúil a dhéantar Beart maidir le Bainistiú Riosca chun aon riosca a ghabhann le cur chun feidhme ghníomhaíochtaí uile EIT a mhaolú. Sa chomhthéacs sin, ba cheart do EIT, agus an creat rialaithe inmheánach á bhunú, na rioscaí a bhaineann leis na gníomhaíochtaí a chuirtear chun feidhme, gnéithe sonracha an daonra agus atarlú na dtairbhithe, minicíocht na ndeontas a dheonaítear agus méid na n</w:t>
      </w:r>
      <w:r>
        <w:rPr>
          <w:noProof/>
          <w:color w:val="000000"/>
        </w:rPr>
        <w:noBreakHyphen/>
        <w:t>idirbheart a chur san áireamh agus aon fhorluí maoiniúcháin a sheachaint freisin.</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A bhuí le roinnt bearta simplithe a cuireadh i bhfeidhm ó 2014 is lú na rátaí earráide. Is ísle i bhfad an ráta earráide a braitheadh de bharr an fhíoraithe ex-post ar dheontais EIT ná an leibhéal ábharthachta 2%.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A bhuí leis an gcóras rialaithe arna bhunú ag EIT tá dearbhú réasúnta ann go ndéanfar bainistiú leordhóthanach ar na rioscaí a bhaineann le héifeachtacht agus éifeachtúlacht na n</w:t>
      </w:r>
      <w:r>
        <w:rPr>
          <w:noProof/>
          <w:color w:val="000000"/>
        </w:rPr>
        <w:noBreakHyphen/>
        <w:t>oibríochtaí, go n</w:t>
      </w:r>
      <w:r>
        <w:rPr>
          <w:noProof/>
          <w:color w:val="000000"/>
        </w:rPr>
        <w:noBreakHyphen/>
        <w:t>áiritheofar dlíthiúlacht agus rialtacht na n</w:t>
      </w:r>
      <w:r>
        <w:rPr>
          <w:noProof/>
          <w:color w:val="000000"/>
        </w:rPr>
        <w:noBreakHyphen/>
        <w:t>idirbheart is bun leo agus go mbainfear amach cothromaíocht idir an t</w:t>
      </w:r>
      <w:r>
        <w:rPr>
          <w:noProof/>
          <w:color w:val="000000"/>
        </w:rPr>
        <w:noBreakHyphen/>
        <w:t>iontaobhas agus an rialú. Mar chuid den chóras rialaithe arna chur i bhfeidhm ag EIT, tá an straitéis iniúchóireachta bunaithe ar iniúchadh airgeadais arna dhéanamh ar shampla ionadaíoch den chaiteachas ar fud bhuiséad iomlán EIT, go háirithe trí na deontais bhliantúla arna ndámhachtain ar bhonn bliantúil. Féadfar an sampla ionadaíoch seo a chomhlánú le rogha a bhunófar ar mheasúnú ar na rioscaí a bhaineann le caiteachas le linn na seiceálacha ex-ante ar 100% d'éilimh agus bainfear leas as an taithí a gheofar sa mheasúnú ar chreat rialaithe an mheasúnaithe riosca do chur chun feidhme deontas. Leanfar d'iniúchtaí a dhéanamh ar chaiteachas ar bhealach comhleanúnach i gcomhréir le prionsabail na barainneachta, na héifeachtúlachta agus na héifeachtachta.</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A mhéid a bhaineann le rialú inmheánach Chreat EIT, tá straitéis fhoriomlán forbartha ag EIT, lena n</w:t>
      </w:r>
      <w:r>
        <w:rPr>
          <w:noProof/>
          <w:color w:val="000000"/>
        </w:rPr>
        <w:noBreakHyphen/>
        <w:t>áirítear struchtúr maoirseachta maidir le cur chun feidhme próiseas rialaithe inmheánach lena dtugtar tacaíocht do shaolré iomlán an chaiteachais. Déanann an lucht bainistíochta sinsearach a áirithiú go nglacfaidh an Bord Rialaithe go foirmiúil leis an straitéis fhoriomlán seo agus go gcuirfidh sé chun feidhme í. Ar phríomheilimintí na straitéise seo tá cleachtas pleanála agus tuairiscithe lena leantar caighdeáin an Choimisiúin agus atá nasctha le cur chuige an Bhainistithe Riosca. Thairis sin, tá roinnt Buan-Nósanna Imeachta Oibríochta (SOP) forbartha ag EIT. Is treoracha mionsonraithe i scríbhinn iad buan-nósanna imeachta oibríochta chun aonfhoirmeacht maidir le feidhmíocht próisis shonraigh a bhaint amach; de ghnáth cumhdaítear níos mó sna treoracha ná aon chúram nó réimse in EIT, san Aonad, sa Roinn nó sna foirne.</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Is iad PENanna agus na comhpháirtithe difriúla a sholáthraíonn deimhnithe iniúchóireachta maidir leis na ráitis airgeadais, ar deimhnithe iad trína ndeimhníonn iniúchóirí neamhspleácha atá ar conradh ag EIT dlíthiúlacht agus comhlíontacht na méideanna a dhearbhaítear sna tuarascálacha airgeadais.</w:t>
      </w:r>
    </w:p>
    <w:p>
      <w:pPr>
        <w:pBdr>
          <w:top w:val="single" w:sz="4" w:space="1" w:color="auto"/>
          <w:left w:val="single" w:sz="4" w:space="4" w:color="auto"/>
          <w:bottom w:val="single" w:sz="4" w:space="1" w:color="auto"/>
          <w:right w:val="single" w:sz="4" w:space="4" w:color="auto"/>
        </w:pBdr>
        <w:ind w:left="850"/>
        <w:rPr>
          <w:rFonts w:eastAsia="Calibri"/>
          <w:noProof/>
          <w:color w:val="000000"/>
        </w:rPr>
      </w:pPr>
    </w:p>
    <w:p>
      <w:pPr>
        <w:keepNext/>
        <w:outlineLvl w:val="2"/>
        <w:rPr>
          <w:rFonts w:eastAsia="Calibri"/>
          <w:bCs/>
          <w:i/>
          <w:noProof/>
          <w:color w:val="000000"/>
        </w:rPr>
      </w:pPr>
      <w:r>
        <w:rPr>
          <w:i/>
          <w:noProof/>
        </w:rPr>
        <w:t>2.2.3.</w:t>
      </w:r>
      <w:r>
        <w:rPr>
          <w:noProof/>
        </w:rPr>
        <w:tab/>
      </w:r>
      <w:r>
        <w:rPr>
          <w:i/>
          <w:noProof/>
        </w:rPr>
        <w:t>Meastachán ar chost-éifeachtúlacht na rialuithe agus an bonn cirt atá leis sin (cóimheas “costais rialaithe ÷ luach na gcistí gaolmhara arna mbainistiú”) agus measúnú ar an leibhéal riosca earráide a mheastar a bheidh ann (tráth an íocaíocht a dhéanamh agus tráth an clár a dhúnadh)</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Maidir le costais rialaithe EIT, de réir an mheastacháin is déanaí, is ísle iad ná 3% de na cistí arna mbainistiú, agus tá riosca earráide 1% ann freisin. Déantar gníomhaíochtaí ceartaitheacha go tráthrialta trí bhíthin deimhnithe maidir le ráitis airgeadais agus maidir le hiniúchtaí ex post. A bhuí le méid na hinstitiúide agus lena cur chuige seachfhoinsithe éifeachtach éifeachtúil féadtar na costais a bhaineann leo a bheith fós íseal agus leibhéal an dearbhaithe a bheith fós leordhóthanach, faoi mar a léiríodh leis na dearbhuithe urrúis ag Cúirt Iniúchóirí na hEorpa le déanaí.</w:t>
      </w:r>
    </w:p>
    <w:p>
      <w:pPr>
        <w:keepNext/>
        <w:outlineLvl w:val="1"/>
        <w:rPr>
          <w:rFonts w:eastAsia="Calibri"/>
          <w:b/>
          <w:noProof/>
          <w:color w:val="000000"/>
          <w:szCs w:val="24"/>
        </w:rPr>
      </w:pPr>
      <w:r>
        <w:rPr>
          <w:b/>
          <w:noProof/>
        </w:rPr>
        <w:t>2.3.</w:t>
      </w:r>
      <w:r>
        <w:rPr>
          <w:noProof/>
        </w:rPr>
        <w:tab/>
      </w:r>
      <w:r>
        <w:rPr>
          <w:b/>
          <w:noProof/>
        </w:rPr>
        <w:t>Bearta chun calaois agus neamhrialtachtaí a chosc</w:t>
      </w:r>
      <w:r>
        <w:rPr>
          <w:b/>
          <w:noProof/>
          <w:sz w:val="16"/>
        </w:rPr>
        <w:t xml:space="preserve"> </w:t>
      </w:r>
    </w:p>
    <w:p>
      <w:pPr>
        <w:ind w:left="850"/>
        <w:rPr>
          <w:rFonts w:eastAsia="Calibri"/>
          <w:i/>
          <w:noProof/>
          <w:color w:val="000000"/>
          <w:sz w:val="20"/>
        </w:rPr>
      </w:pPr>
      <w:r>
        <w:rPr>
          <w:i/>
          <w:noProof/>
          <w:color w:val="000000"/>
          <w:sz w:val="20"/>
        </w:rPr>
        <w:t>Sonraigh na bearta coisctheacha agus cosanta atá ann cheana nó atá beartaithe, e.g. ón Straitéis Frithchalaoise.</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Déanfaidh EIT bearta iomchuí lena n</w:t>
      </w:r>
      <w:r>
        <w:rPr>
          <w:noProof/>
          <w:color w:val="000000"/>
        </w:rPr>
        <w:noBreakHyphen/>
        <w:t xml:space="preserve">áiritheofar go gcosnaítear leas airgeadais an Aontais.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Tá EIT meáite ar an gcalaois a chomhrac ag gach céim den phróiseas bainistithe deontas agus de ghníomhaíochtaí eile a chuirtear chun feidhme. Le gach cinneadh a ghlacfaidh EIT agus le gach conradh a chuirfidh EIT i gcrích forálfar go sonrach go bhféadfaidh an Oifig Eorpach Frith-Chalaoise (OLAF) agus an Chúirt Iniúchóirí cigireacht ar an láthair a dhéanamh ar dhoiciméid gach conraitheora agus gach fochonraitheora a bhfuil maoiniú de chuid an Aontais faighte aige, lena n</w:t>
      </w:r>
      <w:r>
        <w:rPr>
          <w:noProof/>
          <w:color w:val="000000"/>
        </w:rPr>
        <w:noBreakHyphen/>
        <w:t>áirítear ag áitreabh na dtairbhithe deiridh.</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Ó bhí 2015 ann tá Straitéis Frith-Chalaoise ag EIT atá i gcomhréir le straitéis an Choimisiúin agus tá sé ag cur feabhas go leanúnach ar a bhearta chun calaois a chosc agus a bhrath.</w:t>
      </w:r>
    </w:p>
    <w:p>
      <w:pPr>
        <w:rPr>
          <w:rFonts w:eastAsia="Calibri"/>
          <w:noProof/>
        </w:rPr>
        <w:sectPr>
          <w:pgSz w:w="11907" w:h="16840" w:code="9"/>
          <w:pgMar w:top="1134" w:right="1418" w:bottom="1134" w:left="1418" w:header="709" w:footer="709" w:gutter="0"/>
          <w:cols w:space="708"/>
          <w:docGrid w:linePitch="360"/>
        </w:sectPr>
      </w:pPr>
    </w:p>
    <w:p>
      <w:pPr>
        <w:rPr>
          <w:rFonts w:eastAsia="Calibri"/>
          <w:noProof/>
        </w:rPr>
      </w:pPr>
      <w:bookmarkStart w:id="12" w:name="_Toc514941990"/>
      <w:bookmarkStart w:id="13" w:name="_Toc5205297"/>
      <w:r>
        <w:rPr>
          <w:b/>
          <w:smallCaps/>
          <w:noProof/>
        </w:rPr>
        <w:t>3.</w:t>
      </w:r>
      <w:r>
        <w:rPr>
          <w:noProof/>
        </w:rPr>
        <w:tab/>
      </w:r>
      <w:r>
        <w:rPr>
          <w:b/>
          <w:smallCaps/>
          <w:noProof/>
        </w:rPr>
        <w:t>AN TIONCHAR AIRGEADAIS A MHEASTAR A BHEIDH AG AN TOGRA/TIONSCNAMH</w:t>
      </w:r>
      <w:r>
        <w:rPr>
          <w:noProof/>
        </w:rPr>
        <w:t xml:space="preserve"> </w:t>
      </w:r>
    </w:p>
    <w:bookmarkEnd w:id="12"/>
    <w:bookmarkEnd w:id="13"/>
    <w:p>
      <w:pPr>
        <w:keepNext/>
        <w:outlineLvl w:val="1"/>
        <w:rPr>
          <w:rFonts w:eastAsia="Calibri"/>
          <w:b/>
          <w:bCs/>
          <w:noProof/>
          <w:szCs w:val="26"/>
        </w:rPr>
      </w:pPr>
      <w:r>
        <w:rPr>
          <w:b/>
          <w:noProof/>
        </w:rPr>
        <w:t>3.1.</w:t>
      </w:r>
      <w:r>
        <w:rPr>
          <w:noProof/>
        </w:rPr>
        <w:tab/>
      </w:r>
      <w:r>
        <w:rPr>
          <w:b/>
          <w:noProof/>
        </w:rPr>
        <w:t>Ceannteideal an chreata airgeadais ilbhliantúil agus na línte buiséid nua arna mbeartú</w:t>
      </w:r>
      <w:r>
        <w:rPr>
          <w:noProof/>
          <w:sz w:val="16"/>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vAlign w:val="center"/>
          </w:tcPr>
          <w:p>
            <w:pPr>
              <w:spacing w:before="60" w:after="60"/>
              <w:jc w:val="center"/>
              <w:rPr>
                <w:rFonts w:eastAsia="Calibri"/>
                <w:noProof/>
              </w:rPr>
            </w:pPr>
          </w:p>
        </w:tc>
        <w:tc>
          <w:tcPr>
            <w:tcW w:w="3960" w:type="dxa"/>
            <w:vAlign w:val="center"/>
          </w:tcPr>
          <w:p>
            <w:pPr>
              <w:spacing w:before="60" w:after="60"/>
              <w:jc w:val="center"/>
              <w:rPr>
                <w:rFonts w:eastAsia="Calibri"/>
                <w:noProof/>
              </w:rPr>
            </w:pPr>
            <w:r>
              <w:rPr>
                <w:noProof/>
                <w:sz w:val="20"/>
              </w:rPr>
              <w:t>Líne buiséid</w:t>
            </w:r>
          </w:p>
        </w:tc>
        <w:tc>
          <w:tcPr>
            <w:tcW w:w="1080" w:type="dxa"/>
            <w:vAlign w:val="center"/>
          </w:tcPr>
          <w:p>
            <w:pPr>
              <w:spacing w:before="60" w:after="60"/>
              <w:jc w:val="center"/>
              <w:rPr>
                <w:rFonts w:eastAsia="Calibri"/>
                <w:noProof/>
              </w:rPr>
            </w:pPr>
            <w:r>
              <w:rPr>
                <w:noProof/>
                <w:sz w:val="18"/>
              </w:rPr>
              <w:t>Saghas</w:t>
            </w:r>
            <w:r>
              <w:rPr>
                <w:rFonts w:eastAsia="Calibri"/>
                <w:noProof/>
                <w:sz w:val="22"/>
              </w:rPr>
              <w:br/>
            </w:r>
            <w:r>
              <w:rPr>
                <w:noProof/>
                <w:sz w:val="18"/>
              </w:rPr>
              <w:t>caiteachais</w:t>
            </w:r>
          </w:p>
        </w:tc>
        <w:tc>
          <w:tcPr>
            <w:tcW w:w="4440" w:type="dxa"/>
            <w:gridSpan w:val="4"/>
            <w:vAlign w:val="center"/>
          </w:tcPr>
          <w:p>
            <w:pPr>
              <w:spacing w:before="60" w:after="60"/>
              <w:jc w:val="center"/>
              <w:rPr>
                <w:rFonts w:eastAsia="Calibri"/>
                <w:noProof/>
              </w:rPr>
            </w:pPr>
            <w:r>
              <w:rPr>
                <w:noProof/>
                <w:sz w:val="20"/>
              </w:rPr>
              <w:t xml:space="preserve">Ranníocaíocht </w:t>
            </w:r>
          </w:p>
        </w:tc>
      </w:tr>
      <w:tr>
        <w:tc>
          <w:tcPr>
            <w:tcW w:w="1080" w:type="dxa"/>
            <w:vMerge/>
            <w:vAlign w:val="center"/>
          </w:tcPr>
          <w:p>
            <w:pPr>
              <w:jc w:val="center"/>
              <w:rPr>
                <w:rFonts w:eastAsia="Calibri"/>
                <w:noProof/>
              </w:rPr>
            </w:pPr>
          </w:p>
        </w:tc>
        <w:tc>
          <w:tcPr>
            <w:tcW w:w="3960" w:type="dxa"/>
            <w:vAlign w:val="center"/>
          </w:tcPr>
          <w:p>
            <w:pPr>
              <w:spacing w:before="60"/>
              <w:rPr>
                <w:noProof/>
                <w:sz w:val="22"/>
              </w:rPr>
            </w:pPr>
            <w:r>
              <w:rPr>
                <w:noProof/>
                <w:sz w:val="22"/>
              </w:rPr>
              <w:t>01.010101 Caiteachas a bhaineann le gníomhairí oifigiúla agus sealadacha a chuireann na cláir thaighde agus nuálaíochta chun feidhme - Fís Eorpach</w:t>
            </w:r>
          </w:p>
          <w:p>
            <w:pPr>
              <w:spacing w:before="60"/>
              <w:rPr>
                <w:noProof/>
                <w:sz w:val="22"/>
              </w:rPr>
            </w:pPr>
            <w:r>
              <w:rPr>
                <w:noProof/>
                <w:sz w:val="22"/>
              </w:rPr>
              <w:t>01.010102 Pearsanra seachtrach a chuireann cláir thaighde agus nuálaíochta chun feidhme – Fís Eorpach</w:t>
            </w:r>
          </w:p>
          <w:p>
            <w:pPr>
              <w:spacing w:before="60"/>
              <w:rPr>
                <w:noProof/>
                <w:sz w:val="22"/>
              </w:rPr>
            </w:pPr>
            <w:r>
              <w:rPr>
                <w:noProof/>
                <w:sz w:val="22"/>
              </w:rPr>
              <w:t>01.010103 Caiteachas eile bainistíochta maidir le cláir thaighde agus nuálaíochta – Fís Eorpach</w:t>
            </w:r>
          </w:p>
          <w:p>
            <w:pPr>
              <w:rPr>
                <w:rFonts w:eastAsia="Calibri"/>
                <w:noProof/>
                <w:sz w:val="22"/>
              </w:rPr>
            </w:pPr>
          </w:p>
          <w:p>
            <w:pPr>
              <w:rPr>
                <w:rFonts w:eastAsia="Calibri"/>
                <w:noProof/>
              </w:rPr>
            </w:pPr>
            <w:r>
              <w:rPr>
                <w:noProof/>
                <w:sz w:val="22"/>
              </w:rPr>
              <w:t>Ceannteideal I – An Margadh aonair, Nuálaíocht agus an Clár Oibre Digiteach</w:t>
            </w:r>
          </w:p>
        </w:tc>
        <w:tc>
          <w:tcPr>
            <w:tcW w:w="1080" w:type="dxa"/>
            <w:vAlign w:val="center"/>
          </w:tcPr>
          <w:p>
            <w:pPr>
              <w:jc w:val="center"/>
              <w:rPr>
                <w:rFonts w:eastAsia="Calibri"/>
                <w:noProof/>
              </w:rPr>
            </w:pPr>
            <w:r>
              <w:rPr>
                <w:noProof/>
                <w:sz w:val="18"/>
              </w:rPr>
              <w:t>Neamhdhif.</w:t>
            </w:r>
            <w:r>
              <w:rPr>
                <w:rStyle w:val="FootnoteReference"/>
                <w:noProof/>
              </w:rPr>
              <w:footnoteReference w:id="12"/>
            </w:r>
            <w:r>
              <w:rPr>
                <w:noProof/>
              </w:rPr>
              <w:t>.</w:t>
            </w:r>
          </w:p>
        </w:tc>
        <w:tc>
          <w:tcPr>
            <w:tcW w:w="1044" w:type="dxa"/>
            <w:vAlign w:val="center"/>
          </w:tcPr>
          <w:p>
            <w:pPr>
              <w:jc w:val="center"/>
              <w:rPr>
                <w:rFonts w:eastAsia="Calibri"/>
                <w:noProof/>
              </w:rPr>
            </w:pPr>
            <w:r>
              <w:rPr>
                <w:noProof/>
                <w:sz w:val="18"/>
              </w:rPr>
              <w:t>ó thíortha de chuid CSTE</w:t>
            </w:r>
            <w:r>
              <w:rPr>
                <w:rStyle w:val="FootnoteReference"/>
                <w:noProof/>
              </w:rPr>
              <w:footnoteReference w:id="13"/>
            </w:r>
          </w:p>
          <w:p>
            <w:pPr>
              <w:spacing w:before="0" w:after="0"/>
              <w:jc w:val="center"/>
              <w:rPr>
                <w:rFonts w:eastAsia="Calibri"/>
                <w:b/>
                <w:noProof/>
                <w:sz w:val="18"/>
              </w:rPr>
            </w:pPr>
          </w:p>
        </w:tc>
        <w:tc>
          <w:tcPr>
            <w:tcW w:w="1134" w:type="dxa"/>
            <w:vAlign w:val="center"/>
          </w:tcPr>
          <w:p>
            <w:pPr>
              <w:jc w:val="center"/>
              <w:rPr>
                <w:rFonts w:eastAsia="Calibri"/>
                <w:noProof/>
              </w:rPr>
            </w:pPr>
            <w:r>
              <w:rPr>
                <w:noProof/>
                <w:sz w:val="18"/>
              </w:rPr>
              <w:t>ó thíortha is iarrthóirí</w:t>
            </w:r>
            <w:r>
              <w:rPr>
                <w:rStyle w:val="FootnoteReference"/>
                <w:noProof/>
              </w:rPr>
              <w:footnoteReference w:id="14"/>
            </w:r>
          </w:p>
          <w:p>
            <w:pPr>
              <w:spacing w:before="0" w:after="0"/>
              <w:jc w:val="center"/>
              <w:rPr>
                <w:rFonts w:eastAsia="Calibri"/>
                <w:noProof/>
                <w:sz w:val="18"/>
              </w:rPr>
            </w:pPr>
          </w:p>
        </w:tc>
        <w:tc>
          <w:tcPr>
            <w:tcW w:w="814" w:type="dxa"/>
            <w:vAlign w:val="center"/>
          </w:tcPr>
          <w:p>
            <w:pPr>
              <w:jc w:val="center"/>
              <w:rPr>
                <w:rFonts w:eastAsia="Calibri"/>
                <w:noProof/>
                <w:sz w:val="18"/>
              </w:rPr>
            </w:pPr>
            <w:r>
              <w:rPr>
                <w:noProof/>
                <w:sz w:val="18"/>
              </w:rPr>
              <w:t>ó thríú tíortha</w:t>
            </w:r>
          </w:p>
        </w:tc>
        <w:tc>
          <w:tcPr>
            <w:tcW w:w="1448" w:type="dxa"/>
            <w:vAlign w:val="center"/>
          </w:tcPr>
          <w:p>
            <w:pPr>
              <w:jc w:val="center"/>
              <w:rPr>
                <w:rFonts w:eastAsia="Calibri"/>
                <w:noProof/>
              </w:rPr>
            </w:pPr>
            <w:r>
              <w:rPr>
                <w:noProof/>
                <w:sz w:val="16"/>
              </w:rPr>
              <w:t xml:space="preserve">de réir bhrí Airteagal [21(2)(b)] den Rialachán Airgeadais </w:t>
            </w:r>
          </w:p>
        </w:tc>
      </w:tr>
      <w:tr>
        <w:tc>
          <w:tcPr>
            <w:tcW w:w="1080" w:type="dxa"/>
            <w:vAlign w:val="center"/>
          </w:tcPr>
          <w:p>
            <w:pPr>
              <w:jc w:val="center"/>
              <w:rPr>
                <w:rFonts w:eastAsia="Calibri"/>
                <w:noProof/>
                <w:color w:val="0000FF"/>
              </w:rPr>
            </w:pPr>
          </w:p>
        </w:tc>
        <w:tc>
          <w:tcPr>
            <w:tcW w:w="3960" w:type="dxa"/>
            <w:vAlign w:val="center"/>
          </w:tcPr>
          <w:p>
            <w:pPr>
              <w:spacing w:before="60"/>
              <w:rPr>
                <w:rFonts w:eastAsia="Calibri"/>
                <w:noProof/>
                <w:sz w:val="22"/>
              </w:rPr>
            </w:pPr>
            <w:r>
              <w:rPr>
                <w:noProof/>
                <w:sz w:val="22"/>
              </w:rPr>
              <w:t xml:space="preserve">01.02.03.XX an Institiúid Eorpach um Nuálaíocht agus Teicneolaíocht (EIT) </w:t>
            </w:r>
          </w:p>
        </w:tc>
        <w:tc>
          <w:tcPr>
            <w:tcW w:w="1080" w:type="dxa"/>
            <w:vAlign w:val="center"/>
          </w:tcPr>
          <w:p>
            <w:pPr>
              <w:jc w:val="center"/>
              <w:rPr>
                <w:rFonts w:eastAsia="Calibri"/>
                <w:noProof/>
                <w:color w:val="0000FF"/>
              </w:rPr>
            </w:pPr>
            <w:r>
              <w:rPr>
                <w:noProof/>
                <w:sz w:val="22"/>
              </w:rPr>
              <w:t>Difreáilte</w:t>
            </w:r>
          </w:p>
        </w:tc>
        <w:tc>
          <w:tcPr>
            <w:tcW w:w="1044" w:type="dxa"/>
            <w:vAlign w:val="center"/>
          </w:tcPr>
          <w:p>
            <w:pPr>
              <w:jc w:val="center"/>
              <w:rPr>
                <w:rFonts w:eastAsia="Calibri"/>
                <w:noProof/>
              </w:rPr>
            </w:pPr>
            <w:r>
              <w:rPr>
                <w:noProof/>
                <w:sz w:val="22"/>
              </w:rPr>
              <w:t>TÁ</w:t>
            </w:r>
          </w:p>
        </w:tc>
        <w:tc>
          <w:tcPr>
            <w:tcW w:w="1134" w:type="dxa"/>
            <w:vAlign w:val="center"/>
          </w:tcPr>
          <w:p>
            <w:pPr>
              <w:jc w:val="center"/>
              <w:rPr>
                <w:rFonts w:eastAsia="Calibri"/>
                <w:noProof/>
              </w:rPr>
            </w:pPr>
            <w:r>
              <w:rPr>
                <w:noProof/>
                <w:sz w:val="22"/>
              </w:rPr>
              <w:t>TÁ</w:t>
            </w:r>
          </w:p>
        </w:tc>
        <w:tc>
          <w:tcPr>
            <w:tcW w:w="814" w:type="dxa"/>
            <w:vAlign w:val="center"/>
          </w:tcPr>
          <w:p>
            <w:pPr>
              <w:jc w:val="center"/>
              <w:rPr>
                <w:rFonts w:eastAsia="Calibri"/>
                <w:noProof/>
              </w:rPr>
            </w:pPr>
            <w:r>
              <w:rPr>
                <w:noProof/>
                <w:sz w:val="22"/>
              </w:rPr>
              <w:t>TÁ</w:t>
            </w:r>
          </w:p>
        </w:tc>
        <w:tc>
          <w:tcPr>
            <w:tcW w:w="1448" w:type="dxa"/>
            <w:vAlign w:val="center"/>
          </w:tcPr>
          <w:p>
            <w:pPr>
              <w:jc w:val="center"/>
              <w:rPr>
                <w:rFonts w:eastAsia="Calibri"/>
                <w:noProof/>
              </w:rPr>
            </w:pPr>
            <w:r>
              <w:rPr>
                <w:noProof/>
                <w:sz w:val="22"/>
              </w:rPr>
              <w:t>NÍL</w:t>
            </w:r>
          </w:p>
        </w:tc>
      </w:tr>
    </w:tbl>
    <w:p>
      <w:pPr>
        <w:rPr>
          <w:rFonts w:eastAsia="Calibri"/>
          <w:noProof/>
        </w:rPr>
        <w:sectPr>
          <w:pgSz w:w="11907" w:h="16840" w:code="1"/>
          <w:pgMar w:top="1134" w:right="1418" w:bottom="1134" w:left="1418" w:header="709" w:footer="709" w:gutter="0"/>
          <w:cols w:space="708"/>
          <w:docGrid w:linePitch="360"/>
        </w:sectPr>
      </w:pPr>
    </w:p>
    <w:p>
      <w:pPr>
        <w:keepNext/>
        <w:outlineLvl w:val="1"/>
        <w:rPr>
          <w:rFonts w:eastAsia="Calibri"/>
          <w:b/>
          <w:noProof/>
          <w:szCs w:val="24"/>
        </w:rPr>
      </w:pPr>
      <w:r>
        <w:rPr>
          <w:b/>
          <w:noProof/>
        </w:rPr>
        <w:t>3.2.</w:t>
      </w:r>
      <w:r>
        <w:rPr>
          <w:noProof/>
        </w:rPr>
        <w:tab/>
      </w:r>
      <w:r>
        <w:rPr>
          <w:b/>
          <w:noProof/>
        </w:rPr>
        <w:t>An tionchar a mheastar a bheidh ag an togra/tionscnamh ar chaiteachas</w:t>
      </w:r>
      <w:r>
        <w:rPr>
          <w:noProof/>
          <w:sz w:val="16"/>
        </w:rPr>
        <w:t xml:space="preserve"> </w:t>
      </w:r>
    </w:p>
    <w:p>
      <w:pPr>
        <w:keepNext/>
        <w:outlineLvl w:val="2"/>
        <w:rPr>
          <w:rFonts w:eastAsia="Calibri"/>
          <w:bCs/>
          <w:i/>
          <w:noProof/>
          <w:u w:val="single"/>
        </w:rPr>
      </w:pPr>
      <w:r>
        <w:rPr>
          <w:i/>
          <w:noProof/>
        </w:rPr>
        <w:t>3.2.1.</w:t>
      </w:r>
      <w:r>
        <w:rPr>
          <w:noProof/>
        </w:rPr>
        <w:tab/>
      </w:r>
      <w:r>
        <w:rPr>
          <w:i/>
          <w:noProof/>
        </w:rPr>
        <w:t>Achoimre ar an tionchar a mheastar a bheidh ag an togra/tionscnamh ar chaiteachas</w:t>
      </w:r>
    </w:p>
    <w:p>
      <w:pPr>
        <w:jc w:val="right"/>
        <w:rPr>
          <w:rFonts w:eastAsia="Calibri"/>
          <w:noProof/>
          <w:sz w:val="20"/>
        </w:rPr>
      </w:pPr>
      <w:r>
        <w:rPr>
          <w:noProof/>
          <w:sz w:val="20"/>
        </w:rPr>
        <w:t>EUR milliúin (go dtí an tríú deachúil)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Calibri"/>
                <w:b/>
                <w:noProof/>
              </w:rPr>
            </w:pPr>
            <w:r>
              <w:rPr>
                <w:b/>
                <w:noProof/>
                <w:sz w:val="22"/>
              </w:rPr>
              <w:t>Ceannteideal an chreata airgeadais</w:t>
            </w:r>
            <w:r>
              <w:rPr>
                <w:rFonts w:eastAsia="Calibri"/>
                <w:noProof/>
                <w:sz w:val="22"/>
              </w:rPr>
              <w:br/>
            </w:r>
            <w:r>
              <w:rPr>
                <w:b/>
                <w:noProof/>
                <w:sz w:val="22"/>
              </w:rPr>
              <w:t xml:space="preserve">ilbhliantúil: </w:t>
            </w:r>
          </w:p>
        </w:tc>
        <w:tc>
          <w:tcPr>
            <w:tcW w:w="1080" w:type="dxa"/>
            <w:vAlign w:val="center"/>
          </w:tcPr>
          <w:p>
            <w:pPr>
              <w:spacing w:before="60" w:after="60"/>
              <w:jc w:val="center"/>
              <w:rPr>
                <w:rFonts w:eastAsia="Calibri"/>
                <w:noProof/>
              </w:rPr>
            </w:pPr>
            <w:r>
              <w:rPr>
                <w:b/>
                <w:noProof/>
                <w:sz w:val="22"/>
              </w:rPr>
              <w:t>I</w:t>
            </w:r>
          </w:p>
        </w:tc>
        <w:tc>
          <w:tcPr>
            <w:tcW w:w="7817" w:type="dxa"/>
            <w:vAlign w:val="center"/>
          </w:tcPr>
          <w:p>
            <w:pPr>
              <w:spacing w:before="60" w:after="60"/>
              <w:rPr>
                <w:rFonts w:eastAsia="Calibri"/>
                <w:noProof/>
              </w:rPr>
            </w:pPr>
            <w:r>
              <w:rPr>
                <w:noProof/>
                <w:sz w:val="22"/>
              </w:rPr>
              <w:t>Ceannteideal I – An Margadh aonair, Nuálaíocht agus an Clár Oibre Digiteach</w:t>
            </w:r>
          </w:p>
        </w:tc>
      </w:tr>
    </w:tbl>
    <w:p>
      <w:pPr>
        <w:rPr>
          <w:rFonts w:eastAsia="Calibri"/>
          <w:noProof/>
          <w:sz w:val="16"/>
        </w:rPr>
      </w:pPr>
    </w:p>
    <w:p>
      <w:pPr>
        <w:rPr>
          <w:b/>
          <w:noProof/>
          <w:sz w:val="16"/>
        </w:rPr>
      </w:pPr>
    </w:p>
    <w:p>
      <w:pPr>
        <w:rPr>
          <w:b/>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rPr>
                <w:b/>
                <w:noProof/>
                <w:sz w:val="20"/>
              </w:rPr>
            </w:pP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tcPr>
          <w:p>
            <w:pPr>
              <w:rPr>
                <w:b/>
                <w:noProof/>
                <w:sz w:val="20"/>
              </w:rPr>
            </w:pPr>
            <w:r>
              <w:rPr>
                <w:b/>
                <w:noProof/>
                <w:sz w:val="20"/>
              </w:rPr>
              <w:t>2022</w:t>
            </w:r>
          </w:p>
        </w:tc>
        <w:tc>
          <w:tcPr>
            <w:tcW w:w="868" w:type="dxa"/>
            <w:tcBorders>
              <w:top w:val="single" w:sz="4" w:space="0" w:color="auto"/>
              <w:left w:val="single" w:sz="4" w:space="0" w:color="auto"/>
              <w:bottom w:val="single" w:sz="4" w:space="0" w:color="auto"/>
              <w:right w:val="single" w:sz="4" w:space="0" w:color="auto"/>
            </w:tcBorders>
            <w:vAlign w:val="center"/>
          </w:tcPr>
          <w:p>
            <w:pPr>
              <w:rPr>
                <w:b/>
                <w:noProof/>
                <w:sz w:val="20"/>
              </w:rPr>
            </w:pPr>
            <w:r>
              <w:rPr>
                <w:b/>
                <w:noProof/>
                <w:sz w:val="20"/>
              </w:rPr>
              <w:t>2023</w:t>
            </w:r>
          </w:p>
        </w:tc>
        <w:tc>
          <w:tcPr>
            <w:tcW w:w="868" w:type="dxa"/>
            <w:tcBorders>
              <w:top w:val="single" w:sz="4" w:space="0" w:color="auto"/>
              <w:left w:val="single" w:sz="4" w:space="0" w:color="auto"/>
              <w:bottom w:val="single" w:sz="4" w:space="0" w:color="auto"/>
              <w:right w:val="single" w:sz="4" w:space="0" w:color="auto"/>
            </w:tcBorders>
            <w:vAlign w:val="center"/>
          </w:tcPr>
          <w:p>
            <w:pPr>
              <w:rPr>
                <w:b/>
                <w:noProof/>
                <w:sz w:val="20"/>
              </w:rPr>
            </w:pPr>
            <w:r>
              <w:rPr>
                <w:b/>
                <w:noProof/>
                <w:sz w:val="20"/>
              </w:rPr>
              <w:t>2024</w:t>
            </w:r>
          </w:p>
        </w:tc>
        <w:tc>
          <w:tcPr>
            <w:tcW w:w="868" w:type="dxa"/>
            <w:tcBorders>
              <w:top w:val="single" w:sz="4" w:space="0" w:color="auto"/>
              <w:left w:val="single" w:sz="4" w:space="0" w:color="auto"/>
              <w:bottom w:val="single" w:sz="4" w:space="0" w:color="auto"/>
              <w:right w:val="single" w:sz="4" w:space="0" w:color="auto"/>
            </w:tcBorders>
            <w:vAlign w:val="center"/>
          </w:tcPr>
          <w:p>
            <w:pPr>
              <w:rPr>
                <w:b/>
                <w:noProof/>
                <w:sz w:val="18"/>
              </w:rPr>
            </w:pPr>
            <w:r>
              <w:rPr>
                <w:b/>
                <w:noProof/>
                <w:sz w:val="18"/>
              </w:rPr>
              <w:t>2025</w:t>
            </w:r>
          </w:p>
        </w:tc>
        <w:tc>
          <w:tcPr>
            <w:tcW w:w="868" w:type="dxa"/>
            <w:tcBorders>
              <w:top w:val="single" w:sz="4" w:space="0" w:color="auto"/>
              <w:left w:val="single" w:sz="4" w:space="0" w:color="auto"/>
              <w:bottom w:val="single" w:sz="4" w:space="0" w:color="auto"/>
              <w:right w:val="single" w:sz="4" w:space="0" w:color="auto"/>
            </w:tcBorders>
            <w:vAlign w:val="center"/>
          </w:tcPr>
          <w:p>
            <w:pPr>
              <w:rPr>
                <w:b/>
                <w:noProof/>
                <w:sz w:val="18"/>
              </w:rPr>
            </w:pPr>
            <w:r>
              <w:rPr>
                <w:b/>
                <w:noProof/>
                <w:sz w:val="18"/>
              </w:rPr>
              <w:t>2026</w:t>
            </w:r>
          </w:p>
        </w:tc>
        <w:tc>
          <w:tcPr>
            <w:tcW w:w="868" w:type="dxa"/>
            <w:tcBorders>
              <w:top w:val="single" w:sz="4" w:space="0" w:color="auto"/>
              <w:left w:val="single" w:sz="4" w:space="0" w:color="auto"/>
              <w:bottom w:val="single" w:sz="4" w:space="0" w:color="auto"/>
              <w:right w:val="single" w:sz="4" w:space="0" w:color="auto"/>
            </w:tcBorders>
            <w:vAlign w:val="center"/>
          </w:tcPr>
          <w:p>
            <w:pPr>
              <w:rPr>
                <w:b/>
                <w:noProof/>
                <w:sz w:val="18"/>
              </w:rPr>
            </w:pPr>
            <w:r>
              <w:rPr>
                <w:b/>
                <w:noProof/>
                <w:sz w:val="18"/>
              </w:rPr>
              <w:t>2027</w:t>
            </w:r>
          </w:p>
        </w:tc>
        <w:tc>
          <w:tcPr>
            <w:tcW w:w="909" w:type="dxa"/>
            <w:tcBorders>
              <w:top w:val="single" w:sz="4" w:space="0" w:color="auto"/>
              <w:left w:val="single" w:sz="4" w:space="0" w:color="auto"/>
              <w:bottom w:val="single" w:sz="4" w:space="0" w:color="auto"/>
              <w:right w:val="single" w:sz="4" w:space="0" w:color="auto"/>
            </w:tcBorders>
          </w:tcPr>
          <w:p>
            <w:pPr>
              <w:rPr>
                <w:b/>
                <w:i/>
                <w:noProof/>
                <w:sz w:val="20"/>
              </w:rPr>
            </w:pPr>
            <w:r>
              <w:rPr>
                <w:b/>
                <w:i/>
                <w:noProof/>
                <w:sz w:val="20"/>
              </w:rPr>
              <w:t>Tar éis 2027</w:t>
            </w:r>
          </w:p>
        </w:tc>
        <w:tc>
          <w:tcPr>
            <w:tcW w:w="1289" w:type="dxa"/>
            <w:tcBorders>
              <w:top w:val="single" w:sz="4" w:space="0" w:color="auto"/>
              <w:left w:val="single" w:sz="4" w:space="0" w:color="auto"/>
              <w:bottom w:val="single" w:sz="4" w:space="0" w:color="auto"/>
              <w:right w:val="single" w:sz="4" w:space="0" w:color="auto"/>
            </w:tcBorders>
            <w:vAlign w:val="center"/>
          </w:tcPr>
          <w:p>
            <w:pPr>
              <w:rPr>
                <w:b/>
                <w:noProof/>
                <w:sz w:val="20"/>
              </w:rPr>
            </w:pPr>
            <w:r>
              <w:rPr>
                <w:b/>
                <w:noProof/>
                <w:sz w:val="20"/>
              </w:rPr>
              <w:t>IOMLÁN</w:t>
            </w:r>
          </w:p>
        </w:tc>
      </w:tr>
      <w:tr>
        <w:trPr>
          <w:trHeight w:val="319"/>
          <w:jc w:val="center"/>
        </w:trPr>
        <w:tc>
          <w:tcPr>
            <w:tcW w:w="4103" w:type="dxa"/>
            <w:vAlign w:val="center"/>
          </w:tcPr>
          <w:p>
            <w:pPr>
              <w:rPr>
                <w:noProof/>
                <w:sz w:val="20"/>
              </w:rPr>
            </w:pPr>
            <w:r>
              <w:rPr>
                <w:noProof/>
                <w:sz w:val="20"/>
              </w:rPr>
              <w:t>Teideal I Buiséad EIT (Caiteachas foirne)</w:t>
            </w:r>
            <w:r>
              <w:rPr>
                <w:rStyle w:val="FootnoteReference"/>
                <w:noProof/>
              </w:rPr>
              <w:footnoteReference w:id="15"/>
            </w:r>
          </w:p>
          <w:p>
            <w:pPr>
              <w:spacing w:before="20" w:after="20"/>
              <w:rPr>
                <w:noProof/>
                <w:sz w:val="20"/>
              </w:rPr>
            </w:pPr>
          </w:p>
        </w:tc>
        <w:tc>
          <w:tcPr>
            <w:tcW w:w="1440" w:type="dxa"/>
            <w:vAlign w:val="center"/>
          </w:tcPr>
          <w:p>
            <w:pPr>
              <w:spacing w:before="40" w:after="40"/>
              <w:rPr>
                <w:noProof/>
                <w:sz w:val="18"/>
              </w:rPr>
            </w:pPr>
            <w:r>
              <w:rPr>
                <w:noProof/>
                <w:sz w:val="18"/>
              </w:rPr>
              <w:t>Gealltanais = Íocaíochtaí</w:t>
            </w:r>
          </w:p>
        </w:tc>
        <w:tc>
          <w:tcPr>
            <w:tcW w:w="654" w:type="dxa"/>
            <w:vAlign w:val="center"/>
          </w:tcPr>
          <w:p>
            <w:pPr>
              <w:spacing w:before="40" w:after="40"/>
              <w:jc w:val="center"/>
              <w:rPr>
                <w:noProof/>
                <w:sz w:val="14"/>
              </w:rPr>
            </w:pPr>
            <w:r>
              <w:rPr>
                <w:noProof/>
                <w:sz w:val="14"/>
              </w:rPr>
              <w:t>(1)</w:t>
            </w:r>
          </w:p>
        </w:tc>
        <w:tc>
          <w:tcPr>
            <w:tcW w:w="868" w:type="dxa"/>
            <w:vAlign w:val="center"/>
          </w:tcPr>
          <w:p>
            <w:pPr>
              <w:spacing w:before="40" w:after="40"/>
              <w:jc w:val="right"/>
              <w:rPr>
                <w:noProof/>
                <w:sz w:val="20"/>
              </w:rPr>
            </w:pPr>
            <w:r>
              <w:rPr>
                <w:noProof/>
                <w:sz w:val="20"/>
              </w:rPr>
              <w:t>5.413</w:t>
            </w:r>
          </w:p>
        </w:tc>
        <w:tc>
          <w:tcPr>
            <w:tcW w:w="868" w:type="dxa"/>
            <w:vAlign w:val="center"/>
          </w:tcPr>
          <w:p>
            <w:pPr>
              <w:spacing w:before="40" w:after="40"/>
              <w:jc w:val="right"/>
              <w:rPr>
                <w:noProof/>
                <w:sz w:val="20"/>
              </w:rPr>
            </w:pPr>
            <w:r>
              <w:rPr>
                <w:noProof/>
                <w:sz w:val="20"/>
              </w:rPr>
              <w:t>5.588</w:t>
            </w:r>
          </w:p>
        </w:tc>
        <w:tc>
          <w:tcPr>
            <w:tcW w:w="868" w:type="dxa"/>
            <w:vAlign w:val="center"/>
          </w:tcPr>
          <w:p>
            <w:pPr>
              <w:spacing w:before="40" w:after="40"/>
              <w:jc w:val="right"/>
              <w:rPr>
                <w:noProof/>
                <w:sz w:val="20"/>
              </w:rPr>
            </w:pPr>
            <w:r>
              <w:rPr>
                <w:noProof/>
                <w:sz w:val="20"/>
              </w:rPr>
              <w:t>5.768</w:t>
            </w:r>
          </w:p>
        </w:tc>
        <w:tc>
          <w:tcPr>
            <w:tcW w:w="868" w:type="dxa"/>
            <w:vAlign w:val="center"/>
          </w:tcPr>
          <w:p>
            <w:pPr>
              <w:spacing w:before="40" w:after="40"/>
              <w:jc w:val="right"/>
              <w:rPr>
                <w:noProof/>
                <w:sz w:val="20"/>
              </w:rPr>
            </w:pPr>
            <w:r>
              <w:rPr>
                <w:noProof/>
                <w:sz w:val="20"/>
              </w:rPr>
              <w:t>5.954</w:t>
            </w:r>
          </w:p>
        </w:tc>
        <w:tc>
          <w:tcPr>
            <w:tcW w:w="868" w:type="dxa"/>
            <w:vAlign w:val="center"/>
          </w:tcPr>
          <w:p>
            <w:pPr>
              <w:spacing w:before="40" w:after="40"/>
              <w:jc w:val="right"/>
              <w:rPr>
                <w:noProof/>
                <w:sz w:val="20"/>
              </w:rPr>
            </w:pPr>
            <w:r>
              <w:rPr>
                <w:noProof/>
                <w:sz w:val="20"/>
              </w:rPr>
              <w:t>6.147</w:t>
            </w:r>
          </w:p>
        </w:tc>
        <w:tc>
          <w:tcPr>
            <w:tcW w:w="868" w:type="dxa"/>
            <w:vAlign w:val="center"/>
          </w:tcPr>
          <w:p>
            <w:pPr>
              <w:spacing w:before="40" w:after="40"/>
              <w:jc w:val="right"/>
              <w:rPr>
                <w:noProof/>
                <w:sz w:val="20"/>
              </w:rPr>
            </w:pPr>
            <w:r>
              <w:rPr>
                <w:noProof/>
                <w:sz w:val="20"/>
              </w:rPr>
              <w:t>6.346</w:t>
            </w:r>
          </w:p>
        </w:tc>
        <w:tc>
          <w:tcPr>
            <w:tcW w:w="868" w:type="dxa"/>
            <w:vAlign w:val="center"/>
          </w:tcPr>
          <w:p>
            <w:pPr>
              <w:spacing w:before="40" w:after="40"/>
              <w:jc w:val="right"/>
              <w:rPr>
                <w:noProof/>
                <w:sz w:val="20"/>
              </w:rPr>
            </w:pPr>
            <w:r>
              <w:rPr>
                <w:noProof/>
                <w:sz w:val="20"/>
              </w:rPr>
              <w:t>6.551</w:t>
            </w:r>
          </w:p>
        </w:tc>
        <w:tc>
          <w:tcPr>
            <w:tcW w:w="909" w:type="dxa"/>
            <w:shd w:val="clear" w:color="auto" w:fill="A6A6A6"/>
          </w:tcPr>
          <w:p>
            <w:pPr>
              <w:spacing w:before="40" w:after="40"/>
              <w:jc w:val="right"/>
              <w:rPr>
                <w:b/>
                <w:noProof/>
                <w:sz w:val="20"/>
              </w:rPr>
            </w:pPr>
          </w:p>
        </w:tc>
        <w:tc>
          <w:tcPr>
            <w:tcW w:w="1289" w:type="dxa"/>
            <w:vAlign w:val="center"/>
          </w:tcPr>
          <w:p>
            <w:pPr>
              <w:spacing w:before="40" w:after="40"/>
              <w:jc w:val="right"/>
              <w:rPr>
                <w:b/>
                <w:noProof/>
                <w:sz w:val="20"/>
              </w:rPr>
            </w:pPr>
            <w:r>
              <w:rPr>
                <w:b/>
                <w:noProof/>
                <w:sz w:val="20"/>
              </w:rPr>
              <w:t>41.767</w:t>
            </w:r>
          </w:p>
        </w:tc>
      </w:tr>
      <w:tr>
        <w:trPr>
          <w:trHeight w:val="319"/>
          <w:jc w:val="center"/>
        </w:trPr>
        <w:tc>
          <w:tcPr>
            <w:tcW w:w="4103" w:type="dxa"/>
            <w:vAlign w:val="center"/>
          </w:tcPr>
          <w:p>
            <w:pPr>
              <w:rPr>
                <w:noProof/>
                <w:sz w:val="20"/>
              </w:rPr>
            </w:pPr>
            <w:r>
              <w:rPr>
                <w:noProof/>
                <w:sz w:val="20"/>
              </w:rPr>
              <w:t>Teideal II Buiséad EIT (Caiteachas bonneagair agus oibríochta)</w:t>
            </w:r>
          </w:p>
        </w:tc>
        <w:tc>
          <w:tcPr>
            <w:tcW w:w="1440" w:type="dxa"/>
            <w:vAlign w:val="center"/>
          </w:tcPr>
          <w:p>
            <w:pPr>
              <w:spacing w:before="40" w:after="40"/>
              <w:rPr>
                <w:noProof/>
                <w:sz w:val="18"/>
              </w:rPr>
            </w:pPr>
            <w:r>
              <w:rPr>
                <w:noProof/>
                <w:sz w:val="18"/>
              </w:rPr>
              <w:t>Gealltanais = Íocaíochtaí</w:t>
            </w:r>
          </w:p>
        </w:tc>
        <w:tc>
          <w:tcPr>
            <w:tcW w:w="654" w:type="dxa"/>
            <w:vAlign w:val="center"/>
          </w:tcPr>
          <w:p>
            <w:pPr>
              <w:spacing w:before="40" w:after="40"/>
              <w:jc w:val="center"/>
              <w:rPr>
                <w:noProof/>
                <w:sz w:val="14"/>
              </w:rPr>
            </w:pPr>
            <w:r>
              <w:rPr>
                <w:noProof/>
                <w:sz w:val="14"/>
              </w:rPr>
              <w:t>(2)</w:t>
            </w:r>
          </w:p>
        </w:tc>
        <w:tc>
          <w:tcPr>
            <w:tcW w:w="868" w:type="dxa"/>
            <w:vAlign w:val="center"/>
          </w:tcPr>
          <w:p>
            <w:pPr>
              <w:spacing w:before="40" w:after="40"/>
              <w:jc w:val="right"/>
              <w:rPr>
                <w:noProof/>
                <w:sz w:val="20"/>
              </w:rPr>
            </w:pPr>
            <w:r>
              <w:rPr>
                <w:noProof/>
                <w:sz w:val="20"/>
              </w:rPr>
              <w:t>1.309</w:t>
            </w:r>
          </w:p>
        </w:tc>
        <w:tc>
          <w:tcPr>
            <w:tcW w:w="868" w:type="dxa"/>
            <w:vAlign w:val="center"/>
          </w:tcPr>
          <w:p>
            <w:pPr>
              <w:spacing w:before="40" w:after="40"/>
              <w:jc w:val="right"/>
              <w:rPr>
                <w:noProof/>
                <w:sz w:val="20"/>
              </w:rPr>
            </w:pPr>
            <w:r>
              <w:rPr>
                <w:noProof/>
                <w:sz w:val="20"/>
              </w:rPr>
              <w:t>1.335</w:t>
            </w:r>
          </w:p>
        </w:tc>
        <w:tc>
          <w:tcPr>
            <w:tcW w:w="868" w:type="dxa"/>
            <w:vAlign w:val="center"/>
          </w:tcPr>
          <w:p>
            <w:pPr>
              <w:spacing w:before="40" w:after="40"/>
              <w:jc w:val="right"/>
              <w:rPr>
                <w:noProof/>
                <w:sz w:val="20"/>
              </w:rPr>
            </w:pPr>
            <w:r>
              <w:rPr>
                <w:noProof/>
                <w:sz w:val="20"/>
              </w:rPr>
              <w:t>1.362</w:t>
            </w:r>
          </w:p>
        </w:tc>
        <w:tc>
          <w:tcPr>
            <w:tcW w:w="868" w:type="dxa"/>
            <w:vAlign w:val="center"/>
          </w:tcPr>
          <w:p>
            <w:pPr>
              <w:spacing w:before="40" w:after="40"/>
              <w:jc w:val="right"/>
              <w:rPr>
                <w:noProof/>
                <w:sz w:val="20"/>
              </w:rPr>
            </w:pPr>
            <w:r>
              <w:rPr>
                <w:noProof/>
                <w:sz w:val="20"/>
              </w:rPr>
              <w:t>1.389</w:t>
            </w:r>
          </w:p>
        </w:tc>
        <w:tc>
          <w:tcPr>
            <w:tcW w:w="868" w:type="dxa"/>
            <w:vAlign w:val="center"/>
          </w:tcPr>
          <w:p>
            <w:pPr>
              <w:spacing w:before="40" w:after="40"/>
              <w:jc w:val="right"/>
              <w:rPr>
                <w:noProof/>
                <w:sz w:val="20"/>
              </w:rPr>
            </w:pPr>
            <w:r>
              <w:rPr>
                <w:noProof/>
                <w:sz w:val="20"/>
              </w:rPr>
              <w:t>1.417</w:t>
            </w:r>
          </w:p>
        </w:tc>
        <w:tc>
          <w:tcPr>
            <w:tcW w:w="868" w:type="dxa"/>
            <w:vAlign w:val="center"/>
          </w:tcPr>
          <w:p>
            <w:pPr>
              <w:spacing w:before="40" w:after="40"/>
              <w:jc w:val="right"/>
              <w:rPr>
                <w:noProof/>
                <w:sz w:val="20"/>
              </w:rPr>
            </w:pPr>
            <w:r>
              <w:rPr>
                <w:noProof/>
                <w:sz w:val="20"/>
              </w:rPr>
              <w:t>1.445</w:t>
            </w:r>
          </w:p>
        </w:tc>
        <w:tc>
          <w:tcPr>
            <w:tcW w:w="868" w:type="dxa"/>
            <w:vAlign w:val="center"/>
          </w:tcPr>
          <w:p>
            <w:pPr>
              <w:spacing w:before="40" w:after="40"/>
              <w:jc w:val="right"/>
              <w:rPr>
                <w:noProof/>
                <w:sz w:val="20"/>
              </w:rPr>
            </w:pPr>
            <w:r>
              <w:rPr>
                <w:noProof/>
                <w:sz w:val="20"/>
              </w:rPr>
              <w:t>1.474</w:t>
            </w:r>
          </w:p>
        </w:tc>
        <w:tc>
          <w:tcPr>
            <w:tcW w:w="909" w:type="dxa"/>
            <w:shd w:val="clear" w:color="auto" w:fill="A6A6A6"/>
          </w:tcPr>
          <w:p>
            <w:pPr>
              <w:spacing w:before="40" w:after="40"/>
              <w:jc w:val="right"/>
              <w:rPr>
                <w:b/>
                <w:noProof/>
                <w:sz w:val="20"/>
              </w:rPr>
            </w:pPr>
          </w:p>
        </w:tc>
        <w:tc>
          <w:tcPr>
            <w:tcW w:w="1289" w:type="dxa"/>
            <w:vAlign w:val="center"/>
          </w:tcPr>
          <w:p>
            <w:pPr>
              <w:spacing w:before="40" w:after="40"/>
              <w:jc w:val="right"/>
              <w:rPr>
                <w:b/>
                <w:noProof/>
                <w:sz w:val="20"/>
              </w:rPr>
            </w:pPr>
            <w:r>
              <w:rPr>
                <w:b/>
                <w:noProof/>
                <w:sz w:val="20"/>
              </w:rPr>
              <w:t>9.732</w:t>
            </w:r>
          </w:p>
        </w:tc>
      </w:tr>
      <w:tr>
        <w:trPr>
          <w:jc w:val="center"/>
        </w:trPr>
        <w:tc>
          <w:tcPr>
            <w:tcW w:w="4103" w:type="dxa"/>
            <w:vMerge w:val="restart"/>
            <w:vAlign w:val="center"/>
          </w:tcPr>
          <w:p>
            <w:pPr>
              <w:rPr>
                <w:b/>
                <w:noProof/>
              </w:rPr>
            </w:pPr>
            <w:r>
              <w:rPr>
                <w:noProof/>
                <w:sz w:val="20"/>
              </w:rPr>
              <w:t>Teideal III Buiséad EIT (Caiteachas oibríochta). Leithreasuithe faoi chomhair oibríochtaí (de réir na línte buiséid a liostaítear faoi 3.1)</w:t>
            </w:r>
          </w:p>
        </w:tc>
        <w:tc>
          <w:tcPr>
            <w:tcW w:w="1440" w:type="dxa"/>
            <w:vAlign w:val="center"/>
          </w:tcPr>
          <w:p>
            <w:pPr>
              <w:rPr>
                <w:noProof/>
                <w:sz w:val="18"/>
              </w:rPr>
            </w:pPr>
            <w:r>
              <w:rPr>
                <w:noProof/>
                <w:sz w:val="18"/>
              </w:rPr>
              <w:t>Gealltanais</w:t>
            </w:r>
          </w:p>
        </w:tc>
        <w:tc>
          <w:tcPr>
            <w:tcW w:w="654" w:type="dxa"/>
            <w:vAlign w:val="center"/>
          </w:tcPr>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386.423</w:t>
            </w:r>
          </w:p>
        </w:tc>
        <w:tc>
          <w:tcPr>
            <w:tcW w:w="868" w:type="dxa"/>
            <w:vAlign w:val="center"/>
          </w:tcPr>
          <w:p>
            <w:pPr>
              <w:spacing w:before="20" w:after="20"/>
              <w:jc w:val="right"/>
              <w:rPr>
                <w:noProof/>
                <w:sz w:val="20"/>
              </w:rPr>
            </w:pPr>
            <w:r>
              <w:rPr>
                <w:noProof/>
                <w:sz w:val="20"/>
              </w:rPr>
              <w:t>394.190</w:t>
            </w:r>
          </w:p>
        </w:tc>
        <w:tc>
          <w:tcPr>
            <w:tcW w:w="868" w:type="dxa"/>
            <w:vAlign w:val="center"/>
          </w:tcPr>
          <w:p>
            <w:pPr>
              <w:spacing w:before="20" w:after="20"/>
              <w:jc w:val="right"/>
              <w:rPr>
                <w:noProof/>
                <w:sz w:val="20"/>
              </w:rPr>
            </w:pPr>
            <w:r>
              <w:rPr>
                <w:noProof/>
                <w:sz w:val="20"/>
              </w:rPr>
              <w:t>402.088</w:t>
            </w:r>
          </w:p>
        </w:tc>
        <w:tc>
          <w:tcPr>
            <w:tcW w:w="868" w:type="dxa"/>
            <w:vAlign w:val="center"/>
          </w:tcPr>
          <w:p>
            <w:pPr>
              <w:spacing w:before="20" w:after="20"/>
              <w:jc w:val="right"/>
              <w:rPr>
                <w:noProof/>
                <w:sz w:val="20"/>
              </w:rPr>
            </w:pPr>
            <w:r>
              <w:rPr>
                <w:noProof/>
                <w:sz w:val="20"/>
              </w:rPr>
              <w:t>410.155</w:t>
            </w:r>
          </w:p>
        </w:tc>
        <w:tc>
          <w:tcPr>
            <w:tcW w:w="868" w:type="dxa"/>
            <w:vAlign w:val="center"/>
          </w:tcPr>
          <w:p>
            <w:pPr>
              <w:spacing w:before="20" w:after="20"/>
              <w:jc w:val="right"/>
              <w:rPr>
                <w:noProof/>
                <w:sz w:val="20"/>
              </w:rPr>
            </w:pPr>
            <w:r>
              <w:rPr>
                <w:noProof/>
                <w:sz w:val="20"/>
              </w:rPr>
              <w:t>418.460</w:t>
            </w:r>
          </w:p>
        </w:tc>
        <w:tc>
          <w:tcPr>
            <w:tcW w:w="868" w:type="dxa"/>
            <w:vAlign w:val="center"/>
          </w:tcPr>
          <w:p>
            <w:pPr>
              <w:spacing w:before="20" w:after="20"/>
              <w:jc w:val="right"/>
              <w:rPr>
                <w:noProof/>
                <w:sz w:val="20"/>
              </w:rPr>
            </w:pPr>
            <w:r>
              <w:rPr>
                <w:noProof/>
                <w:sz w:val="20"/>
              </w:rPr>
              <w:t>426.790</w:t>
            </w:r>
          </w:p>
        </w:tc>
        <w:tc>
          <w:tcPr>
            <w:tcW w:w="868" w:type="dxa"/>
            <w:vAlign w:val="center"/>
          </w:tcPr>
          <w:p>
            <w:pPr>
              <w:spacing w:before="20" w:after="20"/>
              <w:jc w:val="right"/>
              <w:rPr>
                <w:noProof/>
                <w:sz w:val="20"/>
              </w:rPr>
            </w:pPr>
            <w:r>
              <w:rPr>
                <w:noProof/>
                <w:sz w:val="20"/>
              </w:rPr>
              <w:t>435.394</w:t>
            </w:r>
          </w:p>
        </w:tc>
        <w:tc>
          <w:tcPr>
            <w:tcW w:w="909" w:type="dxa"/>
            <w:shd w:val="clear" w:color="auto" w:fill="A6A6A6"/>
          </w:tcPr>
          <w:p>
            <w:pPr>
              <w:spacing w:before="20" w:after="20"/>
              <w:jc w:val="center"/>
              <w:rPr>
                <w:noProof/>
                <w:sz w:val="20"/>
              </w:rPr>
            </w:pPr>
          </w:p>
        </w:tc>
        <w:tc>
          <w:tcPr>
            <w:tcW w:w="1289" w:type="dxa"/>
            <w:vAlign w:val="center"/>
          </w:tcPr>
          <w:p>
            <w:pPr>
              <w:spacing w:before="20" w:after="20"/>
              <w:jc w:val="right"/>
              <w:rPr>
                <w:b/>
                <w:noProof/>
                <w:sz w:val="20"/>
              </w:rPr>
            </w:pPr>
            <w:r>
              <w:rPr>
                <w:b/>
                <w:noProof/>
                <w:sz w:val="20"/>
              </w:rPr>
              <w:t>2 873.500</w:t>
            </w:r>
          </w:p>
        </w:tc>
      </w:tr>
      <w:tr>
        <w:trPr>
          <w:jc w:val="center"/>
        </w:trPr>
        <w:tc>
          <w:tcPr>
            <w:tcW w:w="4103" w:type="dxa"/>
            <w:vMerge/>
            <w:vAlign w:val="center"/>
          </w:tcPr>
          <w:p>
            <w:pPr>
              <w:rPr>
                <w:b/>
                <w:noProof/>
              </w:rPr>
            </w:pPr>
          </w:p>
        </w:tc>
        <w:tc>
          <w:tcPr>
            <w:tcW w:w="1440" w:type="dxa"/>
            <w:vAlign w:val="center"/>
          </w:tcPr>
          <w:p>
            <w:pPr>
              <w:rPr>
                <w:noProof/>
                <w:sz w:val="18"/>
              </w:rPr>
            </w:pPr>
            <w:r>
              <w:rPr>
                <w:noProof/>
                <w:sz w:val="18"/>
              </w:rPr>
              <w:t>Íocaíochtaí</w:t>
            </w:r>
          </w:p>
        </w:tc>
        <w:tc>
          <w:tcPr>
            <w:tcW w:w="654" w:type="dxa"/>
            <w:vAlign w:val="center"/>
          </w:tcPr>
          <w:p>
            <w:pPr>
              <w:jc w:val="center"/>
              <w:rPr>
                <w:noProof/>
                <w:sz w:val="14"/>
              </w:rPr>
            </w:pPr>
            <w:r>
              <w:rPr>
                <w:noProof/>
                <w:sz w:val="14"/>
              </w:rPr>
              <w:t>(4)</w:t>
            </w:r>
          </w:p>
          <w:p>
            <w:pPr>
              <w:rPr>
                <w:noProof/>
                <w:sz w:val="14"/>
              </w:rPr>
            </w:pPr>
          </w:p>
        </w:tc>
        <w:tc>
          <w:tcPr>
            <w:tcW w:w="868" w:type="dxa"/>
            <w:vAlign w:val="center"/>
          </w:tcPr>
          <w:p>
            <w:pPr>
              <w:spacing w:before="20" w:after="20"/>
              <w:jc w:val="right"/>
              <w:rPr>
                <w:noProof/>
                <w:sz w:val="20"/>
              </w:rPr>
            </w:pPr>
            <w:r>
              <w:rPr>
                <w:noProof/>
                <w:sz w:val="20"/>
              </w:rPr>
              <w:t>270.496</w:t>
            </w:r>
          </w:p>
        </w:tc>
        <w:tc>
          <w:tcPr>
            <w:tcW w:w="868" w:type="dxa"/>
            <w:vAlign w:val="center"/>
          </w:tcPr>
          <w:p>
            <w:pPr>
              <w:spacing w:before="20" w:after="20"/>
              <w:jc w:val="right"/>
              <w:rPr>
                <w:noProof/>
                <w:sz w:val="20"/>
              </w:rPr>
            </w:pPr>
            <w:r>
              <w:rPr>
                <w:noProof/>
                <w:sz w:val="20"/>
              </w:rPr>
              <w:t>391.860</w:t>
            </w:r>
          </w:p>
        </w:tc>
        <w:tc>
          <w:tcPr>
            <w:tcW w:w="868" w:type="dxa"/>
            <w:vAlign w:val="center"/>
          </w:tcPr>
          <w:p>
            <w:pPr>
              <w:spacing w:before="20" w:after="20"/>
              <w:jc w:val="right"/>
              <w:rPr>
                <w:noProof/>
                <w:sz w:val="20"/>
              </w:rPr>
            </w:pPr>
            <w:r>
              <w:rPr>
                <w:noProof/>
                <w:sz w:val="20"/>
              </w:rPr>
              <w:t>399.719</w:t>
            </w:r>
          </w:p>
        </w:tc>
        <w:tc>
          <w:tcPr>
            <w:tcW w:w="868" w:type="dxa"/>
            <w:vAlign w:val="center"/>
          </w:tcPr>
          <w:p>
            <w:pPr>
              <w:spacing w:before="20" w:after="20"/>
              <w:jc w:val="right"/>
              <w:rPr>
                <w:noProof/>
                <w:sz w:val="20"/>
              </w:rPr>
            </w:pPr>
            <w:r>
              <w:rPr>
                <w:noProof/>
                <w:sz w:val="20"/>
              </w:rPr>
              <w:t>407.735</w:t>
            </w:r>
          </w:p>
        </w:tc>
        <w:tc>
          <w:tcPr>
            <w:tcW w:w="868" w:type="dxa"/>
            <w:vAlign w:val="center"/>
          </w:tcPr>
          <w:p>
            <w:pPr>
              <w:spacing w:before="20" w:after="20"/>
              <w:jc w:val="right"/>
              <w:rPr>
                <w:noProof/>
                <w:sz w:val="20"/>
              </w:rPr>
            </w:pPr>
            <w:r>
              <w:rPr>
                <w:noProof/>
                <w:sz w:val="20"/>
              </w:rPr>
              <w:t>415.969</w:t>
            </w:r>
          </w:p>
        </w:tc>
        <w:tc>
          <w:tcPr>
            <w:tcW w:w="868" w:type="dxa"/>
            <w:vAlign w:val="center"/>
          </w:tcPr>
          <w:p>
            <w:pPr>
              <w:spacing w:before="20" w:after="20"/>
              <w:jc w:val="right"/>
              <w:rPr>
                <w:noProof/>
                <w:sz w:val="20"/>
              </w:rPr>
            </w:pPr>
            <w:r>
              <w:rPr>
                <w:noProof/>
                <w:sz w:val="20"/>
              </w:rPr>
              <w:t>424.291</w:t>
            </w:r>
          </w:p>
        </w:tc>
        <w:tc>
          <w:tcPr>
            <w:tcW w:w="868" w:type="dxa"/>
            <w:vAlign w:val="center"/>
          </w:tcPr>
          <w:p>
            <w:pPr>
              <w:spacing w:before="20" w:after="20"/>
              <w:jc w:val="right"/>
              <w:rPr>
                <w:noProof/>
                <w:sz w:val="20"/>
              </w:rPr>
            </w:pPr>
            <w:r>
              <w:rPr>
                <w:noProof/>
                <w:sz w:val="20"/>
              </w:rPr>
              <w:t>432.813</w:t>
            </w:r>
          </w:p>
        </w:tc>
        <w:tc>
          <w:tcPr>
            <w:tcW w:w="909" w:type="dxa"/>
          </w:tcPr>
          <w:p>
            <w:pPr>
              <w:spacing w:before="20" w:after="20"/>
              <w:jc w:val="right"/>
              <w:rPr>
                <w:noProof/>
                <w:sz w:val="20"/>
              </w:rPr>
            </w:pPr>
            <w:r>
              <w:rPr>
                <w:noProof/>
                <w:sz w:val="20"/>
              </w:rPr>
              <w:t>130.618</w:t>
            </w:r>
          </w:p>
        </w:tc>
        <w:tc>
          <w:tcPr>
            <w:tcW w:w="1289" w:type="dxa"/>
            <w:vAlign w:val="center"/>
          </w:tcPr>
          <w:p>
            <w:pPr>
              <w:spacing w:before="20" w:after="20"/>
              <w:jc w:val="right"/>
              <w:rPr>
                <w:b/>
                <w:noProof/>
                <w:sz w:val="20"/>
              </w:rPr>
            </w:pPr>
            <w:r>
              <w:rPr>
                <w:b/>
                <w:noProof/>
                <w:sz w:val="20"/>
              </w:rPr>
              <w:t>2.873.500</w:t>
            </w:r>
          </w:p>
        </w:tc>
      </w:tr>
      <w:tr>
        <w:trPr>
          <w:jc w:val="center"/>
        </w:trPr>
        <w:tc>
          <w:tcPr>
            <w:tcW w:w="4103" w:type="dxa"/>
            <w:vMerge w:val="restart"/>
            <w:vAlign w:val="center"/>
          </w:tcPr>
          <w:p>
            <w:pPr>
              <w:rPr>
                <w:noProof/>
                <w:sz w:val="18"/>
                <w:szCs w:val="18"/>
              </w:rPr>
            </w:pPr>
            <w:r>
              <w:rPr>
                <w:noProof/>
                <w:sz w:val="18"/>
              </w:rPr>
              <w:t>01.02.03.XX An Institiúid Eorpach um Nuálaíocht agus Teicneolaíocht (EIT) – Leithreasuithe faoi chomhair Oibríochtaí</w:t>
            </w:r>
          </w:p>
        </w:tc>
        <w:tc>
          <w:tcPr>
            <w:tcW w:w="1440" w:type="dxa"/>
            <w:vAlign w:val="center"/>
          </w:tcPr>
          <w:p>
            <w:pPr>
              <w:rPr>
                <w:noProof/>
                <w:sz w:val="18"/>
              </w:rPr>
            </w:pPr>
            <w:r>
              <w:rPr>
                <w:noProof/>
                <w:sz w:val="18"/>
              </w:rPr>
              <w:t>Gealltanais</w:t>
            </w:r>
          </w:p>
        </w:tc>
        <w:tc>
          <w:tcPr>
            <w:tcW w:w="654" w:type="dxa"/>
            <w:vAlign w:val="center"/>
          </w:tcPr>
          <w:p>
            <w:pPr>
              <w:jc w:val="center"/>
              <w:rPr>
                <w:noProof/>
                <w:sz w:val="14"/>
              </w:rPr>
            </w:pPr>
            <w:r>
              <w:rPr>
                <w:noProof/>
                <w:sz w:val="14"/>
              </w:rPr>
              <w:t>(5)=(1)+ (2) +(3)</w:t>
            </w:r>
          </w:p>
        </w:tc>
        <w:tc>
          <w:tcPr>
            <w:tcW w:w="868" w:type="dxa"/>
            <w:vAlign w:val="center"/>
          </w:tcPr>
          <w:p>
            <w:pPr>
              <w:spacing w:before="20" w:after="20"/>
              <w:jc w:val="right"/>
              <w:rPr>
                <w:noProof/>
                <w:sz w:val="20"/>
              </w:rPr>
            </w:pPr>
            <w:r>
              <w:rPr>
                <w:noProof/>
                <w:sz w:val="20"/>
              </w:rPr>
              <w:t>393.145</w:t>
            </w:r>
          </w:p>
        </w:tc>
        <w:tc>
          <w:tcPr>
            <w:tcW w:w="868" w:type="dxa"/>
            <w:vAlign w:val="center"/>
          </w:tcPr>
          <w:p>
            <w:pPr>
              <w:spacing w:before="20" w:after="20"/>
              <w:jc w:val="right"/>
              <w:rPr>
                <w:noProof/>
                <w:sz w:val="20"/>
              </w:rPr>
            </w:pPr>
            <w:r>
              <w:rPr>
                <w:noProof/>
                <w:sz w:val="20"/>
              </w:rPr>
              <w:t>401.113</w:t>
            </w:r>
          </w:p>
        </w:tc>
        <w:tc>
          <w:tcPr>
            <w:tcW w:w="868" w:type="dxa"/>
            <w:vAlign w:val="center"/>
          </w:tcPr>
          <w:p>
            <w:pPr>
              <w:spacing w:before="20" w:after="20"/>
              <w:jc w:val="right"/>
              <w:rPr>
                <w:noProof/>
                <w:sz w:val="20"/>
              </w:rPr>
            </w:pPr>
            <w:r>
              <w:rPr>
                <w:noProof/>
                <w:sz w:val="20"/>
              </w:rPr>
              <w:t>409.218</w:t>
            </w:r>
          </w:p>
        </w:tc>
        <w:tc>
          <w:tcPr>
            <w:tcW w:w="868" w:type="dxa"/>
            <w:vAlign w:val="center"/>
          </w:tcPr>
          <w:p>
            <w:pPr>
              <w:spacing w:before="20" w:after="20"/>
              <w:jc w:val="right"/>
              <w:rPr>
                <w:noProof/>
                <w:sz w:val="20"/>
              </w:rPr>
            </w:pPr>
            <w:r>
              <w:rPr>
                <w:noProof/>
                <w:sz w:val="20"/>
              </w:rPr>
              <w:t>417.499</w:t>
            </w:r>
          </w:p>
        </w:tc>
        <w:tc>
          <w:tcPr>
            <w:tcW w:w="868" w:type="dxa"/>
            <w:vAlign w:val="center"/>
          </w:tcPr>
          <w:p>
            <w:pPr>
              <w:spacing w:before="20" w:after="20"/>
              <w:jc w:val="right"/>
              <w:rPr>
                <w:noProof/>
                <w:sz w:val="20"/>
              </w:rPr>
            </w:pPr>
            <w:r>
              <w:rPr>
                <w:noProof/>
                <w:sz w:val="20"/>
              </w:rPr>
              <w:t>426.024</w:t>
            </w:r>
          </w:p>
        </w:tc>
        <w:tc>
          <w:tcPr>
            <w:tcW w:w="868" w:type="dxa"/>
            <w:vAlign w:val="center"/>
          </w:tcPr>
          <w:p>
            <w:pPr>
              <w:spacing w:before="20" w:after="20"/>
              <w:jc w:val="right"/>
              <w:rPr>
                <w:noProof/>
                <w:sz w:val="20"/>
              </w:rPr>
            </w:pPr>
            <w:r>
              <w:rPr>
                <w:noProof/>
                <w:sz w:val="20"/>
              </w:rPr>
              <w:t>434.581</w:t>
            </w:r>
          </w:p>
        </w:tc>
        <w:tc>
          <w:tcPr>
            <w:tcW w:w="868" w:type="dxa"/>
            <w:vAlign w:val="center"/>
          </w:tcPr>
          <w:p>
            <w:pPr>
              <w:spacing w:before="20" w:after="20"/>
              <w:jc w:val="right"/>
              <w:rPr>
                <w:noProof/>
                <w:sz w:val="20"/>
              </w:rPr>
            </w:pPr>
            <w:r>
              <w:rPr>
                <w:noProof/>
                <w:sz w:val="20"/>
              </w:rPr>
              <w:t>443.419</w:t>
            </w:r>
          </w:p>
        </w:tc>
        <w:tc>
          <w:tcPr>
            <w:tcW w:w="909" w:type="dxa"/>
            <w:shd w:val="clear" w:color="auto" w:fill="A6A6A6"/>
          </w:tcPr>
          <w:p>
            <w:pPr>
              <w:spacing w:before="20" w:after="20"/>
              <w:jc w:val="right"/>
              <w:rPr>
                <w:noProof/>
                <w:sz w:val="20"/>
              </w:rPr>
            </w:pPr>
          </w:p>
        </w:tc>
        <w:tc>
          <w:tcPr>
            <w:tcW w:w="1289" w:type="dxa"/>
            <w:vAlign w:val="center"/>
          </w:tcPr>
          <w:p>
            <w:pPr>
              <w:spacing w:before="20" w:after="20"/>
              <w:jc w:val="right"/>
              <w:rPr>
                <w:b/>
                <w:noProof/>
                <w:sz w:val="20"/>
              </w:rPr>
            </w:pPr>
            <w:r>
              <w:rPr>
                <w:b/>
                <w:noProof/>
                <w:sz w:val="20"/>
              </w:rPr>
              <w:t xml:space="preserve"> 2 925.000</w:t>
            </w:r>
          </w:p>
        </w:tc>
      </w:tr>
      <w:tr>
        <w:trPr>
          <w:jc w:val="center"/>
        </w:trPr>
        <w:tc>
          <w:tcPr>
            <w:tcW w:w="4103" w:type="dxa"/>
            <w:vMerge/>
          </w:tcPr>
          <w:p>
            <w:pPr>
              <w:rPr>
                <w:noProof/>
                <w:sz w:val="18"/>
                <w:szCs w:val="18"/>
              </w:rPr>
            </w:pPr>
          </w:p>
        </w:tc>
        <w:tc>
          <w:tcPr>
            <w:tcW w:w="1440" w:type="dxa"/>
            <w:vAlign w:val="center"/>
          </w:tcPr>
          <w:p>
            <w:pPr>
              <w:rPr>
                <w:noProof/>
                <w:sz w:val="18"/>
              </w:rPr>
            </w:pPr>
            <w:r>
              <w:rPr>
                <w:noProof/>
                <w:sz w:val="18"/>
              </w:rPr>
              <w:t>Íocaíochtaí</w:t>
            </w:r>
          </w:p>
        </w:tc>
        <w:tc>
          <w:tcPr>
            <w:tcW w:w="654" w:type="dxa"/>
            <w:vAlign w:val="center"/>
          </w:tcPr>
          <w:p>
            <w:pPr>
              <w:jc w:val="center"/>
              <w:rPr>
                <w:noProof/>
                <w:sz w:val="14"/>
              </w:rPr>
            </w:pPr>
            <w:r>
              <w:rPr>
                <w:noProof/>
                <w:sz w:val="14"/>
              </w:rPr>
              <w:t>(6)=(1)+(2)+(4)</w:t>
            </w:r>
          </w:p>
        </w:tc>
        <w:tc>
          <w:tcPr>
            <w:tcW w:w="868" w:type="dxa"/>
            <w:vAlign w:val="center"/>
          </w:tcPr>
          <w:p>
            <w:pPr>
              <w:spacing w:before="20" w:after="20"/>
              <w:jc w:val="right"/>
              <w:rPr>
                <w:noProof/>
                <w:sz w:val="20"/>
              </w:rPr>
            </w:pPr>
            <w:r>
              <w:rPr>
                <w:noProof/>
                <w:sz w:val="20"/>
              </w:rPr>
              <w:t>277.218</w:t>
            </w:r>
          </w:p>
        </w:tc>
        <w:tc>
          <w:tcPr>
            <w:tcW w:w="868" w:type="dxa"/>
            <w:vAlign w:val="center"/>
          </w:tcPr>
          <w:p>
            <w:pPr>
              <w:spacing w:before="20" w:after="20"/>
              <w:jc w:val="right"/>
              <w:rPr>
                <w:noProof/>
                <w:sz w:val="20"/>
              </w:rPr>
            </w:pPr>
            <w:r>
              <w:rPr>
                <w:noProof/>
                <w:sz w:val="20"/>
              </w:rPr>
              <w:t>398.783</w:t>
            </w:r>
          </w:p>
        </w:tc>
        <w:tc>
          <w:tcPr>
            <w:tcW w:w="868" w:type="dxa"/>
            <w:vAlign w:val="center"/>
          </w:tcPr>
          <w:p>
            <w:pPr>
              <w:spacing w:before="20" w:after="20"/>
              <w:jc w:val="right"/>
              <w:rPr>
                <w:noProof/>
                <w:sz w:val="20"/>
              </w:rPr>
            </w:pPr>
            <w:r>
              <w:rPr>
                <w:noProof/>
                <w:sz w:val="20"/>
              </w:rPr>
              <w:t>406.849</w:t>
            </w:r>
          </w:p>
        </w:tc>
        <w:tc>
          <w:tcPr>
            <w:tcW w:w="868" w:type="dxa"/>
            <w:vAlign w:val="center"/>
          </w:tcPr>
          <w:p>
            <w:pPr>
              <w:spacing w:before="20" w:after="20"/>
              <w:jc w:val="right"/>
              <w:rPr>
                <w:noProof/>
                <w:sz w:val="20"/>
              </w:rPr>
            </w:pPr>
            <w:r>
              <w:rPr>
                <w:noProof/>
                <w:sz w:val="20"/>
              </w:rPr>
              <w:t>415.079</w:t>
            </w:r>
          </w:p>
        </w:tc>
        <w:tc>
          <w:tcPr>
            <w:tcW w:w="868" w:type="dxa"/>
            <w:vAlign w:val="center"/>
          </w:tcPr>
          <w:p>
            <w:pPr>
              <w:spacing w:before="20" w:after="20"/>
              <w:jc w:val="right"/>
              <w:rPr>
                <w:noProof/>
                <w:sz w:val="20"/>
              </w:rPr>
            </w:pPr>
            <w:r>
              <w:rPr>
                <w:noProof/>
                <w:sz w:val="20"/>
              </w:rPr>
              <w:t>423.533</w:t>
            </w:r>
          </w:p>
        </w:tc>
        <w:tc>
          <w:tcPr>
            <w:tcW w:w="868" w:type="dxa"/>
            <w:vAlign w:val="center"/>
          </w:tcPr>
          <w:p>
            <w:pPr>
              <w:spacing w:before="20" w:after="20"/>
              <w:jc w:val="right"/>
              <w:rPr>
                <w:noProof/>
                <w:sz w:val="20"/>
              </w:rPr>
            </w:pPr>
            <w:r>
              <w:rPr>
                <w:noProof/>
                <w:sz w:val="20"/>
              </w:rPr>
              <w:t>432.082</w:t>
            </w:r>
          </w:p>
        </w:tc>
        <w:tc>
          <w:tcPr>
            <w:tcW w:w="868" w:type="dxa"/>
            <w:vAlign w:val="center"/>
          </w:tcPr>
          <w:p>
            <w:pPr>
              <w:spacing w:before="20" w:after="20"/>
              <w:jc w:val="right"/>
              <w:rPr>
                <w:noProof/>
                <w:sz w:val="20"/>
              </w:rPr>
            </w:pPr>
            <w:r>
              <w:rPr>
                <w:noProof/>
                <w:sz w:val="20"/>
              </w:rPr>
              <w:t>440.838</w:t>
            </w:r>
          </w:p>
        </w:tc>
        <w:tc>
          <w:tcPr>
            <w:tcW w:w="909" w:type="dxa"/>
          </w:tcPr>
          <w:p>
            <w:pPr>
              <w:spacing w:before="20" w:after="20"/>
              <w:jc w:val="right"/>
              <w:rPr>
                <w:noProof/>
                <w:sz w:val="20"/>
              </w:rPr>
            </w:pPr>
            <w:r>
              <w:rPr>
                <w:noProof/>
                <w:sz w:val="20"/>
              </w:rPr>
              <w:t>130.618</w:t>
            </w:r>
          </w:p>
        </w:tc>
        <w:tc>
          <w:tcPr>
            <w:tcW w:w="1289" w:type="dxa"/>
            <w:vAlign w:val="center"/>
          </w:tcPr>
          <w:p>
            <w:pPr>
              <w:spacing w:before="20" w:after="20"/>
              <w:jc w:val="right"/>
              <w:rPr>
                <w:b/>
                <w:noProof/>
                <w:sz w:val="20"/>
              </w:rPr>
            </w:pPr>
            <w:r>
              <w:rPr>
                <w:b/>
                <w:noProof/>
                <w:sz w:val="20"/>
              </w:rPr>
              <w:t>2.925.000</w:t>
            </w:r>
          </w:p>
        </w:tc>
      </w:tr>
      <w:tr>
        <w:trPr>
          <w:jc w:val="center"/>
        </w:trPr>
        <w:tc>
          <w:tcPr>
            <w:tcW w:w="4103" w:type="dxa"/>
          </w:tcPr>
          <w:p>
            <w:pPr>
              <w:rPr>
                <w:noProof/>
                <w:sz w:val="18"/>
                <w:szCs w:val="18"/>
              </w:rPr>
            </w:pPr>
            <w:r>
              <w:rPr>
                <w:noProof/>
                <w:sz w:val="18"/>
              </w:rPr>
              <w:t>01.010101 Caiteachas a bhaineann le gníomhairí oifigiúla agus sealadacha a chuireann na cláir thaighde agus nuálaíochta chun feidhme - Fís Eorpach</w:t>
            </w:r>
          </w:p>
        </w:tc>
        <w:tc>
          <w:tcPr>
            <w:tcW w:w="1440" w:type="dxa"/>
            <w:vAlign w:val="center"/>
          </w:tcPr>
          <w:p>
            <w:pPr>
              <w:rPr>
                <w:noProof/>
                <w:sz w:val="18"/>
              </w:rPr>
            </w:pPr>
            <w:r>
              <w:rPr>
                <w:noProof/>
                <w:sz w:val="18"/>
              </w:rPr>
              <w:t>Gealltanais = Íocaíochtaí</w:t>
            </w:r>
          </w:p>
        </w:tc>
        <w:tc>
          <w:tcPr>
            <w:tcW w:w="654" w:type="dxa"/>
            <w:vAlign w:val="center"/>
          </w:tcPr>
          <w:p>
            <w:pPr>
              <w:jc w:val="center"/>
              <w:rPr>
                <w:noProof/>
                <w:sz w:val="14"/>
              </w:rPr>
            </w:pPr>
            <w:r>
              <w:rPr>
                <w:noProof/>
                <w:sz w:val="14"/>
              </w:rPr>
              <w:t>(7)</w:t>
            </w:r>
          </w:p>
        </w:tc>
        <w:tc>
          <w:tcPr>
            <w:tcW w:w="868" w:type="dxa"/>
            <w:vAlign w:val="center"/>
          </w:tcPr>
          <w:p>
            <w:pPr>
              <w:spacing w:before="20" w:after="20"/>
              <w:jc w:val="right"/>
              <w:rPr>
                <w:noProof/>
                <w:sz w:val="20"/>
              </w:rPr>
            </w:pPr>
            <w:r>
              <w:rPr>
                <w:noProof/>
                <w:sz w:val="20"/>
              </w:rPr>
              <w:t>0.527</w:t>
            </w:r>
          </w:p>
        </w:tc>
        <w:tc>
          <w:tcPr>
            <w:tcW w:w="868" w:type="dxa"/>
            <w:vAlign w:val="center"/>
          </w:tcPr>
          <w:p>
            <w:pPr>
              <w:spacing w:before="20" w:after="20"/>
              <w:jc w:val="right"/>
              <w:rPr>
                <w:noProof/>
                <w:sz w:val="20"/>
              </w:rPr>
            </w:pPr>
            <w:r>
              <w:rPr>
                <w:noProof/>
                <w:sz w:val="20"/>
              </w:rPr>
              <w:t>0.545</w:t>
            </w:r>
          </w:p>
        </w:tc>
        <w:tc>
          <w:tcPr>
            <w:tcW w:w="868" w:type="dxa"/>
            <w:vAlign w:val="center"/>
          </w:tcPr>
          <w:p>
            <w:pPr>
              <w:spacing w:before="20" w:after="20"/>
              <w:jc w:val="right"/>
              <w:rPr>
                <w:noProof/>
                <w:sz w:val="20"/>
              </w:rPr>
            </w:pPr>
            <w:r>
              <w:rPr>
                <w:noProof/>
                <w:sz w:val="20"/>
              </w:rPr>
              <w:t>0.565</w:t>
            </w:r>
          </w:p>
        </w:tc>
        <w:tc>
          <w:tcPr>
            <w:tcW w:w="868" w:type="dxa"/>
            <w:vAlign w:val="center"/>
          </w:tcPr>
          <w:p>
            <w:pPr>
              <w:spacing w:before="20" w:after="20"/>
              <w:jc w:val="right"/>
              <w:rPr>
                <w:noProof/>
                <w:sz w:val="20"/>
              </w:rPr>
            </w:pPr>
            <w:r>
              <w:rPr>
                <w:noProof/>
                <w:sz w:val="20"/>
              </w:rPr>
              <w:t>0.584</w:t>
            </w:r>
          </w:p>
        </w:tc>
        <w:tc>
          <w:tcPr>
            <w:tcW w:w="868" w:type="dxa"/>
            <w:vAlign w:val="center"/>
          </w:tcPr>
          <w:p>
            <w:pPr>
              <w:spacing w:before="20" w:after="20"/>
              <w:jc w:val="right"/>
              <w:rPr>
                <w:noProof/>
                <w:sz w:val="20"/>
              </w:rPr>
            </w:pPr>
            <w:r>
              <w:rPr>
                <w:noProof/>
                <w:sz w:val="20"/>
              </w:rPr>
              <w:t>0.605</w:t>
            </w:r>
          </w:p>
        </w:tc>
        <w:tc>
          <w:tcPr>
            <w:tcW w:w="868" w:type="dxa"/>
            <w:vAlign w:val="center"/>
          </w:tcPr>
          <w:p>
            <w:pPr>
              <w:spacing w:before="20" w:after="20"/>
              <w:jc w:val="right"/>
              <w:rPr>
                <w:noProof/>
                <w:sz w:val="20"/>
              </w:rPr>
            </w:pPr>
            <w:r>
              <w:rPr>
                <w:noProof/>
                <w:sz w:val="20"/>
              </w:rPr>
              <w:t>0.626</w:t>
            </w:r>
          </w:p>
        </w:tc>
        <w:tc>
          <w:tcPr>
            <w:tcW w:w="868" w:type="dxa"/>
            <w:vAlign w:val="center"/>
          </w:tcPr>
          <w:p>
            <w:pPr>
              <w:spacing w:before="20" w:after="20"/>
              <w:jc w:val="right"/>
              <w:rPr>
                <w:noProof/>
                <w:sz w:val="20"/>
              </w:rPr>
            </w:pPr>
            <w:r>
              <w:rPr>
                <w:noProof/>
                <w:sz w:val="20"/>
              </w:rPr>
              <w:t>0.648</w:t>
            </w:r>
          </w:p>
        </w:tc>
        <w:tc>
          <w:tcPr>
            <w:tcW w:w="909" w:type="dxa"/>
          </w:tcPr>
          <w:p>
            <w:pPr>
              <w:spacing w:before="20" w:after="20"/>
              <w:jc w:val="right"/>
              <w:rPr>
                <w:noProof/>
                <w:sz w:val="20"/>
              </w:rPr>
            </w:pPr>
          </w:p>
        </w:tc>
        <w:tc>
          <w:tcPr>
            <w:tcW w:w="1289" w:type="dxa"/>
            <w:vAlign w:val="center"/>
          </w:tcPr>
          <w:p>
            <w:pPr>
              <w:spacing w:before="20" w:after="20"/>
              <w:jc w:val="right"/>
              <w:rPr>
                <w:b/>
                <w:noProof/>
                <w:sz w:val="20"/>
              </w:rPr>
            </w:pPr>
            <w:r>
              <w:rPr>
                <w:b/>
                <w:noProof/>
                <w:sz w:val="20"/>
              </w:rPr>
              <w:t>4.100</w:t>
            </w:r>
          </w:p>
        </w:tc>
      </w:tr>
      <w:tr>
        <w:trPr>
          <w:jc w:val="center"/>
        </w:trPr>
        <w:tc>
          <w:tcPr>
            <w:tcW w:w="4103" w:type="dxa"/>
          </w:tcPr>
          <w:p>
            <w:pPr>
              <w:rPr>
                <w:noProof/>
                <w:sz w:val="18"/>
                <w:szCs w:val="18"/>
              </w:rPr>
            </w:pPr>
            <w:r>
              <w:rPr>
                <w:noProof/>
                <w:sz w:val="18"/>
              </w:rPr>
              <w:t>01.010102 Pearsanra seachtrach a chuireann cláir thaighde agus nuálaíochta Institiúidí Ardoideachais chun feidhme</w:t>
            </w:r>
          </w:p>
        </w:tc>
        <w:tc>
          <w:tcPr>
            <w:tcW w:w="1440" w:type="dxa"/>
          </w:tcPr>
          <w:p>
            <w:pPr>
              <w:rPr>
                <w:noProof/>
                <w:sz w:val="18"/>
                <w:szCs w:val="18"/>
              </w:rPr>
            </w:pPr>
            <w:r>
              <w:rPr>
                <w:noProof/>
                <w:sz w:val="18"/>
              </w:rPr>
              <w:t>Gealltanais = Íocaíochtaí</w:t>
            </w:r>
          </w:p>
        </w:tc>
        <w:tc>
          <w:tcPr>
            <w:tcW w:w="654" w:type="dxa"/>
          </w:tcPr>
          <w:p>
            <w:pPr>
              <w:jc w:val="center"/>
              <w:rPr>
                <w:noProof/>
                <w:sz w:val="14"/>
                <w:szCs w:val="14"/>
              </w:rPr>
            </w:pPr>
            <w:r>
              <w:rPr>
                <w:noProof/>
                <w:sz w:val="14"/>
              </w:rPr>
              <w:t>(8)</w:t>
            </w:r>
          </w:p>
        </w:tc>
        <w:tc>
          <w:tcPr>
            <w:tcW w:w="868" w:type="dxa"/>
          </w:tcPr>
          <w:p>
            <w:pPr>
              <w:spacing w:before="20" w:after="20"/>
              <w:jc w:val="right"/>
              <w:rPr>
                <w:noProof/>
                <w:sz w:val="18"/>
                <w:szCs w:val="18"/>
              </w:rPr>
            </w:pPr>
            <w:r>
              <w:rPr>
                <w:noProof/>
                <w:sz w:val="18"/>
              </w:rPr>
              <w:t>0.108</w:t>
            </w:r>
          </w:p>
        </w:tc>
        <w:tc>
          <w:tcPr>
            <w:tcW w:w="868" w:type="dxa"/>
          </w:tcPr>
          <w:p>
            <w:pPr>
              <w:spacing w:before="20" w:after="20"/>
              <w:jc w:val="right"/>
              <w:rPr>
                <w:noProof/>
                <w:sz w:val="18"/>
                <w:szCs w:val="18"/>
              </w:rPr>
            </w:pPr>
            <w:r>
              <w:rPr>
                <w:noProof/>
                <w:sz w:val="18"/>
              </w:rPr>
              <w:t>0.110</w:t>
            </w:r>
          </w:p>
        </w:tc>
        <w:tc>
          <w:tcPr>
            <w:tcW w:w="868" w:type="dxa"/>
          </w:tcPr>
          <w:p>
            <w:pPr>
              <w:spacing w:before="20" w:after="20"/>
              <w:jc w:val="right"/>
              <w:rPr>
                <w:noProof/>
                <w:sz w:val="18"/>
                <w:szCs w:val="18"/>
              </w:rPr>
            </w:pPr>
            <w:r>
              <w:rPr>
                <w:noProof/>
                <w:sz w:val="18"/>
              </w:rPr>
              <w:t>0.113</w:t>
            </w:r>
          </w:p>
        </w:tc>
        <w:tc>
          <w:tcPr>
            <w:tcW w:w="868" w:type="dxa"/>
          </w:tcPr>
          <w:p>
            <w:pPr>
              <w:spacing w:before="20" w:after="20"/>
              <w:jc w:val="right"/>
              <w:rPr>
                <w:noProof/>
                <w:sz w:val="18"/>
                <w:szCs w:val="18"/>
              </w:rPr>
            </w:pPr>
            <w:r>
              <w:rPr>
                <w:noProof/>
                <w:sz w:val="18"/>
              </w:rPr>
              <w:t>0.115</w:t>
            </w:r>
          </w:p>
        </w:tc>
        <w:tc>
          <w:tcPr>
            <w:tcW w:w="868" w:type="dxa"/>
          </w:tcPr>
          <w:p>
            <w:pPr>
              <w:spacing w:before="20" w:after="20"/>
              <w:jc w:val="right"/>
              <w:rPr>
                <w:noProof/>
                <w:sz w:val="18"/>
                <w:szCs w:val="18"/>
              </w:rPr>
            </w:pPr>
            <w:r>
              <w:rPr>
                <w:noProof/>
                <w:sz w:val="18"/>
              </w:rPr>
              <w:t>0.117</w:t>
            </w:r>
          </w:p>
        </w:tc>
        <w:tc>
          <w:tcPr>
            <w:tcW w:w="868" w:type="dxa"/>
          </w:tcPr>
          <w:p>
            <w:pPr>
              <w:spacing w:before="20" w:after="20"/>
              <w:jc w:val="right"/>
              <w:rPr>
                <w:noProof/>
                <w:sz w:val="18"/>
                <w:szCs w:val="18"/>
              </w:rPr>
            </w:pPr>
            <w:r>
              <w:rPr>
                <w:noProof/>
                <w:sz w:val="18"/>
              </w:rPr>
              <w:t>0.119</w:t>
            </w:r>
          </w:p>
        </w:tc>
        <w:tc>
          <w:tcPr>
            <w:tcW w:w="868" w:type="dxa"/>
          </w:tcPr>
          <w:p>
            <w:pPr>
              <w:spacing w:before="20" w:after="20"/>
              <w:jc w:val="right"/>
              <w:rPr>
                <w:noProof/>
                <w:sz w:val="18"/>
                <w:szCs w:val="18"/>
              </w:rPr>
            </w:pPr>
            <w:r>
              <w:rPr>
                <w:noProof/>
                <w:sz w:val="18"/>
              </w:rPr>
              <w:t>0.122</w:t>
            </w:r>
          </w:p>
        </w:tc>
        <w:tc>
          <w:tcPr>
            <w:tcW w:w="909" w:type="dxa"/>
          </w:tcPr>
          <w:p>
            <w:pPr>
              <w:spacing w:before="20" w:after="20"/>
              <w:jc w:val="right"/>
              <w:rPr>
                <w:noProof/>
                <w:sz w:val="18"/>
                <w:szCs w:val="18"/>
              </w:rPr>
            </w:pPr>
          </w:p>
        </w:tc>
        <w:tc>
          <w:tcPr>
            <w:tcW w:w="1289" w:type="dxa"/>
          </w:tcPr>
          <w:p>
            <w:pPr>
              <w:spacing w:before="20" w:after="20"/>
              <w:jc w:val="right"/>
              <w:rPr>
                <w:b/>
                <w:noProof/>
                <w:sz w:val="18"/>
                <w:szCs w:val="18"/>
              </w:rPr>
            </w:pPr>
            <w:r>
              <w:rPr>
                <w:noProof/>
                <w:sz w:val="18"/>
              </w:rPr>
              <w:t>0.804</w:t>
            </w:r>
          </w:p>
        </w:tc>
      </w:tr>
      <w:tr>
        <w:trPr>
          <w:jc w:val="center"/>
        </w:trPr>
        <w:tc>
          <w:tcPr>
            <w:tcW w:w="4103" w:type="dxa"/>
          </w:tcPr>
          <w:p>
            <w:pPr>
              <w:rPr>
                <w:noProof/>
                <w:sz w:val="18"/>
                <w:szCs w:val="18"/>
              </w:rPr>
            </w:pPr>
            <w:r>
              <w:rPr>
                <w:noProof/>
                <w:sz w:val="18"/>
              </w:rPr>
              <w:t>01.010103 Caiteachas bainistíochta eile i gcomhair chláir thaighde agus nuálaíochta Institiúidí Ardoideachais</w:t>
            </w:r>
          </w:p>
        </w:tc>
        <w:tc>
          <w:tcPr>
            <w:tcW w:w="1440" w:type="dxa"/>
          </w:tcPr>
          <w:p>
            <w:pPr>
              <w:rPr>
                <w:noProof/>
                <w:sz w:val="18"/>
                <w:szCs w:val="18"/>
              </w:rPr>
            </w:pPr>
            <w:r>
              <w:rPr>
                <w:noProof/>
                <w:sz w:val="18"/>
              </w:rPr>
              <w:t>Gealltanais = Íocaíochtaí</w:t>
            </w:r>
          </w:p>
        </w:tc>
        <w:tc>
          <w:tcPr>
            <w:tcW w:w="654" w:type="dxa"/>
          </w:tcPr>
          <w:p>
            <w:pPr>
              <w:jc w:val="center"/>
              <w:rPr>
                <w:noProof/>
                <w:sz w:val="14"/>
                <w:szCs w:val="14"/>
              </w:rPr>
            </w:pPr>
            <w:r>
              <w:rPr>
                <w:noProof/>
                <w:sz w:val="14"/>
              </w:rPr>
              <w:t>(9)</w:t>
            </w:r>
          </w:p>
        </w:tc>
        <w:tc>
          <w:tcPr>
            <w:tcW w:w="868" w:type="dxa"/>
          </w:tcPr>
          <w:p>
            <w:pPr>
              <w:spacing w:before="20" w:after="20"/>
              <w:jc w:val="right"/>
              <w:rPr>
                <w:noProof/>
                <w:sz w:val="18"/>
                <w:szCs w:val="18"/>
              </w:rPr>
            </w:pPr>
            <w:r>
              <w:rPr>
                <w:noProof/>
                <w:sz w:val="18"/>
              </w:rPr>
              <w:t>9.445</w:t>
            </w:r>
          </w:p>
        </w:tc>
        <w:tc>
          <w:tcPr>
            <w:tcW w:w="868" w:type="dxa"/>
          </w:tcPr>
          <w:p>
            <w:pPr>
              <w:spacing w:before="20" w:after="20"/>
              <w:jc w:val="right"/>
              <w:rPr>
                <w:noProof/>
                <w:sz w:val="18"/>
                <w:szCs w:val="18"/>
              </w:rPr>
            </w:pPr>
            <w:r>
              <w:rPr>
                <w:noProof/>
                <w:sz w:val="18"/>
              </w:rPr>
              <w:t>9.629</w:t>
            </w:r>
          </w:p>
        </w:tc>
        <w:tc>
          <w:tcPr>
            <w:tcW w:w="868" w:type="dxa"/>
          </w:tcPr>
          <w:p>
            <w:pPr>
              <w:spacing w:before="20" w:after="20"/>
              <w:jc w:val="right"/>
              <w:rPr>
                <w:noProof/>
                <w:sz w:val="18"/>
                <w:szCs w:val="18"/>
              </w:rPr>
            </w:pPr>
            <w:r>
              <w:rPr>
                <w:noProof/>
                <w:sz w:val="18"/>
              </w:rPr>
              <w:t>9.816</w:t>
            </w:r>
          </w:p>
        </w:tc>
        <w:tc>
          <w:tcPr>
            <w:tcW w:w="868" w:type="dxa"/>
          </w:tcPr>
          <w:p>
            <w:pPr>
              <w:spacing w:before="20" w:after="20"/>
              <w:jc w:val="right"/>
              <w:rPr>
                <w:noProof/>
                <w:sz w:val="18"/>
                <w:szCs w:val="18"/>
              </w:rPr>
            </w:pPr>
            <w:r>
              <w:rPr>
                <w:noProof/>
                <w:sz w:val="18"/>
              </w:rPr>
              <w:t>10.006</w:t>
            </w:r>
          </w:p>
        </w:tc>
        <w:tc>
          <w:tcPr>
            <w:tcW w:w="868" w:type="dxa"/>
          </w:tcPr>
          <w:p>
            <w:pPr>
              <w:spacing w:before="20" w:after="20"/>
              <w:jc w:val="right"/>
              <w:rPr>
                <w:noProof/>
                <w:sz w:val="18"/>
                <w:szCs w:val="18"/>
              </w:rPr>
            </w:pPr>
            <w:r>
              <w:rPr>
                <w:noProof/>
                <w:sz w:val="18"/>
              </w:rPr>
              <w:t>10.202</w:t>
            </w:r>
          </w:p>
        </w:tc>
        <w:tc>
          <w:tcPr>
            <w:tcW w:w="868" w:type="dxa"/>
          </w:tcPr>
          <w:p>
            <w:pPr>
              <w:spacing w:before="20" w:after="20"/>
              <w:jc w:val="right"/>
              <w:rPr>
                <w:noProof/>
                <w:sz w:val="18"/>
                <w:szCs w:val="18"/>
              </w:rPr>
            </w:pPr>
            <w:r>
              <w:rPr>
                <w:noProof/>
                <w:sz w:val="18"/>
              </w:rPr>
              <w:t>10.398</w:t>
            </w:r>
          </w:p>
        </w:tc>
        <w:tc>
          <w:tcPr>
            <w:tcW w:w="868" w:type="dxa"/>
          </w:tcPr>
          <w:p>
            <w:pPr>
              <w:spacing w:before="20" w:after="20"/>
              <w:jc w:val="right"/>
              <w:rPr>
                <w:noProof/>
                <w:sz w:val="18"/>
                <w:szCs w:val="18"/>
              </w:rPr>
            </w:pPr>
            <w:r>
              <w:rPr>
                <w:noProof/>
                <w:sz w:val="18"/>
              </w:rPr>
              <w:t>10.600</w:t>
            </w:r>
          </w:p>
        </w:tc>
        <w:tc>
          <w:tcPr>
            <w:tcW w:w="909" w:type="dxa"/>
          </w:tcPr>
          <w:p>
            <w:pPr>
              <w:spacing w:before="20" w:after="20"/>
              <w:jc w:val="right"/>
              <w:rPr>
                <w:noProof/>
                <w:sz w:val="18"/>
                <w:szCs w:val="18"/>
              </w:rPr>
            </w:pPr>
          </w:p>
        </w:tc>
        <w:tc>
          <w:tcPr>
            <w:tcW w:w="1289" w:type="dxa"/>
          </w:tcPr>
          <w:p>
            <w:pPr>
              <w:spacing w:before="20" w:after="20"/>
              <w:jc w:val="right"/>
              <w:rPr>
                <w:b/>
                <w:noProof/>
                <w:sz w:val="18"/>
                <w:szCs w:val="18"/>
              </w:rPr>
            </w:pPr>
            <w:r>
              <w:rPr>
                <w:noProof/>
                <w:sz w:val="18"/>
              </w:rPr>
              <w:t>70.096</w:t>
            </w:r>
          </w:p>
        </w:tc>
      </w:tr>
      <w:tr>
        <w:trPr>
          <w:jc w:val="center"/>
        </w:trPr>
        <w:tc>
          <w:tcPr>
            <w:tcW w:w="4103" w:type="dxa"/>
          </w:tcPr>
          <w:p>
            <w:pPr>
              <w:rPr>
                <w:noProof/>
                <w:sz w:val="18"/>
                <w:szCs w:val="18"/>
              </w:rPr>
            </w:pPr>
            <w:r>
              <w:rPr>
                <w:noProof/>
                <w:sz w:val="18"/>
              </w:rPr>
              <w:t>Leithreasuithe de chineál riaracháin arna maoiniú as imchlúdach an chláir</w:t>
            </w:r>
            <w:r>
              <w:rPr>
                <w:rStyle w:val="FootnoteReference"/>
                <w:noProof/>
                <w:sz w:val="18"/>
              </w:rPr>
              <w:footnoteReference w:id="16"/>
            </w:r>
            <w:r>
              <w:rPr>
                <w:noProof/>
                <w:sz w:val="18"/>
              </w:rPr>
              <w:t xml:space="preserve">   </w:t>
            </w:r>
          </w:p>
        </w:tc>
        <w:tc>
          <w:tcPr>
            <w:tcW w:w="1440" w:type="dxa"/>
          </w:tcPr>
          <w:p>
            <w:pPr>
              <w:rPr>
                <w:noProof/>
                <w:sz w:val="18"/>
                <w:szCs w:val="18"/>
              </w:rPr>
            </w:pPr>
            <w:r>
              <w:rPr>
                <w:noProof/>
                <w:sz w:val="18"/>
              </w:rPr>
              <w:t>Gealltanais = Íocaíochtaí</w:t>
            </w:r>
          </w:p>
        </w:tc>
        <w:tc>
          <w:tcPr>
            <w:tcW w:w="654" w:type="dxa"/>
          </w:tcPr>
          <w:p>
            <w:pPr>
              <w:jc w:val="center"/>
              <w:rPr>
                <w:noProof/>
                <w:sz w:val="14"/>
                <w:szCs w:val="14"/>
              </w:rPr>
            </w:pPr>
            <w:r>
              <w:rPr>
                <w:noProof/>
                <w:sz w:val="14"/>
              </w:rPr>
              <w:t>(10)=(7)+ (8) +(9)</w:t>
            </w:r>
          </w:p>
        </w:tc>
        <w:tc>
          <w:tcPr>
            <w:tcW w:w="868" w:type="dxa"/>
          </w:tcPr>
          <w:p>
            <w:pPr>
              <w:spacing w:before="20" w:after="20"/>
              <w:jc w:val="right"/>
              <w:rPr>
                <w:noProof/>
                <w:sz w:val="18"/>
                <w:szCs w:val="18"/>
              </w:rPr>
            </w:pPr>
            <w:r>
              <w:rPr>
                <w:noProof/>
                <w:sz w:val="18"/>
              </w:rPr>
              <w:t>10.081</w:t>
            </w:r>
          </w:p>
        </w:tc>
        <w:tc>
          <w:tcPr>
            <w:tcW w:w="868" w:type="dxa"/>
          </w:tcPr>
          <w:p>
            <w:pPr>
              <w:spacing w:before="20" w:after="20"/>
              <w:jc w:val="right"/>
              <w:rPr>
                <w:noProof/>
                <w:sz w:val="18"/>
                <w:szCs w:val="18"/>
              </w:rPr>
            </w:pPr>
            <w:r>
              <w:rPr>
                <w:noProof/>
                <w:sz w:val="18"/>
              </w:rPr>
              <w:t>10.285</w:t>
            </w:r>
          </w:p>
        </w:tc>
        <w:tc>
          <w:tcPr>
            <w:tcW w:w="868" w:type="dxa"/>
          </w:tcPr>
          <w:p>
            <w:pPr>
              <w:spacing w:before="20" w:after="20"/>
              <w:jc w:val="right"/>
              <w:rPr>
                <w:noProof/>
                <w:sz w:val="18"/>
                <w:szCs w:val="18"/>
              </w:rPr>
            </w:pPr>
            <w:r>
              <w:rPr>
                <w:noProof/>
                <w:sz w:val="18"/>
              </w:rPr>
              <w:t>10.493</w:t>
            </w:r>
          </w:p>
        </w:tc>
        <w:tc>
          <w:tcPr>
            <w:tcW w:w="868" w:type="dxa"/>
          </w:tcPr>
          <w:p>
            <w:pPr>
              <w:spacing w:before="20" w:after="20"/>
              <w:jc w:val="right"/>
              <w:rPr>
                <w:noProof/>
                <w:sz w:val="18"/>
                <w:szCs w:val="18"/>
              </w:rPr>
            </w:pPr>
            <w:r>
              <w:rPr>
                <w:noProof/>
                <w:sz w:val="18"/>
              </w:rPr>
              <w:t>10.705</w:t>
            </w:r>
          </w:p>
        </w:tc>
        <w:tc>
          <w:tcPr>
            <w:tcW w:w="868" w:type="dxa"/>
          </w:tcPr>
          <w:p>
            <w:pPr>
              <w:spacing w:before="20" w:after="20"/>
              <w:jc w:val="right"/>
              <w:rPr>
                <w:noProof/>
                <w:sz w:val="18"/>
                <w:szCs w:val="18"/>
              </w:rPr>
            </w:pPr>
            <w:r>
              <w:rPr>
                <w:noProof/>
                <w:sz w:val="18"/>
              </w:rPr>
              <w:t>10.924</w:t>
            </w:r>
          </w:p>
        </w:tc>
        <w:tc>
          <w:tcPr>
            <w:tcW w:w="868" w:type="dxa"/>
          </w:tcPr>
          <w:p>
            <w:pPr>
              <w:spacing w:before="20" w:after="20"/>
              <w:jc w:val="right"/>
              <w:rPr>
                <w:noProof/>
                <w:sz w:val="18"/>
                <w:szCs w:val="18"/>
              </w:rPr>
            </w:pPr>
            <w:r>
              <w:rPr>
                <w:noProof/>
                <w:sz w:val="18"/>
              </w:rPr>
              <w:t>11.143</w:t>
            </w:r>
          </w:p>
        </w:tc>
        <w:tc>
          <w:tcPr>
            <w:tcW w:w="868" w:type="dxa"/>
          </w:tcPr>
          <w:p>
            <w:pPr>
              <w:spacing w:before="20" w:after="20"/>
              <w:jc w:val="right"/>
              <w:rPr>
                <w:noProof/>
                <w:sz w:val="18"/>
                <w:szCs w:val="18"/>
              </w:rPr>
            </w:pPr>
            <w:r>
              <w:rPr>
                <w:noProof/>
                <w:sz w:val="18"/>
              </w:rPr>
              <w:t>11.370</w:t>
            </w:r>
          </w:p>
        </w:tc>
        <w:tc>
          <w:tcPr>
            <w:tcW w:w="909" w:type="dxa"/>
          </w:tcPr>
          <w:p>
            <w:pPr>
              <w:spacing w:before="20" w:after="20"/>
              <w:jc w:val="right"/>
              <w:rPr>
                <w:noProof/>
                <w:sz w:val="18"/>
                <w:szCs w:val="18"/>
              </w:rPr>
            </w:pPr>
            <w:r>
              <w:rPr>
                <w:noProof/>
                <w:sz w:val="18"/>
              </w:rPr>
              <w:t xml:space="preserve"> </w:t>
            </w:r>
          </w:p>
        </w:tc>
        <w:tc>
          <w:tcPr>
            <w:tcW w:w="1289" w:type="dxa"/>
          </w:tcPr>
          <w:p>
            <w:pPr>
              <w:spacing w:before="20" w:after="20"/>
              <w:jc w:val="right"/>
              <w:rPr>
                <w:b/>
                <w:noProof/>
                <w:sz w:val="18"/>
                <w:szCs w:val="18"/>
              </w:rPr>
            </w:pPr>
            <w:r>
              <w:rPr>
                <w:noProof/>
                <w:sz w:val="18"/>
              </w:rPr>
              <w:t xml:space="preserve">75.000 </w:t>
            </w:r>
          </w:p>
        </w:tc>
      </w:tr>
      <w:tr>
        <w:trPr>
          <w:jc w:val="center"/>
        </w:trPr>
        <w:tc>
          <w:tcPr>
            <w:tcW w:w="4103" w:type="dxa"/>
            <w:vMerge w:val="restart"/>
          </w:tcPr>
          <w:p>
            <w:pPr>
              <w:rPr>
                <w:b/>
                <w:noProof/>
                <w:sz w:val="18"/>
                <w:szCs w:val="18"/>
              </w:rPr>
            </w:pPr>
            <w:r>
              <w:rPr>
                <w:b/>
                <w:noProof/>
                <w:sz w:val="18"/>
              </w:rPr>
              <w:t>IOMLÁN leithreasuithe faoi CHEANNTEIDEAL 1 den chreat airgeadais ilbhliantúil do EIT</w:t>
            </w:r>
          </w:p>
        </w:tc>
        <w:tc>
          <w:tcPr>
            <w:tcW w:w="1440" w:type="dxa"/>
          </w:tcPr>
          <w:p>
            <w:pPr>
              <w:rPr>
                <w:noProof/>
                <w:sz w:val="18"/>
                <w:szCs w:val="18"/>
              </w:rPr>
            </w:pPr>
            <w:r>
              <w:rPr>
                <w:noProof/>
                <w:sz w:val="18"/>
              </w:rPr>
              <w:t>Gealltanais</w:t>
            </w:r>
          </w:p>
        </w:tc>
        <w:tc>
          <w:tcPr>
            <w:tcW w:w="654" w:type="dxa"/>
          </w:tcPr>
          <w:p>
            <w:pPr>
              <w:jc w:val="center"/>
              <w:rPr>
                <w:noProof/>
                <w:sz w:val="14"/>
                <w:szCs w:val="14"/>
              </w:rPr>
            </w:pPr>
            <w:r>
              <w:rPr>
                <w:noProof/>
                <w:sz w:val="14"/>
              </w:rPr>
              <w:t>(11) =(5)+(10)</w:t>
            </w:r>
          </w:p>
        </w:tc>
        <w:tc>
          <w:tcPr>
            <w:tcW w:w="868" w:type="dxa"/>
          </w:tcPr>
          <w:p>
            <w:pPr>
              <w:spacing w:before="20" w:after="20"/>
              <w:jc w:val="right"/>
              <w:rPr>
                <w:noProof/>
                <w:sz w:val="18"/>
                <w:szCs w:val="18"/>
              </w:rPr>
            </w:pPr>
            <w:r>
              <w:rPr>
                <w:noProof/>
                <w:sz w:val="18"/>
              </w:rPr>
              <w:t>403.226</w:t>
            </w:r>
          </w:p>
        </w:tc>
        <w:tc>
          <w:tcPr>
            <w:tcW w:w="868" w:type="dxa"/>
          </w:tcPr>
          <w:p>
            <w:pPr>
              <w:spacing w:before="20" w:after="20"/>
              <w:jc w:val="right"/>
              <w:rPr>
                <w:noProof/>
                <w:sz w:val="18"/>
                <w:szCs w:val="18"/>
              </w:rPr>
            </w:pPr>
            <w:r>
              <w:rPr>
                <w:noProof/>
                <w:sz w:val="18"/>
              </w:rPr>
              <w:t>411.398</w:t>
            </w:r>
          </w:p>
        </w:tc>
        <w:tc>
          <w:tcPr>
            <w:tcW w:w="868" w:type="dxa"/>
          </w:tcPr>
          <w:p>
            <w:pPr>
              <w:spacing w:before="20" w:after="20"/>
              <w:jc w:val="right"/>
              <w:rPr>
                <w:noProof/>
                <w:sz w:val="18"/>
                <w:szCs w:val="18"/>
              </w:rPr>
            </w:pPr>
            <w:r>
              <w:rPr>
                <w:noProof/>
                <w:sz w:val="18"/>
              </w:rPr>
              <w:t>419.711</w:t>
            </w:r>
          </w:p>
        </w:tc>
        <w:tc>
          <w:tcPr>
            <w:tcW w:w="868" w:type="dxa"/>
          </w:tcPr>
          <w:p>
            <w:pPr>
              <w:spacing w:before="20" w:after="20"/>
              <w:jc w:val="right"/>
              <w:rPr>
                <w:noProof/>
                <w:sz w:val="18"/>
                <w:szCs w:val="18"/>
              </w:rPr>
            </w:pPr>
            <w:r>
              <w:rPr>
                <w:noProof/>
                <w:sz w:val="18"/>
              </w:rPr>
              <w:t>428.204</w:t>
            </w:r>
          </w:p>
        </w:tc>
        <w:tc>
          <w:tcPr>
            <w:tcW w:w="868" w:type="dxa"/>
          </w:tcPr>
          <w:p>
            <w:pPr>
              <w:spacing w:before="20" w:after="20"/>
              <w:jc w:val="right"/>
              <w:rPr>
                <w:noProof/>
                <w:sz w:val="18"/>
                <w:szCs w:val="18"/>
              </w:rPr>
            </w:pPr>
            <w:r>
              <w:rPr>
                <w:noProof/>
                <w:sz w:val="18"/>
              </w:rPr>
              <w:t>436.948</w:t>
            </w:r>
          </w:p>
        </w:tc>
        <w:tc>
          <w:tcPr>
            <w:tcW w:w="868" w:type="dxa"/>
          </w:tcPr>
          <w:p>
            <w:pPr>
              <w:spacing w:before="20" w:after="20"/>
              <w:jc w:val="right"/>
              <w:rPr>
                <w:noProof/>
                <w:sz w:val="18"/>
                <w:szCs w:val="18"/>
              </w:rPr>
            </w:pPr>
            <w:r>
              <w:rPr>
                <w:noProof/>
                <w:sz w:val="18"/>
              </w:rPr>
              <w:t>445.724</w:t>
            </w:r>
          </w:p>
        </w:tc>
        <w:tc>
          <w:tcPr>
            <w:tcW w:w="868" w:type="dxa"/>
          </w:tcPr>
          <w:p>
            <w:pPr>
              <w:spacing w:before="20" w:after="20"/>
              <w:jc w:val="right"/>
              <w:rPr>
                <w:noProof/>
                <w:sz w:val="18"/>
                <w:szCs w:val="18"/>
              </w:rPr>
            </w:pPr>
            <w:r>
              <w:rPr>
                <w:noProof/>
                <w:sz w:val="18"/>
              </w:rPr>
              <w:t>454.789</w:t>
            </w:r>
          </w:p>
        </w:tc>
        <w:tc>
          <w:tcPr>
            <w:tcW w:w="909" w:type="dxa"/>
          </w:tcPr>
          <w:p>
            <w:pPr>
              <w:spacing w:before="20" w:after="20"/>
              <w:jc w:val="right"/>
              <w:rPr>
                <w:noProof/>
                <w:sz w:val="18"/>
                <w:szCs w:val="18"/>
              </w:rPr>
            </w:pPr>
          </w:p>
        </w:tc>
        <w:tc>
          <w:tcPr>
            <w:tcW w:w="1289" w:type="dxa"/>
          </w:tcPr>
          <w:p>
            <w:pPr>
              <w:spacing w:before="20" w:after="20"/>
              <w:jc w:val="right"/>
              <w:rPr>
                <w:b/>
                <w:noProof/>
                <w:sz w:val="18"/>
                <w:szCs w:val="18"/>
              </w:rPr>
            </w:pPr>
            <w:r>
              <w:rPr>
                <w:noProof/>
                <w:sz w:val="18"/>
              </w:rPr>
              <w:t>3 000.000</w:t>
            </w:r>
          </w:p>
        </w:tc>
      </w:tr>
      <w:tr>
        <w:trPr>
          <w:jc w:val="center"/>
        </w:trPr>
        <w:tc>
          <w:tcPr>
            <w:tcW w:w="4103" w:type="dxa"/>
            <w:vMerge/>
          </w:tcPr>
          <w:p>
            <w:pPr>
              <w:rPr>
                <w:b/>
                <w:noProof/>
              </w:rPr>
            </w:pPr>
          </w:p>
        </w:tc>
        <w:tc>
          <w:tcPr>
            <w:tcW w:w="1440" w:type="dxa"/>
          </w:tcPr>
          <w:p>
            <w:pPr>
              <w:rPr>
                <w:noProof/>
                <w:sz w:val="18"/>
                <w:szCs w:val="18"/>
                <w:highlight w:val="yellow"/>
              </w:rPr>
            </w:pPr>
            <w:r>
              <w:rPr>
                <w:noProof/>
                <w:sz w:val="18"/>
              </w:rPr>
              <w:t>Íocaíochtaí</w:t>
            </w:r>
          </w:p>
        </w:tc>
        <w:tc>
          <w:tcPr>
            <w:tcW w:w="654" w:type="dxa"/>
          </w:tcPr>
          <w:p>
            <w:pPr>
              <w:jc w:val="center"/>
              <w:rPr>
                <w:noProof/>
                <w:sz w:val="14"/>
                <w:szCs w:val="14"/>
              </w:rPr>
            </w:pPr>
            <w:r>
              <w:rPr>
                <w:noProof/>
                <w:sz w:val="14"/>
              </w:rPr>
              <w:t>(12)=(6)+(10)</w:t>
            </w:r>
          </w:p>
        </w:tc>
        <w:tc>
          <w:tcPr>
            <w:tcW w:w="868" w:type="dxa"/>
          </w:tcPr>
          <w:p>
            <w:pPr>
              <w:spacing w:before="20" w:after="20"/>
              <w:jc w:val="right"/>
              <w:rPr>
                <w:noProof/>
                <w:sz w:val="18"/>
                <w:szCs w:val="18"/>
              </w:rPr>
            </w:pPr>
            <w:r>
              <w:rPr>
                <w:noProof/>
                <w:sz w:val="18"/>
              </w:rPr>
              <w:t>287.299</w:t>
            </w:r>
          </w:p>
        </w:tc>
        <w:tc>
          <w:tcPr>
            <w:tcW w:w="868" w:type="dxa"/>
          </w:tcPr>
          <w:p>
            <w:pPr>
              <w:spacing w:before="20" w:after="20"/>
              <w:jc w:val="right"/>
              <w:rPr>
                <w:noProof/>
                <w:sz w:val="18"/>
                <w:szCs w:val="18"/>
              </w:rPr>
            </w:pPr>
            <w:r>
              <w:rPr>
                <w:noProof/>
                <w:sz w:val="18"/>
              </w:rPr>
              <w:t>409.068</w:t>
            </w:r>
          </w:p>
        </w:tc>
        <w:tc>
          <w:tcPr>
            <w:tcW w:w="868" w:type="dxa"/>
          </w:tcPr>
          <w:p>
            <w:pPr>
              <w:spacing w:before="20" w:after="20"/>
              <w:jc w:val="right"/>
              <w:rPr>
                <w:noProof/>
                <w:sz w:val="18"/>
                <w:szCs w:val="18"/>
              </w:rPr>
            </w:pPr>
            <w:r>
              <w:rPr>
                <w:noProof/>
                <w:sz w:val="18"/>
              </w:rPr>
              <w:t>417.342</w:t>
            </w:r>
          </w:p>
        </w:tc>
        <w:tc>
          <w:tcPr>
            <w:tcW w:w="868" w:type="dxa"/>
          </w:tcPr>
          <w:p>
            <w:pPr>
              <w:spacing w:before="20" w:after="20"/>
              <w:jc w:val="right"/>
              <w:rPr>
                <w:noProof/>
                <w:sz w:val="18"/>
                <w:szCs w:val="18"/>
              </w:rPr>
            </w:pPr>
            <w:r>
              <w:rPr>
                <w:noProof/>
                <w:sz w:val="18"/>
              </w:rPr>
              <w:t>425.784</w:t>
            </w:r>
          </w:p>
        </w:tc>
        <w:tc>
          <w:tcPr>
            <w:tcW w:w="868" w:type="dxa"/>
          </w:tcPr>
          <w:p>
            <w:pPr>
              <w:spacing w:before="20" w:after="20"/>
              <w:jc w:val="right"/>
              <w:rPr>
                <w:noProof/>
                <w:sz w:val="18"/>
                <w:szCs w:val="18"/>
              </w:rPr>
            </w:pPr>
            <w:r>
              <w:rPr>
                <w:noProof/>
                <w:sz w:val="18"/>
              </w:rPr>
              <w:t>434.456</w:t>
            </w:r>
          </w:p>
        </w:tc>
        <w:tc>
          <w:tcPr>
            <w:tcW w:w="868" w:type="dxa"/>
          </w:tcPr>
          <w:p>
            <w:pPr>
              <w:spacing w:before="20" w:after="20"/>
              <w:jc w:val="right"/>
              <w:rPr>
                <w:noProof/>
                <w:sz w:val="18"/>
                <w:szCs w:val="18"/>
              </w:rPr>
            </w:pPr>
            <w:r>
              <w:rPr>
                <w:noProof/>
                <w:sz w:val="18"/>
              </w:rPr>
              <w:t>443.225</w:t>
            </w:r>
          </w:p>
        </w:tc>
        <w:tc>
          <w:tcPr>
            <w:tcW w:w="868" w:type="dxa"/>
          </w:tcPr>
          <w:p>
            <w:pPr>
              <w:spacing w:before="20" w:after="20"/>
              <w:jc w:val="right"/>
              <w:rPr>
                <w:noProof/>
                <w:sz w:val="18"/>
                <w:szCs w:val="18"/>
              </w:rPr>
            </w:pPr>
            <w:r>
              <w:rPr>
                <w:noProof/>
                <w:sz w:val="18"/>
              </w:rPr>
              <w:t>452.208</w:t>
            </w:r>
          </w:p>
        </w:tc>
        <w:tc>
          <w:tcPr>
            <w:tcW w:w="909" w:type="dxa"/>
          </w:tcPr>
          <w:p>
            <w:pPr>
              <w:spacing w:before="20" w:after="20"/>
              <w:jc w:val="right"/>
              <w:rPr>
                <w:noProof/>
                <w:sz w:val="18"/>
                <w:szCs w:val="18"/>
              </w:rPr>
            </w:pPr>
            <w:r>
              <w:rPr>
                <w:noProof/>
                <w:sz w:val="18"/>
              </w:rPr>
              <w:t>130.618</w:t>
            </w:r>
          </w:p>
        </w:tc>
        <w:tc>
          <w:tcPr>
            <w:tcW w:w="1289" w:type="dxa"/>
          </w:tcPr>
          <w:p>
            <w:pPr>
              <w:spacing w:before="20" w:after="20"/>
              <w:jc w:val="right"/>
              <w:rPr>
                <w:noProof/>
                <w:sz w:val="18"/>
                <w:szCs w:val="18"/>
              </w:rPr>
            </w:pPr>
            <w:r>
              <w:rPr>
                <w:noProof/>
                <w:sz w:val="18"/>
              </w:rPr>
              <w:t>3.000.000</w:t>
            </w:r>
          </w:p>
        </w:tc>
      </w:tr>
    </w:tbl>
    <w:p>
      <w:pPr>
        <w:rPr>
          <w:noProof/>
        </w:rPr>
      </w:pPr>
    </w:p>
    <w:p>
      <w:pPr>
        <w:rPr>
          <w:rFonts w:eastAsia="Calibri"/>
          <w:noProof/>
          <w:sz w:val="16"/>
        </w:rPr>
      </w:pPr>
    </w:p>
    <w:p>
      <w:pPr>
        <w:rPr>
          <w:rFonts w:eastAsia="Calibri"/>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Calibri"/>
                <w:b/>
                <w:noProof/>
              </w:rPr>
            </w:pPr>
            <w:r>
              <w:rPr>
                <w:noProof/>
              </w:rPr>
              <w:br w:type="page"/>
            </w:r>
            <w:r>
              <w:rPr>
                <w:b/>
                <w:noProof/>
                <w:sz w:val="22"/>
              </w:rPr>
              <w:t>Ceannteideal an chreata airgeadais</w:t>
            </w:r>
            <w:r>
              <w:rPr>
                <w:rFonts w:eastAsia="Calibri"/>
                <w:noProof/>
                <w:sz w:val="22"/>
              </w:rPr>
              <w:br/>
            </w:r>
            <w:r>
              <w:rPr>
                <w:b/>
                <w:noProof/>
                <w:sz w:val="22"/>
              </w:rPr>
              <w:t xml:space="preserve">ilbhliantúil: </w:t>
            </w:r>
          </w:p>
        </w:tc>
        <w:tc>
          <w:tcPr>
            <w:tcW w:w="1080" w:type="dxa"/>
            <w:shd w:val="thinDiagStripe" w:color="C0C0C0" w:fill="auto"/>
            <w:vAlign w:val="center"/>
          </w:tcPr>
          <w:p>
            <w:pPr>
              <w:spacing w:before="60" w:after="60"/>
              <w:jc w:val="center"/>
              <w:rPr>
                <w:rFonts w:eastAsia="Calibri"/>
                <w:noProof/>
              </w:rPr>
            </w:pPr>
            <w:r>
              <w:rPr>
                <w:noProof/>
              </w:rPr>
              <w:t>7</w:t>
            </w:r>
          </w:p>
        </w:tc>
        <w:tc>
          <w:tcPr>
            <w:tcW w:w="7817" w:type="dxa"/>
            <w:vAlign w:val="center"/>
          </w:tcPr>
          <w:p>
            <w:pPr>
              <w:spacing w:before="60" w:after="60"/>
              <w:rPr>
                <w:rFonts w:eastAsia="Calibri"/>
                <w:noProof/>
              </w:rPr>
            </w:pPr>
            <w:r>
              <w:rPr>
                <w:noProof/>
                <w:sz w:val="22"/>
              </w:rPr>
              <w:t>"Caiteachas riaracháin"</w:t>
            </w:r>
          </w:p>
        </w:tc>
      </w:tr>
    </w:tbl>
    <w:p>
      <w:pPr>
        <w:jc w:val="left"/>
        <w:rPr>
          <w:rFonts w:eastAsia="Calibri"/>
          <w:noProof/>
        </w:rPr>
      </w:pPr>
      <w:r>
        <w:rPr>
          <w:noProof/>
        </w:rPr>
        <w:t>Chun an chuid seo a líonadh isteach, ba cheart na ‘sonraí buiséid de chineál riaracháin’ a úsáid arna n</w:t>
      </w:r>
      <w:r>
        <w:rPr>
          <w:noProof/>
        </w:rPr>
        <w:noBreakHyphen/>
        <w:t xml:space="preserve">iontráil ar dtús san </w:t>
      </w:r>
      <w:hyperlink r:id="rId21">
        <w:r>
          <w:rPr>
            <w:noProof/>
            <w:u w:val="single"/>
          </w:rPr>
          <w:t>Iarscríbhinn a ghabhann leis an Ráiteas Airgeadais Reachtach</w:t>
        </w:r>
      </w:hyperlink>
      <w:r>
        <w:rPr>
          <w:noProof/>
        </w:rPr>
        <w:t xml:space="preserve"> , iarscríbhinn a uaslódáiltear chuig DECIDE chun críocha comhairliúcháin idirsheirbhíse.</w:t>
      </w:r>
    </w:p>
    <w:p>
      <w:pPr>
        <w:jc w:val="left"/>
        <w:rPr>
          <w:rFonts w:eastAsia="Calibri"/>
          <w:noProof/>
          <w:color w:val="0000FF"/>
        </w:rPr>
      </w:pPr>
      <w:r>
        <w:rPr>
          <w:noProof/>
        </w:rPr>
        <w:br w:type="page"/>
      </w:r>
    </w:p>
    <w:p>
      <w:pPr>
        <w:jc w:val="right"/>
        <w:rPr>
          <w:noProof/>
          <w:sz w:val="20"/>
        </w:rPr>
      </w:pPr>
      <w:r>
        <w:rPr>
          <w:noProof/>
          <w:sz w:val="20"/>
        </w:rPr>
        <w:t>EUR milliúin (go dtí an tríú deachúil)</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790"/>
        <w:gridCol w:w="946"/>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r>
              <w:rPr>
                <w:noProof/>
                <w:sz w:val="20"/>
              </w:rPr>
              <w:t xml:space="preserve">an Coimisiún Eorpach </w:t>
            </w:r>
          </w:p>
        </w:tc>
        <w:tc>
          <w:tcPr>
            <w:tcW w:w="868" w:type="dxa"/>
            <w:vAlign w:val="center"/>
          </w:tcPr>
          <w:p>
            <w:pPr>
              <w:jc w:val="center"/>
              <w:rPr>
                <w:b/>
                <w:noProof/>
                <w:sz w:val="20"/>
              </w:rPr>
            </w:pPr>
            <w:r>
              <w:rPr>
                <w:b/>
                <w:noProof/>
                <w:sz w:val="20"/>
              </w:rPr>
              <w:t>2021</w:t>
            </w:r>
          </w:p>
        </w:tc>
        <w:tc>
          <w:tcPr>
            <w:tcW w:w="790" w:type="dxa"/>
            <w:vAlign w:val="center"/>
          </w:tcPr>
          <w:p>
            <w:pPr>
              <w:jc w:val="center"/>
              <w:rPr>
                <w:b/>
                <w:noProof/>
                <w:sz w:val="20"/>
              </w:rPr>
            </w:pPr>
            <w:r>
              <w:rPr>
                <w:b/>
                <w:noProof/>
                <w:sz w:val="20"/>
              </w:rPr>
              <w:t>2022</w:t>
            </w:r>
          </w:p>
        </w:tc>
        <w:tc>
          <w:tcPr>
            <w:tcW w:w="946"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Tar éis 2027</w:t>
            </w:r>
          </w:p>
        </w:tc>
        <w:tc>
          <w:tcPr>
            <w:tcW w:w="1291" w:type="dxa"/>
            <w:vAlign w:val="center"/>
          </w:tcPr>
          <w:p>
            <w:pPr>
              <w:jc w:val="center"/>
              <w:rPr>
                <w:b/>
                <w:noProof/>
                <w:sz w:val="20"/>
              </w:rPr>
            </w:pPr>
            <w:r>
              <w:rPr>
                <w:b/>
                <w:noProof/>
                <w:sz w:val="20"/>
              </w:rPr>
              <w:t>IOMLÁN</w:t>
            </w:r>
          </w:p>
        </w:tc>
      </w:tr>
      <w:tr>
        <w:trPr>
          <w:trHeight w:val="313"/>
          <w:jc w:val="center"/>
        </w:trPr>
        <w:tc>
          <w:tcPr>
            <w:tcW w:w="6245" w:type="dxa"/>
            <w:gridSpan w:val="2"/>
            <w:vAlign w:val="center"/>
          </w:tcPr>
          <w:p>
            <w:pPr>
              <w:spacing w:before="20" w:after="20"/>
              <w:rPr>
                <w:noProof/>
              </w:rPr>
            </w:pPr>
          </w:p>
        </w:tc>
        <w:tc>
          <w:tcPr>
            <w:tcW w:w="868" w:type="dxa"/>
            <w:vAlign w:val="center"/>
          </w:tcPr>
          <w:p>
            <w:pPr>
              <w:spacing w:before="20" w:after="20"/>
              <w:jc w:val="right"/>
              <w:rPr>
                <w:noProof/>
                <w:sz w:val="20"/>
              </w:rPr>
            </w:pPr>
          </w:p>
        </w:tc>
        <w:tc>
          <w:tcPr>
            <w:tcW w:w="790" w:type="dxa"/>
            <w:vAlign w:val="center"/>
          </w:tcPr>
          <w:p>
            <w:pPr>
              <w:spacing w:before="20" w:after="20"/>
              <w:jc w:val="center"/>
              <w:rPr>
                <w:noProof/>
                <w:sz w:val="20"/>
              </w:rPr>
            </w:pPr>
          </w:p>
        </w:tc>
        <w:tc>
          <w:tcPr>
            <w:tcW w:w="946"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13"/>
          <w:jc w:val="center"/>
        </w:trPr>
        <w:tc>
          <w:tcPr>
            <w:tcW w:w="6245" w:type="dxa"/>
            <w:gridSpan w:val="2"/>
            <w:vAlign w:val="center"/>
          </w:tcPr>
          <w:p>
            <w:pPr>
              <w:spacing w:before="20" w:after="20"/>
              <w:rPr>
                <w:noProof/>
              </w:rPr>
            </w:pPr>
          </w:p>
        </w:tc>
        <w:tc>
          <w:tcPr>
            <w:tcW w:w="868" w:type="dxa"/>
            <w:vAlign w:val="center"/>
          </w:tcPr>
          <w:p>
            <w:pPr>
              <w:spacing w:before="20" w:after="20"/>
              <w:jc w:val="right"/>
              <w:rPr>
                <w:noProof/>
                <w:sz w:val="20"/>
              </w:rPr>
            </w:pPr>
          </w:p>
        </w:tc>
        <w:tc>
          <w:tcPr>
            <w:tcW w:w="790" w:type="dxa"/>
          </w:tcPr>
          <w:p>
            <w:pPr>
              <w:spacing w:before="20" w:after="20"/>
              <w:rPr>
                <w:noProof/>
                <w:sz w:val="20"/>
              </w:rPr>
            </w:pPr>
          </w:p>
        </w:tc>
        <w:tc>
          <w:tcPr>
            <w:tcW w:w="946" w:type="dxa"/>
          </w:tcPr>
          <w:p>
            <w:pPr>
              <w:spacing w:before="20" w:after="20"/>
              <w:jc w:val="center"/>
              <w:rPr>
                <w:noProof/>
                <w:sz w:val="20"/>
              </w:rPr>
            </w:pPr>
          </w:p>
        </w:tc>
        <w:tc>
          <w:tcPr>
            <w:tcW w:w="868" w:type="dxa"/>
          </w:tcPr>
          <w:p>
            <w:pPr>
              <w:spacing w:before="20" w:after="20"/>
              <w:jc w:val="center"/>
              <w:rPr>
                <w:noProof/>
                <w:sz w:val="20"/>
              </w:rPr>
            </w:pPr>
          </w:p>
        </w:tc>
        <w:tc>
          <w:tcPr>
            <w:tcW w:w="868" w:type="dxa"/>
          </w:tcPr>
          <w:p>
            <w:pPr>
              <w:spacing w:before="20" w:after="20"/>
              <w:jc w:val="center"/>
              <w:rPr>
                <w:noProof/>
                <w:sz w:val="20"/>
              </w:rPr>
            </w:pPr>
          </w:p>
        </w:tc>
        <w:tc>
          <w:tcPr>
            <w:tcW w:w="868" w:type="dxa"/>
          </w:tcPr>
          <w:p>
            <w:pPr>
              <w:spacing w:before="20" w:after="20"/>
              <w:jc w:val="center"/>
              <w:rPr>
                <w:noProof/>
                <w:sz w:val="20"/>
              </w:rPr>
            </w:pPr>
          </w:p>
        </w:tc>
        <w:tc>
          <w:tcPr>
            <w:tcW w:w="868" w:type="dxa"/>
          </w:tcPr>
          <w:p>
            <w:pPr>
              <w:spacing w:before="20" w:after="20"/>
              <w:jc w:val="center"/>
              <w:rPr>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6245" w:type="dxa"/>
            <w:gridSpan w:val="2"/>
            <w:vAlign w:val="center"/>
          </w:tcPr>
          <w:p>
            <w:pPr>
              <w:spacing w:before="20" w:after="20"/>
              <w:rPr>
                <w:noProof/>
              </w:rPr>
            </w:pPr>
          </w:p>
        </w:tc>
        <w:tc>
          <w:tcPr>
            <w:tcW w:w="868" w:type="dxa"/>
            <w:vAlign w:val="center"/>
          </w:tcPr>
          <w:p>
            <w:pPr>
              <w:spacing w:before="20" w:after="20"/>
              <w:jc w:val="right"/>
              <w:rPr>
                <w:noProof/>
                <w:sz w:val="20"/>
              </w:rPr>
            </w:pPr>
          </w:p>
        </w:tc>
        <w:tc>
          <w:tcPr>
            <w:tcW w:w="790" w:type="dxa"/>
            <w:vAlign w:val="center"/>
          </w:tcPr>
          <w:p>
            <w:pPr>
              <w:spacing w:before="20" w:after="20"/>
              <w:jc w:val="center"/>
              <w:rPr>
                <w:noProof/>
                <w:sz w:val="20"/>
              </w:rPr>
            </w:pPr>
          </w:p>
        </w:tc>
        <w:tc>
          <w:tcPr>
            <w:tcW w:w="946"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4199" w:type="dxa"/>
            <w:vAlign w:val="center"/>
          </w:tcPr>
          <w:p>
            <w:pPr>
              <w:spacing w:before="20" w:after="20"/>
              <w:jc w:val="left"/>
              <w:rPr>
                <w:b/>
                <w:noProof/>
              </w:rPr>
            </w:pPr>
            <w:r>
              <w:rPr>
                <w:b/>
                <w:noProof/>
                <w:sz w:val="22"/>
              </w:rPr>
              <w:t>IOMLÁN na leithreasuithe faoi CHEANNTEIDEAL 7 den chreat airgeadais ilbhliantúil do EIT</w:t>
            </w:r>
          </w:p>
        </w:tc>
        <w:tc>
          <w:tcPr>
            <w:tcW w:w="2046" w:type="dxa"/>
            <w:vAlign w:val="center"/>
          </w:tcPr>
          <w:p>
            <w:pPr>
              <w:spacing w:before="20" w:after="20"/>
              <w:rPr>
                <w:noProof/>
              </w:rPr>
            </w:pPr>
            <w:r>
              <w:rPr>
                <w:noProof/>
                <w:sz w:val="18"/>
              </w:rPr>
              <w:t>(Iomlán gealltanas = Iomlán íocaíochtaí)</w:t>
            </w:r>
          </w:p>
        </w:tc>
        <w:tc>
          <w:tcPr>
            <w:tcW w:w="868" w:type="dxa"/>
            <w:vAlign w:val="center"/>
          </w:tcPr>
          <w:p>
            <w:pPr>
              <w:spacing w:before="20" w:after="20"/>
              <w:jc w:val="right"/>
              <w:rPr>
                <w:noProof/>
                <w:sz w:val="20"/>
              </w:rPr>
            </w:pPr>
          </w:p>
        </w:tc>
        <w:tc>
          <w:tcPr>
            <w:tcW w:w="790" w:type="dxa"/>
          </w:tcPr>
          <w:p>
            <w:pPr>
              <w:spacing w:before="20" w:after="20"/>
              <w:jc w:val="center"/>
              <w:rPr>
                <w:noProof/>
                <w:sz w:val="20"/>
              </w:rPr>
            </w:pPr>
          </w:p>
        </w:tc>
        <w:tc>
          <w:tcPr>
            <w:tcW w:w="946" w:type="dxa"/>
          </w:tcPr>
          <w:p>
            <w:pPr>
              <w:spacing w:before="20" w:after="20"/>
              <w:jc w:val="center"/>
              <w:rPr>
                <w:noProof/>
                <w:sz w:val="20"/>
              </w:rPr>
            </w:pPr>
          </w:p>
        </w:tc>
        <w:tc>
          <w:tcPr>
            <w:tcW w:w="868" w:type="dxa"/>
          </w:tcPr>
          <w:p>
            <w:pPr>
              <w:spacing w:before="20" w:after="20"/>
              <w:jc w:val="center"/>
              <w:rPr>
                <w:noProof/>
                <w:sz w:val="20"/>
              </w:rPr>
            </w:pPr>
          </w:p>
        </w:tc>
        <w:tc>
          <w:tcPr>
            <w:tcW w:w="868" w:type="dxa"/>
          </w:tcPr>
          <w:p>
            <w:pPr>
              <w:spacing w:before="20" w:after="20"/>
              <w:jc w:val="center"/>
              <w:rPr>
                <w:noProof/>
                <w:sz w:val="20"/>
              </w:rPr>
            </w:pPr>
          </w:p>
        </w:tc>
        <w:tc>
          <w:tcPr>
            <w:tcW w:w="868" w:type="dxa"/>
          </w:tcPr>
          <w:p>
            <w:pPr>
              <w:spacing w:before="20" w:after="20"/>
              <w:jc w:val="center"/>
              <w:rPr>
                <w:noProof/>
                <w:sz w:val="20"/>
              </w:rPr>
            </w:pPr>
          </w:p>
        </w:tc>
        <w:tc>
          <w:tcPr>
            <w:tcW w:w="868" w:type="dxa"/>
          </w:tcPr>
          <w:p>
            <w:pPr>
              <w:spacing w:before="20" w:after="20"/>
              <w:jc w:val="center"/>
              <w:rPr>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p>
        </w:tc>
      </w:tr>
    </w:tbl>
    <w:p>
      <w:pPr>
        <w:jc w:val="right"/>
        <w:rPr>
          <w:noProof/>
          <w:sz w:val="20"/>
        </w:rPr>
      </w:pPr>
      <w:r>
        <w:rPr>
          <w:noProof/>
          <w:sz w:val="20"/>
        </w:rPr>
        <w:t>EUR milliúin (go dtí an tríú deachúil)</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Tar éis 2027</w:t>
            </w:r>
          </w:p>
        </w:tc>
        <w:tc>
          <w:tcPr>
            <w:tcW w:w="1292" w:type="dxa"/>
            <w:vAlign w:val="center"/>
          </w:tcPr>
          <w:p>
            <w:pPr>
              <w:jc w:val="center"/>
              <w:rPr>
                <w:b/>
                <w:noProof/>
                <w:sz w:val="20"/>
              </w:rPr>
            </w:pPr>
            <w:r>
              <w:rPr>
                <w:b/>
                <w:noProof/>
                <w:sz w:val="20"/>
              </w:rPr>
              <w:t>IOMLÁN</w:t>
            </w:r>
          </w:p>
        </w:tc>
      </w:tr>
      <w:tr>
        <w:trPr>
          <w:jc w:val="center"/>
        </w:trPr>
        <w:tc>
          <w:tcPr>
            <w:tcW w:w="4173" w:type="dxa"/>
            <w:vMerge w:val="restart"/>
            <w:shd w:val="clear" w:color="auto" w:fill="C0C0C0"/>
            <w:vAlign w:val="center"/>
          </w:tcPr>
          <w:p>
            <w:pPr>
              <w:jc w:val="center"/>
              <w:rPr>
                <w:b/>
                <w:noProof/>
              </w:rPr>
            </w:pPr>
            <w:r>
              <w:rPr>
                <w:b/>
                <w:noProof/>
                <w:sz w:val="22"/>
              </w:rPr>
              <w:t>IOMLÁN leithreasuithe</w:t>
            </w:r>
            <w:r>
              <w:rPr>
                <w:noProof/>
                <w:sz w:val="22"/>
              </w:rPr>
              <w:br/>
            </w:r>
            <w:r>
              <w:rPr>
                <w:b/>
                <w:noProof/>
                <w:sz w:val="22"/>
              </w:rPr>
              <w:t xml:space="preserve">ar fud na gCEANNTEIDEAL </w:t>
            </w:r>
            <w:r>
              <w:rPr>
                <w:noProof/>
                <w:sz w:val="22"/>
              </w:rPr>
              <w:br/>
              <w:t>den chreat airgeadais ilbhliantúil do EIT</w:t>
            </w:r>
          </w:p>
        </w:tc>
        <w:tc>
          <w:tcPr>
            <w:tcW w:w="2094" w:type="dxa"/>
            <w:gridSpan w:val="2"/>
            <w:vAlign w:val="center"/>
          </w:tcPr>
          <w:p>
            <w:pPr>
              <w:rPr>
                <w:noProof/>
                <w:sz w:val="14"/>
              </w:rPr>
            </w:pPr>
            <w:r>
              <w:rPr>
                <w:noProof/>
                <w:sz w:val="18"/>
              </w:rPr>
              <w:t>Gealltanais</w:t>
            </w:r>
          </w:p>
        </w:tc>
        <w:tc>
          <w:tcPr>
            <w:tcW w:w="868" w:type="dxa"/>
            <w:vAlign w:val="center"/>
          </w:tcPr>
          <w:p>
            <w:pPr>
              <w:spacing w:before="60" w:after="60"/>
              <w:jc w:val="right"/>
              <w:rPr>
                <w:noProof/>
                <w:sz w:val="20"/>
              </w:rPr>
            </w:pPr>
            <w:r>
              <w:rPr>
                <w:b/>
                <w:noProof/>
                <w:sz w:val="18"/>
              </w:rPr>
              <w:t>403.226</w:t>
            </w:r>
          </w:p>
        </w:tc>
        <w:tc>
          <w:tcPr>
            <w:tcW w:w="868" w:type="dxa"/>
            <w:vAlign w:val="center"/>
          </w:tcPr>
          <w:p>
            <w:pPr>
              <w:spacing w:before="60" w:after="60"/>
              <w:jc w:val="right"/>
              <w:rPr>
                <w:noProof/>
                <w:sz w:val="20"/>
              </w:rPr>
            </w:pPr>
            <w:r>
              <w:rPr>
                <w:b/>
                <w:noProof/>
                <w:sz w:val="18"/>
              </w:rPr>
              <w:t>411.398</w:t>
            </w:r>
          </w:p>
        </w:tc>
        <w:tc>
          <w:tcPr>
            <w:tcW w:w="868" w:type="dxa"/>
            <w:vAlign w:val="center"/>
          </w:tcPr>
          <w:p>
            <w:pPr>
              <w:spacing w:before="60" w:after="60"/>
              <w:jc w:val="right"/>
              <w:rPr>
                <w:noProof/>
                <w:sz w:val="20"/>
              </w:rPr>
            </w:pPr>
            <w:r>
              <w:rPr>
                <w:b/>
                <w:noProof/>
                <w:sz w:val="18"/>
              </w:rPr>
              <w:t>419.711</w:t>
            </w:r>
          </w:p>
        </w:tc>
        <w:tc>
          <w:tcPr>
            <w:tcW w:w="868" w:type="dxa"/>
            <w:vAlign w:val="center"/>
          </w:tcPr>
          <w:p>
            <w:pPr>
              <w:spacing w:before="60" w:after="60"/>
              <w:jc w:val="right"/>
              <w:rPr>
                <w:noProof/>
                <w:sz w:val="20"/>
              </w:rPr>
            </w:pPr>
            <w:r>
              <w:rPr>
                <w:b/>
                <w:noProof/>
                <w:sz w:val="18"/>
              </w:rPr>
              <w:t>428.204</w:t>
            </w:r>
          </w:p>
        </w:tc>
        <w:tc>
          <w:tcPr>
            <w:tcW w:w="868" w:type="dxa"/>
            <w:vAlign w:val="center"/>
          </w:tcPr>
          <w:p>
            <w:pPr>
              <w:spacing w:before="60" w:after="60"/>
              <w:jc w:val="right"/>
              <w:rPr>
                <w:noProof/>
                <w:sz w:val="20"/>
              </w:rPr>
            </w:pPr>
            <w:r>
              <w:rPr>
                <w:b/>
                <w:noProof/>
                <w:sz w:val="18"/>
              </w:rPr>
              <w:t>436.948</w:t>
            </w:r>
          </w:p>
        </w:tc>
        <w:tc>
          <w:tcPr>
            <w:tcW w:w="868" w:type="dxa"/>
            <w:vAlign w:val="center"/>
          </w:tcPr>
          <w:p>
            <w:pPr>
              <w:spacing w:before="60" w:after="60"/>
              <w:jc w:val="right"/>
              <w:rPr>
                <w:noProof/>
                <w:sz w:val="20"/>
              </w:rPr>
            </w:pPr>
            <w:r>
              <w:rPr>
                <w:b/>
                <w:noProof/>
                <w:sz w:val="18"/>
              </w:rPr>
              <w:t>445.724</w:t>
            </w:r>
          </w:p>
        </w:tc>
        <w:tc>
          <w:tcPr>
            <w:tcW w:w="868" w:type="dxa"/>
            <w:vAlign w:val="center"/>
          </w:tcPr>
          <w:p>
            <w:pPr>
              <w:spacing w:before="60" w:after="60"/>
              <w:jc w:val="right"/>
              <w:rPr>
                <w:noProof/>
                <w:sz w:val="20"/>
              </w:rPr>
            </w:pPr>
            <w:r>
              <w:rPr>
                <w:b/>
                <w:noProof/>
                <w:sz w:val="18"/>
              </w:rPr>
              <w:t>454.789</w:t>
            </w:r>
          </w:p>
        </w:tc>
        <w:tc>
          <w:tcPr>
            <w:tcW w:w="877" w:type="dxa"/>
            <w:shd w:val="clear" w:color="auto" w:fill="A6A6A6"/>
          </w:tcPr>
          <w:p>
            <w:pPr>
              <w:spacing w:before="60" w:after="60"/>
              <w:jc w:val="right"/>
              <w:rPr>
                <w:noProof/>
                <w:sz w:val="20"/>
              </w:rPr>
            </w:pPr>
          </w:p>
        </w:tc>
        <w:tc>
          <w:tcPr>
            <w:tcW w:w="1292" w:type="dxa"/>
            <w:vAlign w:val="center"/>
          </w:tcPr>
          <w:p>
            <w:pPr>
              <w:spacing w:before="60" w:after="60"/>
              <w:jc w:val="right"/>
              <w:rPr>
                <w:b/>
                <w:noProof/>
                <w:sz w:val="20"/>
              </w:rPr>
            </w:pPr>
            <w:r>
              <w:rPr>
                <w:b/>
                <w:noProof/>
                <w:sz w:val="18"/>
              </w:rPr>
              <w:t>3 000.000</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Íocaíochtaí</w:t>
            </w:r>
          </w:p>
        </w:tc>
        <w:tc>
          <w:tcPr>
            <w:tcW w:w="868" w:type="dxa"/>
            <w:vAlign w:val="center"/>
          </w:tcPr>
          <w:p>
            <w:pPr>
              <w:spacing w:before="60" w:after="60"/>
              <w:jc w:val="right"/>
              <w:rPr>
                <w:b/>
                <w:noProof/>
                <w:sz w:val="18"/>
              </w:rPr>
            </w:pPr>
            <w:r>
              <w:rPr>
                <w:b/>
                <w:noProof/>
                <w:sz w:val="18"/>
              </w:rPr>
              <w:t>287.299</w:t>
            </w:r>
          </w:p>
        </w:tc>
        <w:tc>
          <w:tcPr>
            <w:tcW w:w="868" w:type="dxa"/>
            <w:vAlign w:val="center"/>
          </w:tcPr>
          <w:p>
            <w:pPr>
              <w:spacing w:before="60" w:after="60"/>
              <w:jc w:val="right"/>
              <w:rPr>
                <w:b/>
                <w:noProof/>
                <w:sz w:val="18"/>
              </w:rPr>
            </w:pPr>
            <w:r>
              <w:rPr>
                <w:b/>
                <w:noProof/>
                <w:sz w:val="18"/>
              </w:rPr>
              <w:t>409.068</w:t>
            </w:r>
          </w:p>
        </w:tc>
        <w:tc>
          <w:tcPr>
            <w:tcW w:w="868" w:type="dxa"/>
            <w:vAlign w:val="center"/>
          </w:tcPr>
          <w:p>
            <w:pPr>
              <w:spacing w:before="60" w:after="60"/>
              <w:jc w:val="right"/>
              <w:rPr>
                <w:b/>
                <w:noProof/>
                <w:sz w:val="18"/>
              </w:rPr>
            </w:pPr>
            <w:r>
              <w:rPr>
                <w:b/>
                <w:noProof/>
                <w:sz w:val="18"/>
              </w:rPr>
              <w:t>417.342</w:t>
            </w:r>
          </w:p>
        </w:tc>
        <w:tc>
          <w:tcPr>
            <w:tcW w:w="868" w:type="dxa"/>
            <w:vAlign w:val="center"/>
          </w:tcPr>
          <w:p>
            <w:pPr>
              <w:spacing w:before="60" w:after="60"/>
              <w:jc w:val="right"/>
              <w:rPr>
                <w:b/>
                <w:noProof/>
                <w:sz w:val="18"/>
              </w:rPr>
            </w:pPr>
            <w:r>
              <w:rPr>
                <w:b/>
                <w:noProof/>
                <w:sz w:val="18"/>
              </w:rPr>
              <w:t>425.784</w:t>
            </w:r>
          </w:p>
        </w:tc>
        <w:tc>
          <w:tcPr>
            <w:tcW w:w="868" w:type="dxa"/>
            <w:vAlign w:val="center"/>
          </w:tcPr>
          <w:p>
            <w:pPr>
              <w:spacing w:before="60" w:after="60"/>
              <w:jc w:val="right"/>
              <w:rPr>
                <w:b/>
                <w:noProof/>
                <w:sz w:val="18"/>
              </w:rPr>
            </w:pPr>
            <w:r>
              <w:rPr>
                <w:b/>
                <w:noProof/>
                <w:sz w:val="18"/>
              </w:rPr>
              <w:t>434.456</w:t>
            </w:r>
          </w:p>
        </w:tc>
        <w:tc>
          <w:tcPr>
            <w:tcW w:w="868" w:type="dxa"/>
            <w:vAlign w:val="center"/>
          </w:tcPr>
          <w:p>
            <w:pPr>
              <w:spacing w:before="60" w:after="60"/>
              <w:jc w:val="right"/>
              <w:rPr>
                <w:b/>
                <w:noProof/>
                <w:sz w:val="18"/>
              </w:rPr>
            </w:pPr>
            <w:r>
              <w:rPr>
                <w:b/>
                <w:noProof/>
                <w:sz w:val="18"/>
              </w:rPr>
              <w:t>443.225</w:t>
            </w:r>
          </w:p>
        </w:tc>
        <w:tc>
          <w:tcPr>
            <w:tcW w:w="868" w:type="dxa"/>
            <w:vAlign w:val="center"/>
          </w:tcPr>
          <w:p>
            <w:pPr>
              <w:spacing w:before="60" w:after="60"/>
              <w:jc w:val="right"/>
              <w:rPr>
                <w:b/>
                <w:noProof/>
                <w:sz w:val="18"/>
              </w:rPr>
            </w:pPr>
            <w:r>
              <w:rPr>
                <w:b/>
                <w:noProof/>
                <w:sz w:val="18"/>
              </w:rPr>
              <w:t>452.208</w:t>
            </w:r>
          </w:p>
        </w:tc>
        <w:tc>
          <w:tcPr>
            <w:tcW w:w="877" w:type="dxa"/>
          </w:tcPr>
          <w:p>
            <w:pPr>
              <w:spacing w:before="60" w:after="60"/>
              <w:rPr>
                <w:b/>
                <w:noProof/>
                <w:sz w:val="18"/>
              </w:rPr>
            </w:pPr>
            <w:r>
              <w:rPr>
                <w:b/>
                <w:noProof/>
                <w:sz w:val="18"/>
              </w:rPr>
              <w:t>130.618</w:t>
            </w:r>
          </w:p>
        </w:tc>
        <w:tc>
          <w:tcPr>
            <w:tcW w:w="1292" w:type="dxa"/>
            <w:vAlign w:val="center"/>
          </w:tcPr>
          <w:p>
            <w:pPr>
              <w:spacing w:before="60" w:after="60"/>
              <w:jc w:val="center"/>
              <w:rPr>
                <w:b/>
                <w:noProof/>
                <w:sz w:val="18"/>
              </w:rPr>
            </w:pPr>
            <w:r>
              <w:rPr>
                <w:b/>
                <w:noProof/>
                <w:sz w:val="18"/>
              </w:rPr>
              <w:t>3 000.000</w:t>
            </w:r>
          </w:p>
        </w:tc>
      </w:tr>
    </w:tbl>
    <w:p>
      <w:pPr>
        <w:rPr>
          <w:noProof/>
        </w:rPr>
        <w:sectPr>
          <w:headerReference w:type="default" r:id="rId22"/>
          <w:footerReference w:type="default" r:id="rId23"/>
          <w:headerReference w:type="first" r:id="rId24"/>
          <w:footerReference w:type="first" r:id="rId25"/>
          <w:pgSz w:w="16840" w:h="11907" w:orient="landscape" w:code="9"/>
          <w:pgMar w:top="1134" w:right="1418" w:bottom="1134" w:left="1418" w:header="709" w:footer="709" w:gutter="0"/>
          <w:cols w:space="708"/>
          <w:docGrid w:linePitch="360"/>
        </w:sectPr>
      </w:pPr>
    </w:p>
    <w:p>
      <w:pPr>
        <w:keepNext/>
        <w:tabs>
          <w:tab w:val="left" w:pos="850"/>
        </w:tabs>
        <w:ind w:left="850" w:hanging="850"/>
        <w:outlineLvl w:val="2"/>
        <w:rPr>
          <w:i/>
          <w:noProof/>
        </w:rPr>
      </w:pPr>
      <w:r>
        <w:rPr>
          <w:i/>
          <w:noProof/>
        </w:rPr>
        <w:t>3.2.2.</w:t>
      </w:r>
      <w:r>
        <w:rPr>
          <w:noProof/>
        </w:rPr>
        <w:tab/>
      </w:r>
      <w:r>
        <w:rPr>
          <w:i/>
          <w:noProof/>
        </w:rPr>
        <w:t>Achoimre ar an tionchar a mheastar a bheidh ag an togra/tionscnamh ar leithreasuithe de chineál riaracháin</w:t>
      </w:r>
    </w:p>
    <w:p>
      <w:pPr>
        <w:tabs>
          <w:tab w:val="num" w:pos="1134"/>
        </w:tabs>
        <w:ind w:left="1134" w:hanging="283"/>
        <w:rPr>
          <w:noProof/>
        </w:rPr>
      </w:pPr>
      <w:r>
        <w:rPr>
          <w:noProof/>
        </w:rPr>
        <w:sym w:font="Wingdings" w:char="F0A8"/>
      </w:r>
      <w:r>
        <w:rPr>
          <w:noProof/>
        </w:rPr>
        <w:tab/>
        <w:t>Ní éilíonn an togra/tionscnamh go n</w:t>
      </w:r>
      <w:r>
        <w:rPr>
          <w:noProof/>
        </w:rPr>
        <w:noBreakHyphen/>
        <w:t xml:space="preserve">úsáidfear leithreasuithe de chineál riaracháin </w:t>
      </w:r>
    </w:p>
    <w:p>
      <w:pPr>
        <w:tabs>
          <w:tab w:val="num" w:pos="1134"/>
        </w:tabs>
        <w:ind w:left="1134" w:hanging="283"/>
        <w:rPr>
          <w:noProof/>
        </w:rPr>
      </w:pPr>
      <w:r>
        <w:rPr>
          <w:noProof/>
        </w:rPr>
        <w:t>X</w:t>
      </w:r>
      <w:r>
        <w:rPr>
          <w:noProof/>
        </w:rPr>
        <w:tab/>
        <w:t>Éilíonn an togra/tionscnamh go n</w:t>
      </w:r>
      <w:r>
        <w:rPr>
          <w:noProof/>
        </w:rPr>
        <w:noBreakHyphen/>
        <w:t>úsáidfear leithreasuithe de chineál riaracháin mar a mhínítear thíos:</w:t>
      </w:r>
    </w:p>
    <w:p>
      <w:pPr>
        <w:rPr>
          <w:noProof/>
          <w:sz w:val="20"/>
        </w:rPr>
      </w:pPr>
      <w:r>
        <w:rPr>
          <w:noProof/>
          <w:sz w:val="20"/>
        </w:rPr>
        <w:t>EUR milliúin (go dtí an tríú deachúil)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rPr>
              <w:t>Blianta</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IOMLÁN</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CEANNTEIDEAL 7</w:t>
            </w:r>
            <w:r>
              <w:rPr>
                <w:noProof/>
                <w:sz w:val="22"/>
              </w:rPr>
              <w:br/>
            </w:r>
            <w:r>
              <w:rPr>
                <w:b/>
                <w:noProof/>
                <w:sz w:val="16"/>
              </w:rPr>
              <w:t>den chreat airgeadais ilbhliantúil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Acmhainní daonna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Caiteachas riaracháin eile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Fo-iomlán CHEANNTEIDEAL 7</w:t>
            </w:r>
            <w:r>
              <w:rPr>
                <w:noProof/>
                <w:sz w:val="22"/>
              </w:rPr>
              <w:br/>
            </w:r>
            <w:r>
              <w:rPr>
                <w:b/>
                <w:noProof/>
                <w:sz w:val="16"/>
              </w:rPr>
              <w:t xml:space="preserve">den chreat airgeadais ilbhliantúil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Lasmuigh de CHEANNTEIDEAL 7</w:t>
            </w:r>
            <w:r>
              <w:rPr>
                <w:noProof/>
                <w:sz w:val="22"/>
              </w:rPr>
              <w:br/>
            </w:r>
            <w:r>
              <w:rPr>
                <w:b/>
                <w:noProof/>
                <w:sz w:val="16"/>
              </w:rPr>
              <w:t xml:space="preserve">den chreat airgeadais ilbhliantúil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Acmhainní daonna. Líne 01.010101 Oifigigh agus an Fhoireann Shealadach a chuireann cláir thaighde agus nuálaíochta Institiúidí Ardoideachais chun feidhme</w:t>
            </w:r>
          </w:p>
        </w:tc>
        <w:tc>
          <w:tcPr>
            <w:tcW w:w="1080" w:type="dxa"/>
            <w:vAlign w:val="center"/>
          </w:tcPr>
          <w:p>
            <w:pPr>
              <w:spacing w:before="60" w:after="60" w:line="200" w:lineRule="exact"/>
              <w:jc w:val="right"/>
              <w:rPr>
                <w:noProof/>
                <w:sz w:val="16"/>
                <w:szCs w:val="16"/>
              </w:rPr>
            </w:pPr>
            <w:r>
              <w:rPr>
                <w:noProof/>
                <w:sz w:val="16"/>
              </w:rPr>
              <w:t>0.527</w:t>
            </w:r>
          </w:p>
        </w:tc>
        <w:tc>
          <w:tcPr>
            <w:tcW w:w="1080" w:type="dxa"/>
            <w:vAlign w:val="center"/>
          </w:tcPr>
          <w:p>
            <w:pPr>
              <w:spacing w:before="60" w:after="60" w:line="200" w:lineRule="exact"/>
              <w:jc w:val="right"/>
              <w:rPr>
                <w:noProof/>
                <w:sz w:val="16"/>
                <w:szCs w:val="16"/>
              </w:rPr>
            </w:pPr>
            <w:r>
              <w:rPr>
                <w:noProof/>
                <w:sz w:val="16"/>
              </w:rPr>
              <w:t>0.545</w:t>
            </w:r>
          </w:p>
        </w:tc>
        <w:tc>
          <w:tcPr>
            <w:tcW w:w="1080" w:type="dxa"/>
            <w:vAlign w:val="center"/>
          </w:tcPr>
          <w:p>
            <w:pPr>
              <w:spacing w:before="60" w:after="60" w:line="200" w:lineRule="exact"/>
              <w:jc w:val="right"/>
              <w:rPr>
                <w:noProof/>
                <w:sz w:val="16"/>
                <w:szCs w:val="16"/>
              </w:rPr>
            </w:pPr>
            <w:r>
              <w:rPr>
                <w:noProof/>
                <w:sz w:val="16"/>
              </w:rPr>
              <w:t>0.565</w:t>
            </w:r>
          </w:p>
        </w:tc>
        <w:tc>
          <w:tcPr>
            <w:tcW w:w="1080" w:type="dxa"/>
            <w:vAlign w:val="center"/>
          </w:tcPr>
          <w:p>
            <w:pPr>
              <w:spacing w:before="60" w:after="60" w:line="200" w:lineRule="exact"/>
              <w:jc w:val="right"/>
              <w:rPr>
                <w:noProof/>
                <w:sz w:val="16"/>
                <w:szCs w:val="16"/>
              </w:rPr>
            </w:pPr>
            <w:r>
              <w:rPr>
                <w:noProof/>
                <w:sz w:val="16"/>
              </w:rPr>
              <w:t>0.584</w:t>
            </w:r>
          </w:p>
        </w:tc>
        <w:tc>
          <w:tcPr>
            <w:tcW w:w="1080" w:type="dxa"/>
            <w:vAlign w:val="center"/>
          </w:tcPr>
          <w:p>
            <w:pPr>
              <w:spacing w:before="60" w:after="60" w:line="200" w:lineRule="exact"/>
              <w:jc w:val="right"/>
              <w:rPr>
                <w:noProof/>
                <w:sz w:val="16"/>
                <w:szCs w:val="16"/>
              </w:rPr>
            </w:pPr>
            <w:r>
              <w:rPr>
                <w:noProof/>
                <w:sz w:val="16"/>
              </w:rPr>
              <w:t>0.605</w:t>
            </w:r>
          </w:p>
        </w:tc>
        <w:tc>
          <w:tcPr>
            <w:tcW w:w="1080" w:type="dxa"/>
            <w:vAlign w:val="center"/>
          </w:tcPr>
          <w:p>
            <w:pPr>
              <w:spacing w:before="60" w:after="60" w:line="200" w:lineRule="exact"/>
              <w:jc w:val="right"/>
              <w:rPr>
                <w:noProof/>
                <w:sz w:val="16"/>
                <w:szCs w:val="16"/>
              </w:rPr>
            </w:pPr>
            <w:r>
              <w:rPr>
                <w:noProof/>
                <w:sz w:val="16"/>
              </w:rPr>
              <w:t>0.626</w:t>
            </w:r>
          </w:p>
        </w:tc>
        <w:tc>
          <w:tcPr>
            <w:tcW w:w="1080" w:type="dxa"/>
            <w:vAlign w:val="center"/>
          </w:tcPr>
          <w:p>
            <w:pPr>
              <w:spacing w:before="60" w:after="60" w:line="200" w:lineRule="exact"/>
              <w:jc w:val="right"/>
              <w:rPr>
                <w:noProof/>
                <w:sz w:val="16"/>
                <w:szCs w:val="16"/>
              </w:rPr>
            </w:pPr>
            <w:r>
              <w:rPr>
                <w:noProof/>
                <w:sz w:val="16"/>
              </w:rPr>
              <w:t>0.648</w:t>
            </w:r>
          </w:p>
        </w:tc>
        <w:tc>
          <w:tcPr>
            <w:tcW w:w="1080" w:type="dxa"/>
            <w:vAlign w:val="center"/>
          </w:tcPr>
          <w:p>
            <w:pPr>
              <w:spacing w:before="60" w:after="60" w:line="200" w:lineRule="exact"/>
              <w:jc w:val="right"/>
              <w:rPr>
                <w:b/>
                <w:noProof/>
                <w:sz w:val="16"/>
                <w:szCs w:val="16"/>
              </w:rPr>
            </w:pPr>
            <w:r>
              <w:rPr>
                <w:b/>
                <w:noProof/>
                <w:sz w:val="20"/>
              </w:rPr>
              <w:t>4.100</w:t>
            </w:r>
          </w:p>
        </w:tc>
      </w:tr>
      <w:tr>
        <w:trPr>
          <w:trHeight w:val="585"/>
        </w:trPr>
        <w:tc>
          <w:tcPr>
            <w:tcW w:w="1980" w:type="dxa"/>
            <w:vAlign w:val="center"/>
          </w:tcPr>
          <w:p>
            <w:pPr>
              <w:spacing w:before="60" w:after="60" w:line="200" w:lineRule="exact"/>
              <w:ind w:left="72"/>
              <w:jc w:val="left"/>
              <w:rPr>
                <w:noProof/>
                <w:sz w:val="16"/>
              </w:rPr>
            </w:pPr>
            <w:r>
              <w:rPr>
                <w:noProof/>
                <w:sz w:val="16"/>
              </w:rPr>
              <w:t>Acmhainní daonna. Líne 01.010102 Pearsanra seachtrach a chuireann cláir thaighde agus nuálaíochta Institiúidí Ardoideachais chun feidhme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line="200" w:lineRule="exact"/>
              <w:jc w:val="right"/>
              <w:rPr>
                <w:noProof/>
                <w:sz w:val="16"/>
                <w:szCs w:val="16"/>
              </w:rPr>
            </w:pPr>
            <w:r>
              <w:rPr>
                <w:noProof/>
                <w:sz w:val="16"/>
              </w:rPr>
              <w:t>0.108</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noProof/>
                <w:sz w:val="16"/>
                <w:szCs w:val="16"/>
              </w:rPr>
            </w:pPr>
            <w:r>
              <w:rPr>
                <w:noProof/>
                <w:sz w:val="16"/>
              </w:rPr>
              <w:t>0.110</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noProof/>
                <w:sz w:val="16"/>
                <w:szCs w:val="16"/>
              </w:rPr>
            </w:pPr>
            <w:r>
              <w:rPr>
                <w:noProof/>
                <w:sz w:val="16"/>
              </w:rPr>
              <w:t>0.113</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noProof/>
                <w:sz w:val="16"/>
                <w:szCs w:val="16"/>
              </w:rPr>
            </w:pPr>
            <w:r>
              <w:rPr>
                <w:noProof/>
                <w:sz w:val="16"/>
              </w:rPr>
              <w:t>0.115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noProof/>
                <w:sz w:val="16"/>
                <w:szCs w:val="16"/>
              </w:rPr>
            </w:pPr>
            <w:r>
              <w:rPr>
                <w:noProof/>
                <w:sz w:val="16"/>
              </w:rPr>
              <w:t>0.117</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noProof/>
                <w:sz w:val="16"/>
                <w:szCs w:val="16"/>
              </w:rPr>
            </w:pPr>
            <w:r>
              <w:rPr>
                <w:noProof/>
                <w:sz w:val="16"/>
              </w:rPr>
              <w:t>0.119</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noProof/>
                <w:sz w:val="16"/>
                <w:szCs w:val="16"/>
              </w:rPr>
            </w:pPr>
            <w:r>
              <w:rPr>
                <w:noProof/>
                <w:sz w:val="16"/>
              </w:rPr>
              <w:t>0.122</w:t>
            </w:r>
          </w:p>
        </w:tc>
        <w:tc>
          <w:tcPr>
            <w:tcW w:w="1080" w:type="dxa"/>
            <w:tcBorders>
              <w:top w:val="single" w:sz="4" w:space="0" w:color="auto"/>
              <w:left w:val="nil"/>
              <w:bottom w:val="single" w:sz="4" w:space="0" w:color="auto"/>
              <w:right w:val="single" w:sz="8" w:space="0" w:color="auto"/>
            </w:tcBorders>
            <w:shd w:val="clear" w:color="auto" w:fill="auto"/>
            <w:vAlign w:val="center"/>
          </w:tcPr>
          <w:p>
            <w:pPr>
              <w:spacing w:before="60" w:after="60" w:line="200" w:lineRule="exact"/>
              <w:jc w:val="right"/>
              <w:rPr>
                <w:b/>
                <w:noProof/>
                <w:sz w:val="16"/>
                <w:szCs w:val="16"/>
              </w:rPr>
            </w:pPr>
            <w:r>
              <w:rPr>
                <w:b/>
                <w:noProof/>
                <w:sz w:val="20"/>
              </w:rPr>
              <w:t>0.804</w:t>
            </w:r>
          </w:p>
        </w:tc>
      </w:tr>
      <w:tr>
        <w:trPr>
          <w:trHeight w:val="585"/>
        </w:trPr>
        <w:tc>
          <w:tcPr>
            <w:tcW w:w="1980" w:type="dxa"/>
            <w:vAlign w:val="center"/>
          </w:tcPr>
          <w:p>
            <w:pPr>
              <w:spacing w:before="60" w:after="60" w:line="200" w:lineRule="exact"/>
              <w:ind w:left="72"/>
              <w:jc w:val="left"/>
              <w:rPr>
                <w:noProof/>
                <w:sz w:val="16"/>
                <w:szCs w:val="16"/>
              </w:rPr>
            </w:pPr>
            <w:r>
              <w:rPr>
                <w:noProof/>
                <w:sz w:val="16"/>
              </w:rPr>
              <w:t>Líne 01.010103 Caiteachas bainistíochta eile i gcomhair chláir thaighde agus nuálaíochta Institiúidí Ardoideachais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line="200" w:lineRule="exact"/>
              <w:jc w:val="right"/>
              <w:rPr>
                <w:noProof/>
                <w:sz w:val="16"/>
                <w:szCs w:val="16"/>
              </w:rPr>
            </w:pPr>
            <w:r>
              <w:rPr>
                <w:noProof/>
                <w:sz w:val="16"/>
              </w:rPr>
              <w:t>9.445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noProof/>
                <w:sz w:val="16"/>
                <w:szCs w:val="16"/>
              </w:rPr>
            </w:pPr>
            <w:r>
              <w:rPr>
                <w:noProof/>
                <w:sz w:val="16"/>
              </w:rPr>
              <w:t>9.629</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noProof/>
                <w:sz w:val="16"/>
                <w:szCs w:val="16"/>
              </w:rPr>
            </w:pPr>
            <w:r>
              <w:rPr>
                <w:noProof/>
                <w:sz w:val="16"/>
              </w:rPr>
              <w:t>9.816</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noProof/>
                <w:sz w:val="16"/>
                <w:szCs w:val="16"/>
              </w:rPr>
            </w:pPr>
            <w:r>
              <w:rPr>
                <w:noProof/>
                <w:sz w:val="16"/>
              </w:rPr>
              <w:t>10.006</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noProof/>
                <w:sz w:val="16"/>
                <w:szCs w:val="16"/>
              </w:rPr>
            </w:pPr>
            <w:r>
              <w:rPr>
                <w:noProof/>
                <w:sz w:val="16"/>
              </w:rPr>
              <w:t>10.202</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noProof/>
                <w:sz w:val="16"/>
                <w:szCs w:val="16"/>
              </w:rPr>
            </w:pPr>
            <w:r>
              <w:rPr>
                <w:noProof/>
                <w:sz w:val="16"/>
              </w:rPr>
              <w:t>10.398</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noProof/>
                <w:sz w:val="16"/>
                <w:szCs w:val="16"/>
              </w:rPr>
            </w:pPr>
            <w:r>
              <w:rPr>
                <w:noProof/>
                <w:sz w:val="16"/>
              </w:rPr>
              <w:t>10.600</w:t>
            </w:r>
          </w:p>
        </w:tc>
        <w:tc>
          <w:tcPr>
            <w:tcW w:w="1080" w:type="dxa"/>
            <w:tcBorders>
              <w:top w:val="single" w:sz="4" w:space="0" w:color="auto"/>
              <w:left w:val="nil"/>
              <w:bottom w:val="single" w:sz="4" w:space="0" w:color="auto"/>
              <w:right w:val="single" w:sz="8" w:space="0" w:color="auto"/>
            </w:tcBorders>
            <w:shd w:val="clear" w:color="auto" w:fill="auto"/>
            <w:vAlign w:val="center"/>
          </w:tcPr>
          <w:p>
            <w:pPr>
              <w:spacing w:before="60" w:after="60" w:line="200" w:lineRule="exact"/>
              <w:jc w:val="right"/>
              <w:rPr>
                <w:b/>
                <w:noProof/>
                <w:sz w:val="16"/>
                <w:szCs w:val="16"/>
              </w:rPr>
            </w:pPr>
            <w:r>
              <w:rPr>
                <w:b/>
                <w:noProof/>
                <w:sz w:val="20"/>
              </w:rPr>
              <w:t>70.096</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Fo-iomlán </w:t>
            </w:r>
            <w:r>
              <w:rPr>
                <w:noProof/>
                <w:sz w:val="22"/>
              </w:rPr>
              <w:br/>
            </w:r>
            <w:r>
              <w:rPr>
                <w:b/>
                <w:noProof/>
                <w:sz w:val="16"/>
              </w:rPr>
              <w:t>lasmuigh de CHEANNTEIDEAL 7</w:t>
            </w:r>
            <w:r>
              <w:rPr>
                <w:noProof/>
                <w:sz w:val="22"/>
              </w:rPr>
              <w:br/>
            </w:r>
            <w:r>
              <w:rPr>
                <w:b/>
                <w:noProof/>
                <w:sz w:val="16"/>
              </w:rPr>
              <w:t xml:space="preserve">den chreat airgeadais ilbhliantúil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line="200" w:lineRule="exact"/>
              <w:jc w:val="right"/>
              <w:rPr>
                <w:noProof/>
                <w:sz w:val="16"/>
                <w:szCs w:val="16"/>
              </w:rPr>
            </w:pPr>
            <w:r>
              <w:rPr>
                <w:noProof/>
                <w:sz w:val="16"/>
              </w:rPr>
              <w:t>10.081</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noProof/>
                <w:sz w:val="16"/>
                <w:szCs w:val="16"/>
              </w:rPr>
            </w:pPr>
            <w:r>
              <w:rPr>
                <w:noProof/>
                <w:sz w:val="16"/>
              </w:rPr>
              <w:t>10.285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noProof/>
                <w:sz w:val="16"/>
                <w:szCs w:val="16"/>
              </w:rPr>
            </w:pPr>
            <w:r>
              <w:rPr>
                <w:noProof/>
                <w:sz w:val="16"/>
              </w:rPr>
              <w:t>10.493</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noProof/>
                <w:sz w:val="16"/>
                <w:szCs w:val="16"/>
              </w:rPr>
            </w:pPr>
            <w:r>
              <w:rPr>
                <w:noProof/>
                <w:sz w:val="16"/>
              </w:rPr>
              <w:t>10.705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noProof/>
                <w:sz w:val="16"/>
                <w:szCs w:val="16"/>
              </w:rPr>
            </w:pPr>
            <w:r>
              <w:rPr>
                <w:noProof/>
                <w:sz w:val="16"/>
              </w:rPr>
              <w:t>10.924</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noProof/>
                <w:sz w:val="16"/>
                <w:szCs w:val="16"/>
              </w:rPr>
            </w:pPr>
            <w:r>
              <w:rPr>
                <w:noProof/>
                <w:sz w:val="16"/>
              </w:rPr>
              <w:t>11.143</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noProof/>
                <w:sz w:val="16"/>
                <w:szCs w:val="16"/>
              </w:rPr>
            </w:pPr>
            <w:r>
              <w:rPr>
                <w:noProof/>
                <w:sz w:val="16"/>
              </w:rPr>
              <w:t>11.370</w:t>
            </w:r>
          </w:p>
        </w:tc>
        <w:tc>
          <w:tcPr>
            <w:tcW w:w="1080" w:type="dxa"/>
            <w:tcBorders>
              <w:top w:val="single" w:sz="4" w:space="0" w:color="auto"/>
              <w:left w:val="nil"/>
              <w:bottom w:val="single" w:sz="4" w:space="0" w:color="auto"/>
              <w:right w:val="single" w:sz="8" w:space="0" w:color="auto"/>
            </w:tcBorders>
            <w:shd w:val="clear" w:color="auto" w:fill="auto"/>
            <w:vAlign w:val="center"/>
          </w:tcPr>
          <w:p>
            <w:pPr>
              <w:spacing w:before="60" w:after="60" w:line="200" w:lineRule="exact"/>
              <w:jc w:val="right"/>
              <w:rPr>
                <w:b/>
                <w:noProof/>
                <w:sz w:val="16"/>
                <w:szCs w:val="16"/>
              </w:rPr>
            </w:pPr>
            <w:r>
              <w:rPr>
                <w:b/>
                <w:noProof/>
                <w:sz w:val="20"/>
              </w:rPr>
              <w:t>75.000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IOMLÁN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line="200" w:lineRule="exact"/>
              <w:jc w:val="right"/>
              <w:rPr>
                <w:b/>
                <w:noProof/>
                <w:sz w:val="16"/>
                <w:szCs w:val="16"/>
              </w:rPr>
            </w:pPr>
            <w:r>
              <w:rPr>
                <w:b/>
                <w:noProof/>
                <w:color w:val="000000"/>
                <w:sz w:val="20"/>
              </w:rPr>
              <w:t>10.081</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b/>
                <w:noProof/>
                <w:sz w:val="16"/>
                <w:szCs w:val="16"/>
              </w:rPr>
            </w:pPr>
            <w:r>
              <w:rPr>
                <w:b/>
                <w:noProof/>
                <w:sz w:val="20"/>
              </w:rPr>
              <w:t>10.285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b/>
                <w:noProof/>
                <w:sz w:val="16"/>
                <w:szCs w:val="16"/>
              </w:rPr>
            </w:pPr>
            <w:r>
              <w:rPr>
                <w:b/>
                <w:noProof/>
                <w:sz w:val="20"/>
              </w:rPr>
              <w:t>10.493</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b/>
                <w:noProof/>
                <w:sz w:val="16"/>
                <w:szCs w:val="16"/>
              </w:rPr>
            </w:pPr>
            <w:r>
              <w:rPr>
                <w:b/>
                <w:noProof/>
                <w:sz w:val="20"/>
              </w:rPr>
              <w:t>10.705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b/>
                <w:noProof/>
                <w:sz w:val="16"/>
                <w:szCs w:val="16"/>
              </w:rPr>
            </w:pPr>
            <w:r>
              <w:rPr>
                <w:b/>
                <w:noProof/>
                <w:sz w:val="20"/>
              </w:rPr>
              <w:t>10.924</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b/>
                <w:noProof/>
                <w:sz w:val="16"/>
                <w:szCs w:val="16"/>
              </w:rPr>
            </w:pPr>
            <w:r>
              <w:rPr>
                <w:b/>
                <w:noProof/>
                <w:sz w:val="20"/>
              </w:rPr>
              <w:t>11.143</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b/>
                <w:noProof/>
                <w:sz w:val="16"/>
                <w:szCs w:val="16"/>
              </w:rPr>
            </w:pPr>
            <w:r>
              <w:rPr>
                <w:b/>
                <w:noProof/>
                <w:sz w:val="20"/>
              </w:rPr>
              <w:t>11.370</w:t>
            </w:r>
          </w:p>
        </w:tc>
        <w:tc>
          <w:tcPr>
            <w:tcW w:w="1080" w:type="dxa"/>
            <w:tcBorders>
              <w:top w:val="single" w:sz="4" w:space="0" w:color="auto"/>
              <w:left w:val="nil"/>
              <w:bottom w:val="single" w:sz="4" w:space="0" w:color="auto"/>
              <w:right w:val="single" w:sz="8" w:space="0" w:color="auto"/>
            </w:tcBorders>
            <w:shd w:val="clear" w:color="auto" w:fill="auto"/>
            <w:vAlign w:val="center"/>
          </w:tcPr>
          <w:p>
            <w:pPr>
              <w:spacing w:before="60" w:after="60" w:line="200" w:lineRule="exact"/>
              <w:jc w:val="right"/>
              <w:rPr>
                <w:b/>
                <w:noProof/>
                <w:sz w:val="16"/>
                <w:szCs w:val="16"/>
              </w:rPr>
            </w:pPr>
            <w:r>
              <w:rPr>
                <w:b/>
                <w:noProof/>
                <w:sz w:val="20"/>
              </w:rPr>
              <w:t>75.000</w:t>
            </w:r>
          </w:p>
        </w:tc>
      </w:tr>
    </w:tbl>
    <w:p>
      <w:pPr>
        <w:rPr>
          <w:noProof/>
          <w:sz w:val="18"/>
        </w:rPr>
      </w:pPr>
      <w:r>
        <w:rPr>
          <w:noProof/>
          <w:sz w:val="18"/>
        </w:rPr>
        <w:t>Na leithreasuithe is gá le haghaidh acmhainní daonna agus caiteachas eile de chineál riaracháin, cumhdófar iad leis na leithreasuithe sin san Ard-Stiúrthóireacht atá sannta cheana do bhainistíocht an bhirt agus/nó atá athshannta laistigh den Ard-Stiúrthóireacht, mar aon le haon leithdháileadh breise a d'fhéadfaí a thabhairt don Ard-Stiúrthóireacht atá i mbun bainistíochta faoi chuimsiú an nós imeachta maidir le leithdháileadh bliantúil i bhfianaise na srianta buiséadacha.</w:t>
      </w:r>
    </w:p>
    <w:p>
      <w:pPr>
        <w:spacing w:before="0" w:after="200" w:line="276" w:lineRule="auto"/>
        <w:jc w:val="left"/>
        <w:rPr>
          <w:noProof/>
          <w:sz w:val="18"/>
        </w:rPr>
      </w:pPr>
      <w:r>
        <w:rPr>
          <w:noProof/>
        </w:rPr>
        <w:br w:type="page"/>
      </w:r>
    </w:p>
    <w:p>
      <w:pPr>
        <w:keepNext/>
        <w:outlineLvl w:val="3"/>
        <w:rPr>
          <w:iCs/>
          <w:noProof/>
          <w:szCs w:val="24"/>
        </w:rPr>
      </w:pPr>
      <w:r>
        <w:rPr>
          <w:noProof/>
        </w:rPr>
        <w:t>3.2.2.1</w:t>
      </w:r>
      <w:r>
        <w:rPr>
          <w:noProof/>
        </w:rPr>
        <w:tab/>
        <w:t>Na hacmhainní daonna a mheastar a bheidh riachtanach</w:t>
      </w:r>
      <w:r>
        <w:rPr>
          <w:rStyle w:val="FootnoteReference"/>
          <w:noProof/>
        </w:rPr>
        <w:footnoteReference w:id="17"/>
      </w:r>
    </w:p>
    <w:p>
      <w:pPr>
        <w:tabs>
          <w:tab w:val="num" w:pos="1134"/>
        </w:tabs>
        <w:ind w:left="1134" w:hanging="283"/>
        <w:rPr>
          <w:noProof/>
        </w:rPr>
      </w:pPr>
      <w:r>
        <w:rPr>
          <w:noProof/>
        </w:rPr>
        <w:sym w:font="Wingdings" w:char="F0A8"/>
      </w:r>
      <w:r>
        <w:rPr>
          <w:noProof/>
        </w:rPr>
        <w:tab/>
        <w:t>Ní éilíonn an togra/tionscnamh go n</w:t>
      </w:r>
      <w:r>
        <w:rPr>
          <w:noProof/>
        </w:rPr>
        <w:noBreakHyphen/>
        <w:t xml:space="preserve">úsáidfear acmhainní daonna. </w:t>
      </w:r>
    </w:p>
    <w:p>
      <w:pPr>
        <w:tabs>
          <w:tab w:val="num" w:pos="1134"/>
        </w:tabs>
        <w:ind w:left="1134" w:hanging="283"/>
        <w:rPr>
          <w:noProof/>
        </w:rPr>
      </w:pPr>
      <w:r>
        <w:rPr>
          <w:noProof/>
        </w:rPr>
        <w:t>X</w:t>
      </w:r>
      <w:r>
        <w:rPr>
          <w:noProof/>
        </w:rPr>
        <w:tab/>
        <w:t>Éilíonn an togra/tionscnamh go n</w:t>
      </w:r>
      <w:r>
        <w:rPr>
          <w:noProof/>
        </w:rPr>
        <w:noBreakHyphen/>
        <w:t>úsáidfear acmhainní daonna mar a mhínítear thíos:</w:t>
      </w:r>
    </w:p>
    <w:p>
      <w:pPr>
        <w:spacing w:after="60"/>
        <w:jc w:val="right"/>
        <w:rPr>
          <w:i/>
          <w:noProof/>
          <w:sz w:val="20"/>
        </w:rPr>
      </w:pPr>
      <w:r>
        <w:rPr>
          <w:i/>
          <w:noProof/>
          <w:sz w:val="20"/>
        </w:rPr>
        <w:t xml:space="preserve">Sloinnfear an meastachán in aonaid de choibhéis lánaimseartha </w:t>
      </w:r>
      <w:r>
        <w:rPr>
          <w:i/>
          <w:noProof/>
          <w:sz w:val="20"/>
          <w:u w:val="single"/>
        </w:rPr>
        <w:t>(FTE)</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spacing w:before="40" w:after="40"/>
              <w:jc w:val="center"/>
              <w:rPr>
                <w:i/>
                <w:noProof/>
                <w:sz w:val="16"/>
                <w:szCs w:val="16"/>
              </w:rPr>
            </w:pPr>
            <w:r>
              <w:rPr>
                <w:b/>
                <w:noProof/>
                <w:sz w:val="16"/>
              </w:rPr>
              <w:t>Blianta</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Poist don phlean bunaíochta (oifigigh agus foireann shealadach)</w:t>
            </w:r>
          </w:p>
        </w:tc>
      </w:tr>
      <w:tr>
        <w:trPr>
          <w:trHeight w:val="289"/>
        </w:trPr>
        <w:tc>
          <w:tcPr>
            <w:tcW w:w="1472" w:type="pct"/>
            <w:gridSpan w:val="2"/>
          </w:tcPr>
          <w:p>
            <w:pPr>
              <w:spacing w:beforeLines="20" w:before="48" w:afterLines="20" w:after="48"/>
              <w:ind w:left="134"/>
              <w:jc w:val="left"/>
              <w:rPr>
                <w:b/>
                <w:noProof/>
                <w:sz w:val="16"/>
                <w:szCs w:val="16"/>
              </w:rPr>
            </w:pPr>
            <w:r>
              <w:rPr>
                <w:noProof/>
                <w:sz w:val="16"/>
              </w:rPr>
              <w:t>Ceanncheathrú agus Oifigí Ionadaíocht an Choimisiúin</w:t>
            </w:r>
          </w:p>
        </w:tc>
        <w:tc>
          <w:tcPr>
            <w:tcW w:w="466" w:type="pct"/>
            <w:shd w:val="clear" w:color="auto" w:fill="auto"/>
            <w:vAlign w:val="center"/>
          </w:tcPr>
          <w:p>
            <w:pPr>
              <w:spacing w:beforeLines="20" w:before="48" w:afterLines="20" w:after="48"/>
              <w:jc w:val="center"/>
              <w:rPr>
                <w:noProof/>
                <w:sz w:val="16"/>
                <w:szCs w:val="16"/>
              </w:rPr>
            </w:pPr>
            <w:r>
              <w:rPr>
                <w:noProof/>
                <w:sz w:val="16"/>
              </w:rPr>
              <w:t>4</w:t>
            </w:r>
          </w:p>
        </w:tc>
        <w:tc>
          <w:tcPr>
            <w:tcW w:w="534" w:type="pct"/>
            <w:shd w:val="clear" w:color="auto" w:fill="auto"/>
            <w:vAlign w:val="center"/>
          </w:tcPr>
          <w:p>
            <w:pPr>
              <w:spacing w:beforeLines="20" w:before="48" w:afterLines="20" w:after="48"/>
              <w:jc w:val="center"/>
              <w:rPr>
                <w:noProof/>
                <w:sz w:val="16"/>
                <w:szCs w:val="16"/>
              </w:rPr>
            </w:pPr>
            <w:r>
              <w:rPr>
                <w:noProof/>
                <w:sz w:val="16"/>
              </w:rPr>
              <w:t>4</w:t>
            </w:r>
          </w:p>
        </w:tc>
        <w:tc>
          <w:tcPr>
            <w:tcW w:w="466" w:type="pct"/>
            <w:shd w:val="clear" w:color="auto" w:fill="auto"/>
            <w:vAlign w:val="center"/>
          </w:tcPr>
          <w:p>
            <w:pPr>
              <w:spacing w:beforeLines="20" w:before="48" w:afterLines="20" w:after="48"/>
              <w:jc w:val="center"/>
              <w:rPr>
                <w:noProof/>
                <w:sz w:val="16"/>
                <w:szCs w:val="16"/>
              </w:rPr>
            </w:pPr>
            <w:r>
              <w:rPr>
                <w:noProof/>
                <w:sz w:val="16"/>
              </w:rPr>
              <w:t>4</w:t>
            </w:r>
          </w:p>
        </w:tc>
        <w:tc>
          <w:tcPr>
            <w:tcW w:w="534" w:type="pct"/>
            <w:shd w:val="clear" w:color="auto" w:fill="auto"/>
            <w:vAlign w:val="center"/>
          </w:tcPr>
          <w:p>
            <w:pPr>
              <w:spacing w:beforeLines="20" w:before="48" w:afterLines="20" w:after="48"/>
              <w:jc w:val="center"/>
              <w:rPr>
                <w:noProof/>
                <w:sz w:val="16"/>
                <w:szCs w:val="16"/>
              </w:rPr>
            </w:pPr>
            <w:r>
              <w:rPr>
                <w:noProof/>
                <w:sz w:val="16"/>
              </w:rPr>
              <w:t>4</w:t>
            </w:r>
          </w:p>
        </w:tc>
        <w:tc>
          <w:tcPr>
            <w:tcW w:w="533" w:type="pct"/>
            <w:shd w:val="clear" w:color="auto" w:fill="auto"/>
            <w:vAlign w:val="center"/>
          </w:tcPr>
          <w:p>
            <w:pPr>
              <w:spacing w:beforeLines="20" w:before="48" w:afterLines="20" w:after="48"/>
              <w:jc w:val="center"/>
              <w:rPr>
                <w:noProof/>
                <w:sz w:val="16"/>
                <w:szCs w:val="16"/>
              </w:rPr>
            </w:pPr>
            <w:r>
              <w:rPr>
                <w:noProof/>
                <w:sz w:val="16"/>
              </w:rPr>
              <w:t>4</w:t>
            </w:r>
          </w:p>
        </w:tc>
        <w:tc>
          <w:tcPr>
            <w:tcW w:w="468" w:type="pct"/>
            <w:shd w:val="clear" w:color="auto" w:fill="auto"/>
            <w:vAlign w:val="center"/>
          </w:tcPr>
          <w:p>
            <w:pPr>
              <w:spacing w:beforeLines="20" w:before="48" w:afterLines="20" w:after="48"/>
              <w:jc w:val="center"/>
              <w:rPr>
                <w:noProof/>
                <w:sz w:val="16"/>
                <w:szCs w:val="16"/>
              </w:rPr>
            </w:pPr>
            <w:r>
              <w:rPr>
                <w:noProof/>
                <w:sz w:val="16"/>
              </w:rPr>
              <w:t>4</w:t>
            </w:r>
          </w:p>
        </w:tc>
        <w:tc>
          <w:tcPr>
            <w:tcW w:w="527" w:type="pct"/>
            <w:shd w:val="clear" w:color="auto" w:fill="auto"/>
            <w:vAlign w:val="center"/>
          </w:tcPr>
          <w:p>
            <w:pPr>
              <w:spacing w:beforeLines="20" w:before="48" w:afterLines="20" w:after="48"/>
              <w:jc w:val="center"/>
              <w:rPr>
                <w:noProof/>
                <w:sz w:val="16"/>
                <w:szCs w:val="16"/>
              </w:rPr>
            </w:pPr>
            <w:r>
              <w:rPr>
                <w:noProof/>
                <w:sz w:val="16"/>
              </w:rPr>
              <w:t>4</w:t>
            </w:r>
          </w:p>
        </w:tc>
      </w:tr>
      <w:tr>
        <w:trPr>
          <w:trHeight w:val="289"/>
        </w:trPr>
        <w:tc>
          <w:tcPr>
            <w:tcW w:w="1472" w:type="pct"/>
            <w:gridSpan w:val="2"/>
          </w:tcPr>
          <w:p>
            <w:pPr>
              <w:spacing w:beforeLines="20" w:before="48" w:afterLines="20" w:after="48"/>
              <w:ind w:left="134"/>
              <w:jc w:val="left"/>
              <w:rPr>
                <w:noProof/>
                <w:sz w:val="16"/>
                <w:szCs w:val="16"/>
              </w:rPr>
            </w:pPr>
            <w:r>
              <w:rPr>
                <w:noProof/>
                <w:sz w:val="16"/>
              </w:rPr>
              <w:t>Toscaireachtaí</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spacing w:beforeLines="20" w:before="48" w:afterLines="20" w:after="48"/>
              <w:ind w:left="134"/>
              <w:jc w:val="left"/>
              <w:rPr>
                <w:noProof/>
                <w:sz w:val="16"/>
                <w:szCs w:val="16"/>
              </w:rPr>
            </w:pPr>
            <w:r>
              <w:rPr>
                <w:noProof/>
                <w:sz w:val="16"/>
              </w:rPr>
              <w:t>Taighde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spacing w:before="60" w:after="60"/>
              <w:jc w:val="left"/>
              <w:rPr>
                <w:b/>
                <w:noProof/>
                <w:sz w:val="16"/>
                <w:szCs w:val="16"/>
              </w:rPr>
            </w:pPr>
            <w:r>
              <w:rPr>
                <w:b/>
                <w:noProof/>
                <w:sz w:val="16"/>
              </w:rPr>
              <w:sym w:font="Wingdings" w:char="F09F"/>
            </w:r>
            <w:r>
              <w:rPr>
                <w:b/>
                <w:noProof/>
                <w:sz w:val="16"/>
              </w:rPr>
              <w:t xml:space="preserve"> Foireann sheachtrach (i gcoibhéis lánaimseartha: FTE) - AC, AL, END, INT agus JED</w:t>
            </w:r>
            <w:r>
              <w:rPr>
                <w:noProof/>
                <w:sz w:val="16"/>
              </w:rPr>
              <w:t xml:space="preserve"> </w:t>
            </w:r>
            <w:r>
              <w:rPr>
                <w:rStyle w:val="FootnoteReference"/>
                <w:noProof/>
              </w:rPr>
              <w:footnoteReference w:id="18"/>
            </w:r>
          </w:p>
          <w:p>
            <w:pPr>
              <w:spacing w:before="0" w:after="0"/>
              <w:jc w:val="left"/>
              <w:rPr>
                <w:noProof/>
                <w:sz w:val="16"/>
                <w:szCs w:val="16"/>
              </w:rPr>
            </w:pPr>
            <w:r>
              <w:rPr>
                <w:noProof/>
                <w:sz w:val="16"/>
              </w:rPr>
              <w:t>Ceannteideal 7</w:t>
            </w:r>
          </w:p>
        </w:tc>
      </w:tr>
      <w:tr>
        <w:trPr>
          <w:trHeight w:val="485"/>
        </w:trPr>
        <w:tc>
          <w:tcPr>
            <w:tcW w:w="735" w:type="pct"/>
            <w:vMerge w:val="restart"/>
            <w:vAlign w:val="center"/>
          </w:tcPr>
          <w:p>
            <w:pPr>
              <w:spacing w:beforeLines="20" w:before="48" w:afterLines="20" w:after="48"/>
              <w:ind w:left="136"/>
              <w:jc w:val="left"/>
              <w:rPr>
                <w:b/>
                <w:noProof/>
                <w:sz w:val="16"/>
                <w:szCs w:val="16"/>
              </w:rPr>
            </w:pPr>
            <w:r>
              <w:rPr>
                <w:noProof/>
                <w:sz w:val="16"/>
              </w:rPr>
              <w:t>Arna maoiniú as CEANNTEIDEAL 7 den chreat airgeadais ilbhliantúil</w:t>
            </w:r>
            <w:r>
              <w:rPr>
                <w:b/>
                <w:noProof/>
                <w:sz w:val="16"/>
              </w:rPr>
              <w:t xml:space="preserve"> </w:t>
            </w:r>
          </w:p>
        </w:tc>
        <w:tc>
          <w:tcPr>
            <w:tcW w:w="737" w:type="pct"/>
            <w:vAlign w:val="center"/>
          </w:tcPr>
          <w:p>
            <w:pPr>
              <w:spacing w:beforeLines="20" w:before="48" w:afterLines="20" w:after="48"/>
              <w:ind w:left="136"/>
              <w:jc w:val="left"/>
              <w:rPr>
                <w:b/>
                <w:noProof/>
                <w:sz w:val="16"/>
                <w:szCs w:val="16"/>
              </w:rPr>
            </w:pPr>
            <w:r>
              <w:rPr>
                <w:noProof/>
                <w:sz w:val="16"/>
              </w:rPr>
              <w:t>- sa cheanncheathrú</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vAlign w:val="center"/>
          </w:tcPr>
          <w:p>
            <w:pPr>
              <w:spacing w:beforeLines="20" w:before="48" w:afterLines="20" w:after="48"/>
              <w:ind w:left="136"/>
              <w:jc w:val="left"/>
              <w:rPr>
                <w:noProof/>
                <w:sz w:val="16"/>
                <w:szCs w:val="16"/>
              </w:rPr>
            </w:pPr>
          </w:p>
        </w:tc>
        <w:tc>
          <w:tcPr>
            <w:tcW w:w="737" w:type="pct"/>
            <w:vAlign w:val="center"/>
          </w:tcPr>
          <w:p>
            <w:pPr>
              <w:spacing w:beforeLines="20" w:before="48" w:afterLines="20" w:after="48"/>
              <w:ind w:left="136"/>
              <w:jc w:val="left"/>
              <w:rPr>
                <w:noProof/>
                <w:sz w:val="16"/>
                <w:szCs w:val="16"/>
              </w:rPr>
            </w:pPr>
            <w:r>
              <w:rPr>
                <w:noProof/>
                <w:sz w:val="16"/>
              </w:rPr>
              <w:t xml:space="preserve">- i dtoscaireachtaí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spacing w:beforeLines="20" w:before="48" w:afterLines="20" w:after="48"/>
              <w:ind w:left="136"/>
              <w:jc w:val="left"/>
              <w:rPr>
                <w:b/>
                <w:noProof/>
                <w:sz w:val="16"/>
                <w:szCs w:val="16"/>
              </w:rPr>
            </w:pPr>
            <w:r>
              <w:rPr>
                <w:noProof/>
                <w:sz w:val="16"/>
              </w:rPr>
              <w:t>Arna maoiniú as imchlúdach an chláir</w:t>
            </w:r>
            <w:r>
              <w:rPr>
                <w:b/>
                <w:noProof/>
                <w:sz w:val="16"/>
              </w:rPr>
              <w:t xml:space="preserve"> </w:t>
            </w:r>
            <w:r>
              <w:rPr>
                <w:rStyle w:val="FootnoteReference"/>
                <w:noProof/>
              </w:rPr>
              <w:footnoteReference w:id="19"/>
            </w:r>
          </w:p>
        </w:tc>
        <w:tc>
          <w:tcPr>
            <w:tcW w:w="737" w:type="pct"/>
            <w:shd w:val="clear" w:color="auto" w:fill="auto"/>
            <w:vAlign w:val="center"/>
          </w:tcPr>
          <w:p>
            <w:pPr>
              <w:spacing w:beforeLines="20" w:before="48" w:afterLines="20" w:after="48"/>
              <w:ind w:left="136"/>
              <w:jc w:val="left"/>
              <w:rPr>
                <w:b/>
                <w:noProof/>
                <w:sz w:val="16"/>
                <w:szCs w:val="16"/>
              </w:rPr>
            </w:pPr>
            <w:r>
              <w:rPr>
                <w:noProof/>
                <w:sz w:val="16"/>
              </w:rPr>
              <w:t>- sa cheanncheathrú</w:t>
            </w:r>
          </w:p>
        </w:tc>
        <w:tc>
          <w:tcPr>
            <w:tcW w:w="466" w:type="pct"/>
            <w:shd w:val="clear" w:color="auto" w:fill="auto"/>
            <w:vAlign w:val="center"/>
          </w:tcPr>
          <w:p>
            <w:pPr>
              <w:spacing w:beforeLines="20" w:before="48" w:afterLines="20" w:after="48"/>
              <w:jc w:val="center"/>
              <w:rPr>
                <w:noProof/>
                <w:sz w:val="16"/>
                <w:szCs w:val="16"/>
              </w:rPr>
            </w:pPr>
            <w:r>
              <w:rPr>
                <w:noProof/>
                <w:sz w:val="16"/>
              </w:rPr>
              <w:t>2</w:t>
            </w:r>
          </w:p>
        </w:tc>
        <w:tc>
          <w:tcPr>
            <w:tcW w:w="534" w:type="pct"/>
            <w:shd w:val="clear" w:color="auto" w:fill="auto"/>
            <w:vAlign w:val="center"/>
          </w:tcPr>
          <w:p>
            <w:pPr>
              <w:spacing w:beforeLines="20" w:before="48" w:afterLines="20" w:after="48"/>
              <w:jc w:val="center"/>
              <w:rPr>
                <w:noProof/>
                <w:sz w:val="16"/>
                <w:szCs w:val="16"/>
              </w:rPr>
            </w:pPr>
            <w:r>
              <w:rPr>
                <w:noProof/>
                <w:sz w:val="16"/>
              </w:rPr>
              <w:t>2</w:t>
            </w:r>
          </w:p>
        </w:tc>
        <w:tc>
          <w:tcPr>
            <w:tcW w:w="466" w:type="pct"/>
            <w:shd w:val="clear" w:color="auto" w:fill="auto"/>
            <w:vAlign w:val="center"/>
          </w:tcPr>
          <w:p>
            <w:pPr>
              <w:spacing w:beforeLines="20" w:before="48" w:afterLines="20" w:after="48"/>
              <w:jc w:val="center"/>
              <w:rPr>
                <w:noProof/>
                <w:sz w:val="16"/>
                <w:szCs w:val="16"/>
              </w:rPr>
            </w:pPr>
            <w:r>
              <w:rPr>
                <w:noProof/>
                <w:sz w:val="16"/>
              </w:rPr>
              <w:t>2</w:t>
            </w:r>
          </w:p>
        </w:tc>
        <w:tc>
          <w:tcPr>
            <w:tcW w:w="534" w:type="pct"/>
            <w:shd w:val="clear" w:color="auto" w:fill="auto"/>
            <w:vAlign w:val="center"/>
          </w:tcPr>
          <w:p>
            <w:pPr>
              <w:spacing w:beforeLines="20" w:before="48" w:afterLines="20" w:after="48"/>
              <w:jc w:val="center"/>
              <w:rPr>
                <w:noProof/>
                <w:sz w:val="16"/>
                <w:szCs w:val="16"/>
              </w:rPr>
            </w:pPr>
            <w:r>
              <w:rPr>
                <w:noProof/>
                <w:sz w:val="16"/>
              </w:rPr>
              <w:t>2</w:t>
            </w:r>
          </w:p>
        </w:tc>
        <w:tc>
          <w:tcPr>
            <w:tcW w:w="533" w:type="pct"/>
            <w:shd w:val="clear" w:color="auto" w:fill="auto"/>
            <w:vAlign w:val="center"/>
          </w:tcPr>
          <w:p>
            <w:pPr>
              <w:spacing w:beforeLines="20" w:before="48" w:afterLines="20" w:after="48"/>
              <w:jc w:val="center"/>
              <w:rPr>
                <w:noProof/>
                <w:sz w:val="16"/>
                <w:szCs w:val="16"/>
              </w:rPr>
            </w:pPr>
            <w:r>
              <w:rPr>
                <w:noProof/>
                <w:sz w:val="16"/>
              </w:rPr>
              <w:t>2</w:t>
            </w:r>
          </w:p>
        </w:tc>
        <w:tc>
          <w:tcPr>
            <w:tcW w:w="468" w:type="pct"/>
            <w:shd w:val="clear" w:color="auto" w:fill="auto"/>
            <w:vAlign w:val="center"/>
          </w:tcPr>
          <w:p>
            <w:pPr>
              <w:spacing w:beforeLines="20" w:before="48" w:afterLines="20" w:after="48"/>
              <w:jc w:val="center"/>
              <w:rPr>
                <w:noProof/>
                <w:sz w:val="16"/>
                <w:szCs w:val="16"/>
              </w:rPr>
            </w:pPr>
            <w:r>
              <w:rPr>
                <w:noProof/>
                <w:sz w:val="16"/>
              </w:rPr>
              <w:t>2</w:t>
            </w:r>
          </w:p>
        </w:tc>
        <w:tc>
          <w:tcPr>
            <w:tcW w:w="527" w:type="pct"/>
            <w:shd w:val="clear" w:color="auto" w:fill="auto"/>
            <w:vAlign w:val="center"/>
          </w:tcPr>
          <w:p>
            <w:pPr>
              <w:spacing w:beforeLines="20" w:before="48" w:afterLines="20" w:after="48"/>
              <w:jc w:val="center"/>
              <w:rPr>
                <w:noProof/>
                <w:sz w:val="16"/>
                <w:szCs w:val="16"/>
              </w:rPr>
            </w:pPr>
            <w:r>
              <w:rPr>
                <w:noProof/>
                <w:sz w:val="16"/>
              </w:rPr>
              <w:t>2</w:t>
            </w:r>
          </w:p>
        </w:tc>
      </w:tr>
      <w:tr>
        <w:trPr>
          <w:trHeight w:val="289"/>
        </w:trPr>
        <w:tc>
          <w:tcPr>
            <w:tcW w:w="735" w:type="pct"/>
            <w:vMerge/>
          </w:tcPr>
          <w:p>
            <w:pPr>
              <w:spacing w:beforeLines="20" w:before="48" w:afterLines="20" w:after="48"/>
              <w:ind w:left="136"/>
              <w:jc w:val="left"/>
              <w:rPr>
                <w:b/>
                <w:noProof/>
                <w:sz w:val="16"/>
                <w:szCs w:val="16"/>
              </w:rPr>
            </w:pPr>
          </w:p>
        </w:tc>
        <w:tc>
          <w:tcPr>
            <w:tcW w:w="737" w:type="pct"/>
            <w:shd w:val="clear" w:color="auto" w:fill="auto"/>
            <w:vAlign w:val="center"/>
          </w:tcPr>
          <w:p>
            <w:pPr>
              <w:spacing w:beforeLines="20" w:before="48" w:afterLines="20" w:after="48"/>
              <w:ind w:left="136"/>
              <w:jc w:val="left"/>
              <w:rPr>
                <w:b/>
                <w:noProof/>
                <w:sz w:val="16"/>
                <w:szCs w:val="16"/>
              </w:rPr>
            </w:pPr>
            <w:r>
              <w:rPr>
                <w:noProof/>
                <w:sz w:val="16"/>
              </w:rPr>
              <w:t xml:space="preserve">- i dToscaireachtaí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spacing w:beforeLines="20" w:before="48" w:afterLines="20" w:after="48"/>
              <w:ind w:left="136"/>
              <w:jc w:val="left"/>
              <w:rPr>
                <w:noProof/>
                <w:sz w:val="16"/>
                <w:szCs w:val="16"/>
              </w:rPr>
            </w:pPr>
            <w:r>
              <w:rPr>
                <w:noProof/>
                <w:sz w:val="16"/>
              </w:rPr>
              <w:t>Taighde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spacing w:beforeLines="20" w:before="48" w:afterLines="20" w:after="48"/>
              <w:ind w:left="134"/>
              <w:jc w:val="left"/>
              <w:rPr>
                <w:noProof/>
                <w:sz w:val="16"/>
                <w:szCs w:val="16"/>
              </w:rPr>
            </w:pPr>
            <w:r>
              <w:rPr>
                <w:noProof/>
                <w:sz w:val="16"/>
              </w:rPr>
              <w:t>Eile (sonraigh)</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spacing w:beforeLines="20" w:before="48" w:afterLines="20" w:after="48"/>
              <w:ind w:left="136"/>
              <w:jc w:val="left"/>
              <w:rPr>
                <w:noProof/>
                <w:sz w:val="16"/>
                <w:szCs w:val="16"/>
              </w:rPr>
            </w:pPr>
            <w:r>
              <w:rPr>
                <w:b/>
                <w:noProof/>
                <w:sz w:val="16"/>
              </w:rPr>
              <w:t>IOMLÁN</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w:t>
            </w:r>
          </w:p>
        </w:tc>
        <w:tc>
          <w:tcPr>
            <w:tcW w:w="53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w:t>
            </w:r>
          </w:p>
        </w:tc>
        <w:tc>
          <w:tcPr>
            <w:tcW w:w="46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w:t>
            </w: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w:t>
            </w:r>
          </w:p>
        </w:tc>
      </w:tr>
    </w:tbl>
    <w:p>
      <w:pPr>
        <w:ind w:left="850"/>
        <w:rPr>
          <w:noProof/>
          <w:sz w:val="18"/>
          <w:szCs w:val="18"/>
        </w:rPr>
      </w:pPr>
      <w:r>
        <w:rPr>
          <w:noProof/>
          <w:sz w:val="18"/>
        </w:rPr>
        <w:t>Soláthrófar na hacmhainní daonna is gá le baill foirne ón Ard-Stiúrthóireacht a bhfuil bainistíocht an bhirt faoina gcúram cheana agus/nó ar athshannadh a gcúraimí laistigh den Ard-Stiúrthóireacht, mar aon le haon leithdháileadh breise a d'fhéadfaí a thabhairt don Ard-Stiúrthóireacht atá i mbun bainistíochta faoi chuimsiú an nós imeachta maidir le leithdháileadh bliantúil i bhfianaise na srianta buiséadacha.</w:t>
      </w:r>
    </w:p>
    <w:p>
      <w:pPr>
        <w:rPr>
          <w:rFonts w:eastAsia="Calibri"/>
          <w:noProof/>
          <w:sz w:val="20"/>
        </w:rPr>
      </w:pPr>
      <w:r>
        <w:rPr>
          <w:noProof/>
          <w:sz w:val="20"/>
        </w:rPr>
        <w:t>Cur síos ar na cúraimí a bheidh le déanamh:</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rFonts w:eastAsia="Calibri"/>
                <w:noProof/>
                <w:sz w:val="20"/>
              </w:rPr>
            </w:pPr>
            <w:r>
              <w:rPr>
                <w:noProof/>
                <w:sz w:val="20"/>
              </w:rPr>
              <w:t>Oifigigh agus pearsanra sealadach</w:t>
            </w:r>
          </w:p>
        </w:tc>
        <w:tc>
          <w:tcPr>
            <w:tcW w:w="7392" w:type="dxa"/>
          </w:tcPr>
          <w:p>
            <w:pPr>
              <w:autoSpaceDE w:val="0"/>
              <w:autoSpaceDN w:val="0"/>
              <w:adjustRightInd w:val="0"/>
              <w:spacing w:before="0" w:after="0"/>
              <w:jc w:val="left"/>
              <w:rPr>
                <w:rFonts w:eastAsia="Calibri"/>
                <w:noProof/>
                <w:sz w:val="20"/>
              </w:rPr>
            </w:pPr>
            <w:r>
              <w:rPr>
                <w:noProof/>
                <w:sz w:val="20"/>
              </w:rPr>
              <w:t>- Tuairim an Choimisiúin a ullmhú maidir le Doiciméad Clársceidealaithe Aonair (SPD);</w:t>
            </w:r>
          </w:p>
          <w:p>
            <w:pPr>
              <w:autoSpaceDE w:val="0"/>
              <w:autoSpaceDN w:val="0"/>
              <w:adjustRightInd w:val="0"/>
              <w:spacing w:before="0" w:after="0"/>
              <w:jc w:val="left"/>
              <w:rPr>
                <w:rFonts w:eastAsia="Calibri"/>
                <w:noProof/>
                <w:sz w:val="20"/>
              </w:rPr>
            </w:pPr>
            <w:r>
              <w:rPr>
                <w:noProof/>
                <w:sz w:val="20"/>
              </w:rPr>
              <w:t>- Seasamh bhreathnóir an Choimisiúin ag cruinnithe Bhord Rialaithe EIT a ullmhú;</w:t>
            </w:r>
          </w:p>
          <w:p>
            <w:pPr>
              <w:autoSpaceDE w:val="0"/>
              <w:autoSpaceDN w:val="0"/>
              <w:adjustRightInd w:val="0"/>
              <w:spacing w:before="0" w:after="0"/>
              <w:jc w:val="left"/>
              <w:rPr>
                <w:rFonts w:eastAsia="Calibri"/>
                <w:noProof/>
                <w:sz w:val="20"/>
              </w:rPr>
            </w:pPr>
            <w:r>
              <w:rPr>
                <w:noProof/>
                <w:sz w:val="20"/>
              </w:rPr>
              <w:t>- Cinneadh an Choimisiúin a ullmhú maidir le comhaltaí Bhord Rialaithe EIT a cheapadh;</w:t>
            </w:r>
          </w:p>
          <w:p>
            <w:pPr>
              <w:autoSpaceDE w:val="0"/>
              <w:autoSpaceDN w:val="0"/>
              <w:adjustRightInd w:val="0"/>
              <w:spacing w:before="0" w:after="0"/>
              <w:jc w:val="left"/>
              <w:rPr>
                <w:rFonts w:eastAsia="Calibri"/>
                <w:noProof/>
                <w:sz w:val="20"/>
              </w:rPr>
            </w:pPr>
            <w:r>
              <w:rPr>
                <w:noProof/>
                <w:sz w:val="20"/>
              </w:rPr>
              <w:t>- Comhordú ginearálta le seirbhísí eile de chuid an Choimisiúin agus comhordú agus ailíniú le tionscnaimh eile de chuid an Aontais Eorpaigh, go háirithe Fís Eorpach;</w:t>
            </w:r>
          </w:p>
          <w:p>
            <w:pPr>
              <w:autoSpaceDE w:val="0"/>
              <w:autoSpaceDN w:val="0"/>
              <w:adjustRightInd w:val="0"/>
              <w:spacing w:before="0" w:after="0"/>
              <w:jc w:val="left"/>
              <w:rPr>
                <w:rFonts w:eastAsia="Calibri"/>
                <w:noProof/>
                <w:sz w:val="20"/>
              </w:rPr>
            </w:pPr>
            <w:r>
              <w:rPr>
                <w:noProof/>
                <w:sz w:val="20"/>
              </w:rPr>
              <w:t>- Seasamh an Choimisiúin ag Ardán Geallsealbhóirí EIT a ullmhú;</w:t>
            </w:r>
          </w:p>
          <w:p>
            <w:pPr>
              <w:autoSpaceDE w:val="0"/>
              <w:autoSpaceDN w:val="0"/>
              <w:adjustRightInd w:val="0"/>
              <w:spacing w:before="0" w:after="0"/>
              <w:jc w:val="left"/>
              <w:rPr>
                <w:rFonts w:eastAsia="Calibri"/>
                <w:noProof/>
                <w:sz w:val="20"/>
              </w:rPr>
            </w:pPr>
            <w:r>
              <w:rPr>
                <w:noProof/>
                <w:sz w:val="20"/>
              </w:rPr>
              <w:t>- Seasamh an Choimisiúin ag ‘Grúpa Ionadaithe na mBallstát’ a ullmhú</w:t>
            </w:r>
          </w:p>
          <w:p>
            <w:pPr>
              <w:autoSpaceDE w:val="0"/>
              <w:autoSpaceDN w:val="0"/>
              <w:adjustRightInd w:val="0"/>
              <w:spacing w:before="0" w:after="0"/>
              <w:jc w:val="left"/>
              <w:rPr>
                <w:rFonts w:eastAsia="Calibri"/>
                <w:noProof/>
                <w:sz w:val="20"/>
              </w:rPr>
            </w:pPr>
            <w:r>
              <w:rPr>
                <w:noProof/>
                <w:sz w:val="20"/>
              </w:rPr>
              <w:t>- Na cruinnithe bliantúla idir seirbhísí PENanna EIT agus seirbhísí an Choimisiúin a eagrú;</w:t>
            </w:r>
          </w:p>
          <w:p>
            <w:pPr>
              <w:autoSpaceDE w:val="0"/>
              <w:autoSpaceDN w:val="0"/>
              <w:adjustRightInd w:val="0"/>
              <w:spacing w:before="0" w:after="0"/>
              <w:jc w:val="left"/>
              <w:rPr>
                <w:rFonts w:eastAsia="Calibri"/>
                <w:noProof/>
                <w:sz w:val="20"/>
              </w:rPr>
            </w:pPr>
            <w:r>
              <w:rPr>
                <w:noProof/>
                <w:sz w:val="20"/>
              </w:rPr>
              <w:t>- Obair leantach a dhéanamh maidir le glaonna ar PENanna nua;</w:t>
            </w:r>
          </w:p>
          <w:p>
            <w:pPr>
              <w:autoSpaceDE w:val="0"/>
              <w:autoSpaceDN w:val="0"/>
              <w:adjustRightInd w:val="0"/>
              <w:spacing w:before="0" w:after="0"/>
              <w:jc w:val="left"/>
              <w:rPr>
                <w:rFonts w:eastAsia="Calibri"/>
                <w:noProof/>
                <w:sz w:val="20"/>
              </w:rPr>
            </w:pPr>
            <w:r>
              <w:rPr>
                <w:noProof/>
                <w:sz w:val="20"/>
              </w:rPr>
              <w:t>Faireachán agus meastóireacht ar EIT;</w:t>
            </w:r>
          </w:p>
          <w:p>
            <w:pPr>
              <w:autoSpaceDE w:val="0"/>
              <w:autoSpaceDN w:val="0"/>
              <w:adjustRightInd w:val="0"/>
              <w:spacing w:before="0" w:after="0"/>
              <w:jc w:val="left"/>
              <w:rPr>
                <w:rFonts w:eastAsia="Calibri"/>
                <w:noProof/>
                <w:sz w:val="20"/>
              </w:rPr>
            </w:pPr>
            <w:r>
              <w:rPr>
                <w:noProof/>
                <w:sz w:val="20"/>
              </w:rPr>
              <w:t>-Comhlíontacht na gcéimeanna faoi lipéad EIT le gníomhaíochtaí arna ndéanamh i gcomhthéacs an Réimse Ardoideachais a dheimhniú;</w:t>
            </w:r>
          </w:p>
          <w:p>
            <w:pPr>
              <w:autoSpaceDE w:val="0"/>
              <w:autoSpaceDN w:val="0"/>
              <w:adjustRightInd w:val="0"/>
              <w:spacing w:before="0" w:after="0"/>
              <w:jc w:val="left"/>
              <w:rPr>
                <w:rFonts w:eastAsia="Calibri"/>
                <w:noProof/>
                <w:sz w:val="20"/>
              </w:rPr>
            </w:pPr>
            <w:r>
              <w:rPr>
                <w:noProof/>
                <w:sz w:val="20"/>
              </w:rPr>
              <w:t>- Cúraimí a bhaineann le próisis an Choimisiúin a ullmhú maidir le pleanáil straitéiseach agus clársceidealú (AAR ...) agus bainistiú buiséid;</w:t>
            </w:r>
          </w:p>
          <w:p>
            <w:pPr>
              <w:autoSpaceDE w:val="0"/>
              <w:autoSpaceDN w:val="0"/>
              <w:adjustRightInd w:val="0"/>
              <w:spacing w:before="0" w:after="0"/>
              <w:jc w:val="left"/>
              <w:rPr>
                <w:rFonts w:eastAsia="Calibri"/>
                <w:noProof/>
                <w:sz w:val="20"/>
              </w:rPr>
            </w:pPr>
            <w:r>
              <w:rPr>
                <w:noProof/>
                <w:sz w:val="20"/>
              </w:rPr>
              <w:t>- Obair leantach maidir le hIniúchtaí ó Chumas Iniúchóireachta Inmheánaí (IAC) agus ón tSeirbhís um Iniúchóireacht Inmheánach (IAS) agus ó Chúirt Iniúchóirí na hEorpa (CIE).</w:t>
            </w:r>
          </w:p>
          <w:p>
            <w:pPr>
              <w:autoSpaceDE w:val="0"/>
              <w:autoSpaceDN w:val="0"/>
              <w:adjustRightInd w:val="0"/>
              <w:spacing w:before="0" w:after="0"/>
              <w:jc w:val="left"/>
              <w:rPr>
                <w:rFonts w:eastAsia="Calibri"/>
                <w:noProof/>
                <w:sz w:val="20"/>
              </w:rPr>
            </w:pPr>
          </w:p>
        </w:tc>
      </w:tr>
      <w:tr>
        <w:tc>
          <w:tcPr>
            <w:tcW w:w="3240" w:type="dxa"/>
          </w:tcPr>
          <w:p>
            <w:pPr>
              <w:spacing w:before="60" w:after="60"/>
              <w:rPr>
                <w:rFonts w:eastAsia="Calibri"/>
                <w:noProof/>
                <w:sz w:val="20"/>
              </w:rPr>
            </w:pPr>
            <w:r>
              <w:rPr>
                <w:noProof/>
                <w:sz w:val="20"/>
              </w:rPr>
              <w:t>Pearsanra seachtrach</w:t>
            </w:r>
          </w:p>
        </w:tc>
        <w:tc>
          <w:tcPr>
            <w:tcW w:w="7392" w:type="dxa"/>
          </w:tcPr>
          <w:p>
            <w:pPr>
              <w:autoSpaceDE w:val="0"/>
              <w:autoSpaceDN w:val="0"/>
              <w:adjustRightInd w:val="0"/>
              <w:spacing w:before="0" w:after="0"/>
              <w:jc w:val="left"/>
              <w:rPr>
                <w:rFonts w:eastAsia="Calibri"/>
                <w:noProof/>
                <w:sz w:val="20"/>
              </w:rPr>
            </w:pPr>
            <w:r>
              <w:rPr>
                <w:noProof/>
                <w:sz w:val="20"/>
              </w:rPr>
              <w:t>- Rannchuidiú le tuairim an Choimisiúin maidir le Doiciméad Clársceidealaithe Aonair (SPD) a ullmhú;</w:t>
            </w:r>
          </w:p>
          <w:p>
            <w:pPr>
              <w:autoSpaceDE w:val="0"/>
              <w:autoSpaceDN w:val="0"/>
              <w:adjustRightInd w:val="0"/>
              <w:spacing w:before="0" w:after="0"/>
              <w:jc w:val="left"/>
              <w:rPr>
                <w:rFonts w:eastAsia="Calibri"/>
                <w:noProof/>
                <w:sz w:val="20"/>
              </w:rPr>
            </w:pPr>
            <w:r>
              <w:rPr>
                <w:noProof/>
                <w:sz w:val="20"/>
              </w:rPr>
              <w:t>- Rannchuidiú leis an gcomhordú ginearálta le seirbhísí eile de chuid an Choimisiúin agus comhordú agus ailíniú le tionscnaimh eile de chuid an Aontais Eorpaigh, go háirithe Fís Eorpach;</w:t>
            </w:r>
          </w:p>
          <w:p>
            <w:pPr>
              <w:autoSpaceDE w:val="0"/>
              <w:autoSpaceDN w:val="0"/>
              <w:adjustRightInd w:val="0"/>
              <w:spacing w:before="0" w:after="0"/>
              <w:jc w:val="left"/>
              <w:rPr>
                <w:rFonts w:eastAsia="Calibri"/>
                <w:noProof/>
                <w:sz w:val="20"/>
              </w:rPr>
            </w:pPr>
            <w:r>
              <w:rPr>
                <w:noProof/>
                <w:sz w:val="20"/>
              </w:rPr>
              <w:t>- Rannchuidiú le seasamh an Choimisiúin ag Ardán Geallsealbhóirí EIT;</w:t>
            </w:r>
          </w:p>
          <w:p>
            <w:pPr>
              <w:autoSpaceDE w:val="0"/>
              <w:autoSpaceDN w:val="0"/>
              <w:adjustRightInd w:val="0"/>
              <w:spacing w:before="0" w:after="0"/>
              <w:jc w:val="left"/>
              <w:rPr>
                <w:rFonts w:eastAsia="Calibri"/>
                <w:noProof/>
                <w:sz w:val="20"/>
              </w:rPr>
            </w:pPr>
            <w:r>
              <w:rPr>
                <w:noProof/>
                <w:sz w:val="20"/>
              </w:rPr>
              <w:t>- Rannchuidiú le seasamh an Choimisiúin ag ‘Grúpa Ionadaithe na mBallstát’</w:t>
            </w:r>
          </w:p>
          <w:p>
            <w:pPr>
              <w:autoSpaceDE w:val="0"/>
              <w:autoSpaceDN w:val="0"/>
              <w:adjustRightInd w:val="0"/>
              <w:spacing w:before="0" w:after="0"/>
              <w:jc w:val="left"/>
              <w:rPr>
                <w:rFonts w:eastAsia="Calibri"/>
                <w:noProof/>
                <w:sz w:val="20"/>
              </w:rPr>
            </w:pPr>
            <w:r>
              <w:rPr>
                <w:noProof/>
                <w:sz w:val="20"/>
              </w:rPr>
              <w:t>- Rannchuidiú leis na cruinnithe bliantúla idir seirbhísí PENanna EIT agus seirbhísí an Choimisiúin a eagrú;</w:t>
            </w:r>
          </w:p>
          <w:p>
            <w:pPr>
              <w:autoSpaceDE w:val="0"/>
              <w:autoSpaceDN w:val="0"/>
              <w:adjustRightInd w:val="0"/>
              <w:spacing w:before="0" w:after="0"/>
              <w:jc w:val="left"/>
              <w:rPr>
                <w:rFonts w:eastAsia="Calibri"/>
                <w:noProof/>
                <w:sz w:val="20"/>
              </w:rPr>
            </w:pPr>
            <w:r>
              <w:rPr>
                <w:noProof/>
                <w:sz w:val="20"/>
              </w:rPr>
              <w:t>- Obair leantach a dhéanamh maidir leis na glaonna ar PENanna nua;</w:t>
            </w:r>
          </w:p>
          <w:p>
            <w:pPr>
              <w:autoSpaceDE w:val="0"/>
              <w:autoSpaceDN w:val="0"/>
              <w:adjustRightInd w:val="0"/>
              <w:spacing w:before="0" w:after="0"/>
              <w:jc w:val="left"/>
              <w:rPr>
                <w:rFonts w:eastAsia="Calibri"/>
                <w:noProof/>
                <w:sz w:val="20"/>
              </w:rPr>
            </w:pPr>
            <w:r>
              <w:rPr>
                <w:noProof/>
                <w:sz w:val="20"/>
              </w:rPr>
              <w:t>-Rannchuidiú le comhlíontacht na gcéimeanna faoi lipéad EIT le gníomhaíochtaí arna ndéanamh i gcomhthéacs an Réimse Ardoideachais a dheimhniú;</w:t>
            </w:r>
          </w:p>
          <w:p>
            <w:pPr>
              <w:autoSpaceDE w:val="0"/>
              <w:autoSpaceDN w:val="0"/>
              <w:adjustRightInd w:val="0"/>
              <w:spacing w:before="0" w:after="0"/>
              <w:jc w:val="left"/>
              <w:rPr>
                <w:rFonts w:eastAsia="Calibri"/>
                <w:noProof/>
                <w:sz w:val="20"/>
              </w:rPr>
            </w:pPr>
            <w:r>
              <w:rPr>
                <w:noProof/>
                <w:sz w:val="20"/>
              </w:rPr>
              <w:t>- Rannchuidiú le próisis an Choimisiúin a ullmhú maidir le pleanáil straitéiseach agus clársceidealú (AAR ...) agus bainistiú buiséid;</w:t>
            </w:r>
          </w:p>
          <w:p>
            <w:pPr>
              <w:autoSpaceDE w:val="0"/>
              <w:autoSpaceDN w:val="0"/>
              <w:adjustRightInd w:val="0"/>
              <w:spacing w:before="0" w:after="0"/>
              <w:jc w:val="left"/>
              <w:rPr>
                <w:rFonts w:eastAsia="Calibri"/>
                <w:noProof/>
                <w:sz w:val="20"/>
              </w:rPr>
            </w:pPr>
            <w:r>
              <w:rPr>
                <w:noProof/>
                <w:sz w:val="20"/>
              </w:rPr>
              <w:t>- Rannchuidiú leis an obair leantach maidir le hIniúchtaí (IAC, IAS agus CIE).</w:t>
            </w:r>
          </w:p>
          <w:p>
            <w:pPr>
              <w:rPr>
                <w:rFonts w:eastAsia="Calibri"/>
                <w:noProof/>
                <w:sz w:val="20"/>
              </w:rPr>
            </w:pPr>
          </w:p>
        </w:tc>
      </w:tr>
    </w:tbl>
    <w:p>
      <w:pPr>
        <w:keepNext/>
        <w:tabs>
          <w:tab w:val="num" w:pos="3118"/>
        </w:tabs>
        <w:ind w:left="851" w:hanging="851"/>
        <w:outlineLvl w:val="3"/>
        <w:rPr>
          <w:rFonts w:eastAsia="Calibri"/>
          <w:bCs/>
          <w:iCs/>
          <w:noProof/>
        </w:rPr>
      </w:pPr>
      <w:r>
        <w:rPr>
          <w:noProof/>
        </w:rPr>
        <w:t>3.2.2.2</w:t>
      </w:r>
      <w:r>
        <w:rPr>
          <w:noProof/>
        </w:rPr>
        <w:tab/>
        <w:t>Na hacmhainní daonna a mheastar a bheidh riachtanach san Institiúid Eorpach um Nuálaíocht agus Theicneolaíocht (EIT)</w:t>
      </w:r>
    </w:p>
    <w:p>
      <w:pPr>
        <w:spacing w:after="60"/>
        <w:jc w:val="right"/>
        <w:rPr>
          <w:rFonts w:eastAsia="Calibri"/>
          <w:i/>
          <w:noProof/>
          <w:sz w:val="20"/>
        </w:rPr>
      </w:pPr>
      <w:r>
        <w:rPr>
          <w:i/>
          <w:noProof/>
          <w:sz w:val="20"/>
        </w:rPr>
        <w:t>Sloinnfear an meastachán in aonaid de choibhéis lánaimseartha</w:t>
      </w:r>
    </w:p>
    <w:tbl>
      <w:tblPr>
        <w:tblW w:w="8599" w:type="dxa"/>
        <w:jc w:val="center"/>
        <w:tblCellMar>
          <w:left w:w="0" w:type="dxa"/>
          <w:right w:w="0" w:type="dxa"/>
        </w:tblCellMar>
        <w:tblLook w:val="04A0" w:firstRow="1" w:lastRow="0" w:firstColumn="1" w:lastColumn="0" w:noHBand="0" w:noVBand="1"/>
      </w:tblPr>
      <w:tblGrid>
        <w:gridCol w:w="2474"/>
        <w:gridCol w:w="875"/>
        <w:gridCol w:w="875"/>
        <w:gridCol w:w="875"/>
        <w:gridCol w:w="875"/>
        <w:gridCol w:w="875"/>
        <w:gridCol w:w="875"/>
        <w:gridCol w:w="875"/>
      </w:tblGrid>
      <w:tr>
        <w:trPr>
          <w:trHeight w:val="277"/>
          <w:jc w:val="center"/>
        </w:trPr>
        <w:tc>
          <w:tcPr>
            <w:tcW w:w="24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eastAsia="Calibri"/>
                <w:noProof/>
                <w:color w:val="000000"/>
              </w:rPr>
            </w:pPr>
            <w:r>
              <w:rPr>
                <w:noProof/>
                <w:color w:val="000000"/>
              </w:rPr>
              <w:t>EIT (i mBúdaipeist)</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noProof/>
                <w:color w:val="000000"/>
                <w:sz w:val="20"/>
              </w:rPr>
              <w:t>2021</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noProof/>
                <w:color w:val="000000"/>
                <w:sz w:val="20"/>
              </w:rPr>
              <w:t>2022</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noProof/>
                <w:color w:val="000000"/>
                <w:sz w:val="20"/>
              </w:rPr>
              <w:t>2023</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noProof/>
                <w:color w:val="000000"/>
                <w:sz w:val="20"/>
              </w:rPr>
              <w:t>2024</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noProof/>
                <w:color w:val="000000"/>
                <w:sz w:val="20"/>
              </w:rPr>
              <w:t>2025</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noProof/>
                <w:color w:val="000000"/>
                <w:sz w:val="20"/>
              </w:rPr>
              <w:t>2026</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noProof/>
                <w:color w:val="000000"/>
                <w:sz w:val="20"/>
              </w:rPr>
              <w:t>2027</w:t>
            </w:r>
          </w:p>
        </w:tc>
      </w:tr>
      <w:tr>
        <w:trPr>
          <w:trHeight w:val="542"/>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eastAsia="Calibri"/>
                <w:noProof/>
                <w:color w:val="000000"/>
                <w:sz w:val="20"/>
                <w:szCs w:val="20"/>
              </w:rPr>
            </w:pPr>
            <w:r>
              <w:rPr>
                <w:noProof/>
                <w:color w:val="000000"/>
                <w:sz w:val="20"/>
              </w:rPr>
              <w:t>Oifigigh an Choimisiúin</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Cs w:val="24"/>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noProof/>
                <w:color w:val="000000"/>
                <w:sz w:val="20"/>
              </w:rPr>
              <w:t>Ar AD iad</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noProof/>
                <w:color w:val="000000"/>
                <w:sz w:val="20"/>
              </w:rPr>
              <w:t>Ar AST iad</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noProof/>
                <w:color w:val="000000"/>
                <w:sz w:val="20"/>
              </w:rPr>
              <w:t>Ar AST-SC iad</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eastAsia="Calibri"/>
                <w:noProof/>
                <w:color w:val="000000"/>
                <w:sz w:val="20"/>
                <w:szCs w:val="20"/>
              </w:rPr>
            </w:pPr>
            <w:r>
              <w:rPr>
                <w:noProof/>
                <w:color w:val="000000"/>
                <w:sz w:val="20"/>
              </w:rPr>
              <w:t>Gníomhairí Sealadacha</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Cs w:val="24"/>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noProof/>
                <w:color w:val="000000"/>
                <w:sz w:val="20"/>
              </w:rPr>
              <w:t>Ar AD iad</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rPr>
              <w:t>40</w:t>
            </w: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noProof/>
                <w:color w:val="000000"/>
                <w:sz w:val="20"/>
              </w:rPr>
              <w:t>Ar AST iad</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rPr>
              <w:t>5</w:t>
            </w: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noProof/>
                <w:color w:val="000000"/>
                <w:sz w:val="20"/>
              </w:rPr>
              <w:t>Ar AST-SC iad</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eastAsia="Calibri"/>
                <w:noProof/>
                <w:color w:val="000000"/>
                <w:sz w:val="20"/>
                <w:szCs w:val="20"/>
              </w:rPr>
            </w:pPr>
            <w:r>
              <w:rPr>
                <w:noProof/>
                <w:color w:val="000000"/>
                <w:sz w:val="20"/>
              </w:rPr>
              <w:t>Gníomhairí ar conradh</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rPr>
              <w:t>23</w:t>
            </w: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eastAsia="Calibri"/>
                <w:noProof/>
                <w:color w:val="000000"/>
                <w:sz w:val="20"/>
                <w:szCs w:val="20"/>
              </w:rPr>
            </w:pPr>
            <w:r>
              <w:rPr>
                <w:noProof/>
                <w:color w:val="000000"/>
                <w:sz w:val="20"/>
              </w:rPr>
              <w:t>SNInna</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rPr>
              <w:t>2</w:t>
            </w: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b/>
                <w:bCs/>
                <w:noProof/>
                <w:color w:val="000000"/>
                <w:sz w:val="20"/>
                <w:szCs w:val="20"/>
              </w:rPr>
            </w:pPr>
            <w:r>
              <w:rPr>
                <w:b/>
                <w:noProof/>
                <w:color w:val="000000"/>
                <w:sz w:val="20"/>
              </w:rPr>
              <w:t>Iomlán</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b/>
                <w:noProof/>
                <w:color w:val="000000"/>
                <w:sz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b/>
                <w:noProof/>
                <w:color w:val="000000"/>
                <w:sz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b/>
                <w:noProof/>
                <w:color w:val="000000"/>
                <w:sz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b/>
                <w:noProof/>
                <w:color w:val="000000"/>
                <w:sz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b/>
                <w:noProof/>
                <w:color w:val="000000"/>
                <w:sz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b/>
                <w:noProof/>
                <w:color w:val="000000"/>
                <w:sz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b/>
                <w:noProof/>
                <w:color w:val="000000"/>
                <w:sz w:val="20"/>
              </w:rPr>
              <w:t>70</w:t>
            </w:r>
          </w:p>
        </w:tc>
      </w:tr>
    </w:tbl>
    <w:p>
      <w:pPr>
        <w:rPr>
          <w:rFonts w:eastAsia="Calibri"/>
          <w:noProof/>
          <w:sz w:val="20"/>
        </w:rPr>
      </w:pPr>
      <w:r>
        <w:rPr>
          <w:noProof/>
          <w:sz w:val="20"/>
        </w:rPr>
        <w:t>Cur síos ar na cúraimí a bheidh le déanamh:</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rFonts w:eastAsia="Calibri"/>
                <w:noProof/>
                <w:sz w:val="20"/>
              </w:rPr>
            </w:pPr>
            <w:r>
              <w:rPr>
                <w:noProof/>
                <w:sz w:val="20"/>
              </w:rPr>
              <w:t>Oifigigh agus pearsanra sealadach</w:t>
            </w:r>
          </w:p>
        </w:tc>
        <w:tc>
          <w:tcPr>
            <w:tcW w:w="7392" w:type="dxa"/>
          </w:tcPr>
          <w:p>
            <w:pPr>
              <w:autoSpaceDE w:val="0"/>
              <w:autoSpaceDN w:val="0"/>
              <w:adjustRightInd w:val="0"/>
              <w:spacing w:before="0" w:after="0"/>
              <w:jc w:val="left"/>
              <w:rPr>
                <w:rFonts w:eastAsia="Calibri"/>
                <w:noProof/>
                <w:sz w:val="20"/>
              </w:rPr>
            </w:pPr>
            <w:r>
              <w:rPr>
                <w:noProof/>
                <w:sz w:val="20"/>
              </w:rPr>
              <w:t>- Buiséad EIT, pleanáil agus tuairisciú;</w:t>
            </w:r>
          </w:p>
          <w:p>
            <w:pPr>
              <w:autoSpaceDE w:val="0"/>
              <w:autoSpaceDN w:val="0"/>
              <w:adjustRightInd w:val="0"/>
              <w:spacing w:before="0" w:after="0"/>
              <w:jc w:val="left"/>
              <w:rPr>
                <w:rFonts w:eastAsia="Calibri"/>
                <w:noProof/>
                <w:sz w:val="20"/>
              </w:rPr>
            </w:pPr>
            <w:r>
              <w:rPr>
                <w:noProof/>
                <w:sz w:val="20"/>
              </w:rPr>
              <w:t>- Clár Oibre EIT maidir le Simpliú;</w:t>
            </w:r>
          </w:p>
          <w:p>
            <w:pPr>
              <w:autoSpaceDE w:val="0"/>
              <w:autoSpaceDN w:val="0"/>
              <w:adjustRightInd w:val="0"/>
              <w:spacing w:before="0" w:after="0"/>
              <w:jc w:val="left"/>
              <w:rPr>
                <w:rFonts w:eastAsia="Calibri"/>
                <w:noProof/>
                <w:sz w:val="20"/>
              </w:rPr>
            </w:pPr>
            <w:r>
              <w:rPr>
                <w:noProof/>
                <w:sz w:val="20"/>
              </w:rPr>
              <w:t>- Sraitheanna nua ainmnithe agus roghnaithe PENanna a ullmhú;</w:t>
            </w:r>
          </w:p>
          <w:p>
            <w:pPr>
              <w:autoSpaceDE w:val="0"/>
              <w:autoSpaceDN w:val="0"/>
              <w:adjustRightInd w:val="0"/>
              <w:spacing w:before="0" w:after="0"/>
              <w:jc w:val="left"/>
              <w:rPr>
                <w:rFonts w:eastAsia="Calibri"/>
                <w:noProof/>
                <w:sz w:val="20"/>
              </w:rPr>
            </w:pPr>
            <w:r>
              <w:rPr>
                <w:noProof/>
                <w:sz w:val="20"/>
              </w:rPr>
              <w:t>- Comhordú agus ailíniú le tionscnaimh eile de chuid an Aontais, go háirithe Fís Eorpach;</w:t>
            </w:r>
          </w:p>
          <w:p>
            <w:pPr>
              <w:autoSpaceDE w:val="0"/>
              <w:autoSpaceDN w:val="0"/>
              <w:adjustRightInd w:val="0"/>
              <w:spacing w:before="0" w:after="0"/>
              <w:jc w:val="left"/>
              <w:rPr>
                <w:rFonts w:eastAsia="Calibri"/>
                <w:noProof/>
                <w:sz w:val="20"/>
              </w:rPr>
            </w:pPr>
            <w:r>
              <w:rPr>
                <w:noProof/>
                <w:sz w:val="20"/>
              </w:rPr>
              <w:t>- Ardán Geallsealbhóirí EIT;</w:t>
            </w:r>
          </w:p>
          <w:p>
            <w:pPr>
              <w:autoSpaceDE w:val="0"/>
              <w:autoSpaceDN w:val="0"/>
              <w:adjustRightInd w:val="0"/>
              <w:spacing w:before="0" w:after="0"/>
              <w:jc w:val="left"/>
              <w:rPr>
                <w:rFonts w:eastAsia="Calibri"/>
                <w:noProof/>
                <w:sz w:val="20"/>
              </w:rPr>
            </w:pPr>
            <w:r>
              <w:rPr>
                <w:noProof/>
                <w:sz w:val="20"/>
              </w:rPr>
              <w:t>- Grúpa Ionadaithe na mBallstát</w:t>
            </w:r>
          </w:p>
          <w:p>
            <w:pPr>
              <w:autoSpaceDE w:val="0"/>
              <w:autoSpaceDN w:val="0"/>
              <w:adjustRightInd w:val="0"/>
              <w:spacing w:before="0" w:after="0"/>
              <w:jc w:val="left"/>
              <w:rPr>
                <w:rFonts w:eastAsia="Calibri"/>
                <w:noProof/>
                <w:sz w:val="20"/>
              </w:rPr>
            </w:pPr>
            <w:r>
              <w:rPr>
                <w:noProof/>
                <w:sz w:val="20"/>
              </w:rPr>
              <w:t>- Cruinnithe Bhord Rialaithe agus Choiste Feidhmiúcháin EIT a ullmhú;</w:t>
            </w:r>
          </w:p>
          <w:p>
            <w:pPr>
              <w:autoSpaceDE w:val="0"/>
              <w:autoSpaceDN w:val="0"/>
              <w:adjustRightInd w:val="0"/>
              <w:spacing w:before="0" w:after="0"/>
              <w:jc w:val="left"/>
              <w:rPr>
                <w:rFonts w:eastAsia="Calibri"/>
                <w:noProof/>
                <w:sz w:val="20"/>
              </w:rPr>
            </w:pPr>
            <w:r>
              <w:rPr>
                <w:noProof/>
                <w:sz w:val="20"/>
              </w:rPr>
              <w:t xml:space="preserve">- Cruinnithe agus Éisteachtaí idir EIT agus PENanna a eagrú; </w:t>
            </w:r>
          </w:p>
          <w:p>
            <w:pPr>
              <w:autoSpaceDE w:val="0"/>
              <w:autoSpaceDN w:val="0"/>
              <w:adjustRightInd w:val="0"/>
              <w:spacing w:before="0" w:after="0"/>
              <w:jc w:val="left"/>
              <w:rPr>
                <w:rFonts w:eastAsia="Calibri"/>
                <w:noProof/>
                <w:sz w:val="20"/>
              </w:rPr>
            </w:pPr>
            <w:r>
              <w:rPr>
                <w:noProof/>
                <w:sz w:val="20"/>
              </w:rPr>
              <w:t xml:space="preserve">- PENanna atá ann cheana a chomhdhlúthú; </w:t>
            </w:r>
          </w:p>
          <w:p>
            <w:pPr>
              <w:autoSpaceDE w:val="0"/>
              <w:autoSpaceDN w:val="0"/>
              <w:adjustRightInd w:val="0"/>
              <w:spacing w:before="0" w:after="0"/>
              <w:jc w:val="left"/>
              <w:rPr>
                <w:rFonts w:eastAsia="Calibri"/>
                <w:noProof/>
                <w:sz w:val="20"/>
              </w:rPr>
            </w:pPr>
            <w:r>
              <w:rPr>
                <w:noProof/>
                <w:sz w:val="20"/>
              </w:rPr>
              <w:t xml:space="preserve">- Faireachán agus meastóireacht a dhéanamh ar PENanna agus ar na gníomhaíochtaí arna gcomhordú ag EIT; </w:t>
            </w:r>
          </w:p>
          <w:p>
            <w:pPr>
              <w:autoSpaceDE w:val="0"/>
              <w:autoSpaceDN w:val="0"/>
              <w:adjustRightInd w:val="0"/>
              <w:spacing w:before="0" w:after="0"/>
              <w:jc w:val="left"/>
              <w:rPr>
                <w:rFonts w:eastAsia="Calibri"/>
                <w:noProof/>
                <w:sz w:val="20"/>
              </w:rPr>
            </w:pPr>
            <w:r>
              <w:rPr>
                <w:noProof/>
                <w:sz w:val="20"/>
              </w:rPr>
              <w:t>- Tionchar EIT trí chomhroinnt agus scaipeadh eolais agus tríd an bhfor-rochtain agus an nochtadh idirnáisiúnta;</w:t>
            </w:r>
          </w:p>
          <w:p>
            <w:pPr>
              <w:autoSpaceDE w:val="0"/>
              <w:autoSpaceDN w:val="0"/>
              <w:adjustRightInd w:val="0"/>
              <w:spacing w:before="0" w:after="0"/>
              <w:jc w:val="left"/>
              <w:rPr>
                <w:rFonts w:eastAsia="Calibri"/>
                <w:noProof/>
                <w:sz w:val="20"/>
              </w:rPr>
            </w:pPr>
            <w:r>
              <w:rPr>
                <w:noProof/>
                <w:sz w:val="20"/>
              </w:rPr>
              <w:t>- Na gníomhaíochtaí arna gcomhordú ag EIT a dhearadh agus a bhainistiú;</w:t>
            </w:r>
          </w:p>
          <w:p>
            <w:pPr>
              <w:autoSpaceDE w:val="0"/>
              <w:autoSpaceDN w:val="0"/>
              <w:adjustRightInd w:val="0"/>
              <w:spacing w:before="0" w:after="0"/>
              <w:jc w:val="left"/>
              <w:rPr>
                <w:rFonts w:eastAsia="Calibri"/>
                <w:noProof/>
                <w:sz w:val="20"/>
              </w:rPr>
            </w:pPr>
            <w:r>
              <w:rPr>
                <w:noProof/>
                <w:sz w:val="20"/>
              </w:rPr>
              <w:t>- Comhar agus sineirgí a chothú idir PENanna;</w:t>
            </w:r>
          </w:p>
          <w:p>
            <w:pPr>
              <w:autoSpaceDE w:val="0"/>
              <w:autoSpaceDN w:val="0"/>
              <w:adjustRightInd w:val="0"/>
              <w:spacing w:before="0" w:after="0"/>
              <w:jc w:val="left"/>
              <w:rPr>
                <w:rFonts w:eastAsia="Calibri"/>
                <w:noProof/>
                <w:sz w:val="20"/>
              </w:rPr>
            </w:pPr>
            <w:r>
              <w:rPr>
                <w:noProof/>
                <w:sz w:val="20"/>
              </w:rPr>
              <w:t>- Gníomhaíochtaí oideachais arna ndéanamh ag PENanna a dhearadh agus a chomhordú;</w:t>
            </w:r>
          </w:p>
          <w:p>
            <w:pPr>
              <w:autoSpaceDE w:val="0"/>
              <w:autoSpaceDN w:val="0"/>
              <w:adjustRightInd w:val="0"/>
              <w:spacing w:before="0" w:after="0"/>
              <w:jc w:val="left"/>
              <w:rPr>
                <w:rFonts w:eastAsia="Calibri"/>
                <w:noProof/>
                <w:sz w:val="20"/>
              </w:rPr>
            </w:pPr>
            <w:r>
              <w:rPr>
                <w:noProof/>
                <w:sz w:val="20"/>
              </w:rPr>
              <w:t>- Cumarsáid EIT a chur chun feidhme;</w:t>
            </w:r>
          </w:p>
          <w:p>
            <w:pPr>
              <w:autoSpaceDE w:val="0"/>
              <w:autoSpaceDN w:val="0"/>
              <w:adjustRightInd w:val="0"/>
              <w:spacing w:before="0" w:after="0"/>
              <w:jc w:val="left"/>
              <w:rPr>
                <w:rFonts w:eastAsia="Calibri"/>
                <w:noProof/>
                <w:sz w:val="20"/>
              </w:rPr>
            </w:pPr>
            <w:r>
              <w:rPr>
                <w:noProof/>
                <w:sz w:val="20"/>
              </w:rPr>
              <w:t>- Glaonna ar PENanna a sheoladh agus obair leantach a dhéanamh maidir leo;</w:t>
            </w:r>
          </w:p>
          <w:p>
            <w:pPr>
              <w:autoSpaceDE w:val="0"/>
              <w:autoSpaceDN w:val="0"/>
              <w:adjustRightInd w:val="0"/>
              <w:spacing w:before="0" w:after="0"/>
              <w:jc w:val="left"/>
              <w:rPr>
                <w:rFonts w:eastAsia="Calibri"/>
                <w:noProof/>
                <w:sz w:val="20"/>
              </w:rPr>
            </w:pPr>
            <w:r>
              <w:rPr>
                <w:noProof/>
                <w:sz w:val="20"/>
              </w:rPr>
              <w:t>- Na hIniúchtaí (an tSeirbhís um Iniúchóireacht Inmheánach, Cumas iniúchóireachta inmheánaí, Cúirt Iniúchóirí na hEorpa) a bhainistiú.</w:t>
            </w:r>
          </w:p>
          <w:p>
            <w:pPr>
              <w:autoSpaceDE w:val="0"/>
              <w:autoSpaceDN w:val="0"/>
              <w:adjustRightInd w:val="0"/>
              <w:spacing w:before="0" w:after="0"/>
              <w:jc w:val="left"/>
              <w:rPr>
                <w:rFonts w:eastAsia="Calibri"/>
                <w:noProof/>
                <w:sz w:val="20"/>
              </w:rPr>
            </w:pPr>
          </w:p>
        </w:tc>
      </w:tr>
      <w:tr>
        <w:tc>
          <w:tcPr>
            <w:tcW w:w="3240" w:type="dxa"/>
          </w:tcPr>
          <w:p>
            <w:pPr>
              <w:spacing w:before="60" w:after="60"/>
              <w:rPr>
                <w:rFonts w:eastAsia="Calibri"/>
                <w:noProof/>
                <w:sz w:val="20"/>
              </w:rPr>
            </w:pPr>
            <w:r>
              <w:rPr>
                <w:noProof/>
                <w:sz w:val="20"/>
              </w:rPr>
              <w:t>Pearsanra seachtrach</w:t>
            </w:r>
          </w:p>
        </w:tc>
        <w:tc>
          <w:tcPr>
            <w:tcW w:w="7392" w:type="dxa"/>
          </w:tcPr>
          <w:p>
            <w:pPr>
              <w:autoSpaceDE w:val="0"/>
              <w:autoSpaceDN w:val="0"/>
              <w:adjustRightInd w:val="0"/>
              <w:spacing w:before="0" w:after="0"/>
              <w:jc w:val="left"/>
              <w:rPr>
                <w:rFonts w:eastAsia="Calibri"/>
                <w:noProof/>
                <w:sz w:val="20"/>
              </w:rPr>
            </w:pPr>
            <w:r>
              <w:rPr>
                <w:noProof/>
                <w:sz w:val="20"/>
              </w:rPr>
              <w:t xml:space="preserve">- Rannchuidiú leis na sraitheanna nua ainmnithe agus roghnaithe PENanna a ullmhú;  </w:t>
            </w:r>
          </w:p>
          <w:p>
            <w:pPr>
              <w:autoSpaceDE w:val="0"/>
              <w:autoSpaceDN w:val="0"/>
              <w:adjustRightInd w:val="0"/>
              <w:spacing w:before="0" w:after="0"/>
              <w:jc w:val="left"/>
              <w:rPr>
                <w:rFonts w:eastAsia="Calibri"/>
                <w:noProof/>
                <w:sz w:val="20"/>
              </w:rPr>
            </w:pPr>
            <w:r>
              <w:rPr>
                <w:noProof/>
                <w:sz w:val="20"/>
              </w:rPr>
              <w:t xml:space="preserve">- Rannchuidiú le clár oibre Fiontraíochta agus Oideachais EIT; </w:t>
            </w:r>
          </w:p>
          <w:p>
            <w:pPr>
              <w:autoSpaceDE w:val="0"/>
              <w:autoSpaceDN w:val="0"/>
              <w:adjustRightInd w:val="0"/>
              <w:spacing w:before="0" w:after="0"/>
              <w:jc w:val="left"/>
              <w:rPr>
                <w:rFonts w:eastAsia="Calibri"/>
                <w:noProof/>
                <w:sz w:val="20"/>
              </w:rPr>
            </w:pPr>
            <w:r>
              <w:rPr>
                <w:noProof/>
                <w:sz w:val="20"/>
              </w:rPr>
              <w:t>- Rannchuidiú le hArdán Geallsealbhóirí EIT;</w:t>
            </w:r>
          </w:p>
          <w:p>
            <w:pPr>
              <w:autoSpaceDE w:val="0"/>
              <w:autoSpaceDN w:val="0"/>
              <w:adjustRightInd w:val="0"/>
              <w:spacing w:before="0" w:after="0"/>
              <w:jc w:val="left"/>
              <w:rPr>
                <w:rFonts w:eastAsia="Calibri"/>
                <w:noProof/>
                <w:sz w:val="20"/>
              </w:rPr>
            </w:pPr>
            <w:r>
              <w:rPr>
                <w:noProof/>
                <w:sz w:val="20"/>
              </w:rPr>
              <w:t>- Rannchuidiú le ‘Grúpa Ionadaithe na mBallstát’</w:t>
            </w:r>
          </w:p>
          <w:p>
            <w:pPr>
              <w:autoSpaceDE w:val="0"/>
              <w:autoSpaceDN w:val="0"/>
              <w:adjustRightInd w:val="0"/>
              <w:spacing w:before="0" w:after="0"/>
              <w:jc w:val="left"/>
              <w:rPr>
                <w:rFonts w:eastAsia="Calibri"/>
                <w:noProof/>
                <w:sz w:val="20"/>
              </w:rPr>
            </w:pPr>
            <w:r>
              <w:rPr>
                <w:noProof/>
                <w:sz w:val="20"/>
              </w:rPr>
              <w:t>- Rannchuidiú le Boird Rialaithe agus Coiste Feidhmiúcháin EIT a ullmhú;</w:t>
            </w:r>
          </w:p>
          <w:p>
            <w:pPr>
              <w:autoSpaceDE w:val="0"/>
              <w:autoSpaceDN w:val="0"/>
              <w:adjustRightInd w:val="0"/>
              <w:spacing w:before="0" w:after="0"/>
              <w:jc w:val="left"/>
              <w:rPr>
                <w:rFonts w:eastAsia="Calibri"/>
                <w:noProof/>
                <w:sz w:val="20"/>
              </w:rPr>
            </w:pPr>
            <w:r>
              <w:rPr>
                <w:noProof/>
                <w:sz w:val="20"/>
              </w:rPr>
              <w:t>- Rannchuidiú le dearbhú a dhéanamh ar chomhlíontacht na gcéimeanna faoi lipéad EIT le gníomhaíochtaí arna ndéanamh i gcomhthéacs Réimse an Ardoideachais;</w:t>
            </w:r>
          </w:p>
          <w:p>
            <w:pPr>
              <w:autoSpaceDE w:val="0"/>
              <w:autoSpaceDN w:val="0"/>
              <w:adjustRightInd w:val="0"/>
              <w:spacing w:before="0" w:after="0"/>
              <w:jc w:val="left"/>
              <w:rPr>
                <w:rFonts w:eastAsia="Calibri"/>
                <w:noProof/>
                <w:sz w:val="20"/>
              </w:rPr>
            </w:pPr>
            <w:r>
              <w:rPr>
                <w:noProof/>
                <w:sz w:val="20"/>
              </w:rPr>
              <w:t>- Rannchuidiú le cur chun feidhme theachtaireacht EIT;- Rannchuidiú le gníomhaíochtaí arna gcomhordú ag EIT a bhainistiú;</w:t>
            </w:r>
          </w:p>
          <w:p>
            <w:pPr>
              <w:autoSpaceDE w:val="0"/>
              <w:autoSpaceDN w:val="0"/>
              <w:adjustRightInd w:val="0"/>
              <w:spacing w:before="0" w:after="0"/>
              <w:jc w:val="left"/>
              <w:rPr>
                <w:rFonts w:eastAsia="Calibri"/>
                <w:noProof/>
                <w:sz w:val="20"/>
              </w:rPr>
            </w:pPr>
            <w:r>
              <w:rPr>
                <w:noProof/>
                <w:sz w:val="20"/>
              </w:rPr>
              <w:t>- Rannchuidiú le faireachán a dhéanamh ar PENanna agus ar na gníomhaíochtaí arna gcomhordú ag EIT agus le hobair leantach a dhéanamh maidir leo.</w:t>
            </w:r>
          </w:p>
          <w:p>
            <w:pPr>
              <w:autoSpaceDE w:val="0"/>
              <w:autoSpaceDN w:val="0"/>
              <w:adjustRightInd w:val="0"/>
              <w:spacing w:before="0" w:after="0"/>
              <w:jc w:val="left"/>
              <w:rPr>
                <w:rFonts w:eastAsia="Calibri"/>
                <w:noProof/>
                <w:sz w:val="20"/>
              </w:rPr>
            </w:pPr>
          </w:p>
        </w:tc>
      </w:tr>
    </w:tbl>
    <w:p>
      <w:pPr>
        <w:rPr>
          <w:rFonts w:eastAsia="Calibri"/>
          <w:noProof/>
        </w:rPr>
        <w:sectPr>
          <w:headerReference w:type="default" r:id="rId26"/>
          <w:footerReference w:type="default" r:id="rId27"/>
          <w:headerReference w:type="first" r:id="rId28"/>
          <w:footerReference w:type="first" r:id="rId29"/>
          <w:pgSz w:w="11907" w:h="16840"/>
          <w:pgMar w:top="1134" w:right="1418" w:bottom="1134" w:left="1418" w:header="709" w:footer="709" w:gutter="0"/>
          <w:cols w:space="708"/>
          <w:docGrid w:linePitch="360"/>
        </w:sectPr>
      </w:pPr>
    </w:p>
    <w:p>
      <w:pPr>
        <w:keepNext/>
        <w:outlineLvl w:val="2"/>
        <w:rPr>
          <w:rFonts w:eastAsia="Calibri"/>
          <w:i/>
          <w:noProof/>
          <w:szCs w:val="24"/>
        </w:rPr>
      </w:pPr>
      <w:r>
        <w:rPr>
          <w:i/>
          <w:noProof/>
        </w:rPr>
        <w:t>3.2.3.</w:t>
      </w:r>
      <w:r>
        <w:rPr>
          <w:noProof/>
        </w:rPr>
        <w:tab/>
      </w:r>
      <w:r>
        <w:rPr>
          <w:i/>
          <w:noProof/>
        </w:rPr>
        <w:t>Ranníocaíochtaí ó thríú páirtithe</w:t>
      </w:r>
      <w:r>
        <w:rPr>
          <w:noProof/>
          <w:sz w:val="16"/>
        </w:rPr>
        <w:t xml:space="preserve"> </w:t>
      </w:r>
    </w:p>
    <w:p>
      <w:pPr>
        <w:ind w:left="850"/>
        <w:rPr>
          <w:noProof/>
        </w:rPr>
      </w:pPr>
      <w:r>
        <w:rPr>
          <w:noProof/>
        </w:rPr>
        <w:t>I gcás an togra/tionscnaimh seo:</w:t>
      </w:r>
    </w:p>
    <w:p>
      <w:pPr>
        <w:tabs>
          <w:tab w:val="num" w:pos="1134"/>
        </w:tabs>
        <w:ind w:left="1134" w:hanging="283"/>
        <w:rPr>
          <w:noProof/>
        </w:rPr>
      </w:pPr>
      <w:r>
        <w:rPr>
          <w:noProof/>
        </w:rPr>
        <w:sym w:font="Wingdings" w:char="F0A8"/>
      </w:r>
      <w:r>
        <w:rPr>
          <w:noProof/>
        </w:rPr>
        <w:tab/>
        <w:t>ní dhéantar foráil maidir le cómhaoiniú le tríú páirtithe</w:t>
      </w:r>
    </w:p>
    <w:p>
      <w:pPr>
        <w:tabs>
          <w:tab w:val="num" w:pos="1134"/>
        </w:tabs>
        <w:ind w:left="1134" w:hanging="283"/>
        <w:rPr>
          <w:noProof/>
        </w:rPr>
      </w:pPr>
      <w:r>
        <w:rPr>
          <w:noProof/>
        </w:rPr>
        <w:t xml:space="preserve"> Le X, déantar foráil maidir leis an gcómhaoiniú le tríú páirtithe atá réamh-mheasta thíos:</w:t>
      </w:r>
    </w:p>
    <w:p>
      <w:pPr>
        <w:jc w:val="right"/>
        <w:rPr>
          <w:noProof/>
          <w:sz w:val="20"/>
        </w:rPr>
      </w:pPr>
      <w:r>
        <w:rPr>
          <w:noProof/>
          <w:sz w:val="20"/>
        </w:rPr>
        <w:t>Leithreasuithe in EUR milliúin (go dtí an tríú</w:t>
      </w:r>
      <w:r>
        <w:rPr>
          <w:noProof/>
        </w:rPr>
        <w:t xml:space="preserve"> </w:t>
      </w:r>
      <w:r>
        <w:rPr>
          <w:noProof/>
          <w:sz w:val="20"/>
        </w:rPr>
        <w:t>deachúil)</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Blianta</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IOMLÁN</w:t>
            </w:r>
          </w:p>
        </w:tc>
      </w:tr>
      <w:tr>
        <w:trPr>
          <w:cantSplit/>
          <w:jc w:val="center"/>
        </w:trPr>
        <w:tc>
          <w:tcPr>
            <w:tcW w:w="2340" w:type="dxa"/>
          </w:tcPr>
          <w:p>
            <w:pPr>
              <w:rPr>
                <w:noProof/>
              </w:rPr>
            </w:pPr>
            <w:r>
              <w:rPr>
                <w:noProof/>
                <w:sz w:val="20"/>
              </w:rPr>
              <w:t>Sonraigh an comhlacht cómhaoinithe</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IOMLÁN leithreasuithe cómhaoinithe</w:t>
            </w:r>
            <w:r>
              <w:rPr>
                <w:rStyle w:val="FootnoteReference"/>
                <w:noProof/>
                <w:sz w:val="20"/>
              </w:rPr>
              <w:footnoteReference w:id="20"/>
            </w:r>
            <w:r>
              <w:rPr>
                <w:noProof/>
                <w:sz w:val="20"/>
              </w:rPr>
              <w:t xml:space="preserve"> </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p.m.</w:t>
            </w:r>
          </w:p>
        </w:tc>
      </w:tr>
    </w:tbl>
    <w:p>
      <w:pPr>
        <w:rPr>
          <w:noProof/>
        </w:rPr>
      </w:pPr>
    </w:p>
    <w:p>
      <w:pPr>
        <w:keepNext/>
        <w:outlineLvl w:val="1"/>
        <w:rPr>
          <w:b/>
          <w:noProof/>
          <w:szCs w:val="24"/>
        </w:rPr>
      </w:pPr>
      <w:r>
        <w:rPr>
          <w:b/>
          <w:noProof/>
        </w:rPr>
        <w:t>3.3.</w:t>
      </w:r>
      <w:r>
        <w:rPr>
          <w:noProof/>
        </w:rPr>
        <w:tab/>
      </w:r>
      <w:r>
        <w:rPr>
          <w:b/>
          <w:noProof/>
        </w:rPr>
        <w:t>An tionchar a mheastar a bheidh ar ioncam</w:t>
      </w:r>
      <w:r>
        <w:rPr>
          <w:noProof/>
          <w:sz w:val="16"/>
        </w:rPr>
        <w:t xml:space="preserve"> </w:t>
      </w:r>
    </w:p>
    <w:p>
      <w:pPr>
        <w:tabs>
          <w:tab w:val="num" w:pos="1134"/>
        </w:tabs>
        <w:ind w:left="1134" w:hanging="283"/>
        <w:rPr>
          <w:noProof/>
        </w:rPr>
      </w:pPr>
      <w:r>
        <w:rPr>
          <w:noProof/>
        </w:rPr>
        <w:sym w:font="Wingdings" w:char="F0A8"/>
      </w:r>
      <w:r>
        <w:rPr>
          <w:noProof/>
        </w:rPr>
        <w:tab/>
        <w:t>Ní bheidh tionchar airgeadais ar bith ag an togra ar ioncam.</w:t>
      </w:r>
    </w:p>
    <w:p>
      <w:pPr>
        <w:tabs>
          <w:tab w:val="num" w:pos="1134"/>
        </w:tabs>
        <w:ind w:left="1134" w:hanging="283"/>
        <w:rPr>
          <w:noProof/>
        </w:rPr>
      </w:pPr>
      <w:r>
        <w:rPr>
          <w:noProof/>
        </w:rPr>
        <w:t>X</w:t>
      </w:r>
      <w:r>
        <w:rPr>
          <w:noProof/>
        </w:rPr>
        <w:tab/>
        <w:t>Beidh an tionchar airgeadais seo a leanas ag an togra/tionscnamh:</w:t>
      </w:r>
    </w:p>
    <w:p>
      <w:pPr>
        <w:numPr>
          <w:ilvl w:val="2"/>
          <w:numId w:val="0"/>
        </w:numPr>
        <w:tabs>
          <w:tab w:val="num" w:pos="2126"/>
        </w:tabs>
        <w:ind w:left="2126" w:hanging="709"/>
        <w:rPr>
          <w:noProof/>
        </w:rPr>
      </w:pPr>
      <w:r>
        <w:rPr>
          <w:noProof/>
        </w:rPr>
        <w:sym w:font="Wingdings" w:char="F0A8"/>
      </w:r>
      <w:r>
        <w:rPr>
          <w:noProof/>
        </w:rPr>
        <w:tab/>
        <w:t xml:space="preserve">ar acmhainní dílse </w:t>
      </w:r>
    </w:p>
    <w:p>
      <w:pPr>
        <w:numPr>
          <w:ilvl w:val="2"/>
          <w:numId w:val="0"/>
        </w:numPr>
        <w:tabs>
          <w:tab w:val="num" w:pos="2126"/>
        </w:tabs>
        <w:ind w:left="2126" w:hanging="709"/>
        <w:rPr>
          <w:noProof/>
        </w:rPr>
      </w:pPr>
      <w:r>
        <w:rPr>
          <w:noProof/>
        </w:rPr>
        <w:t>X</w:t>
      </w:r>
      <w:r>
        <w:rPr>
          <w:noProof/>
        </w:rPr>
        <w:tab/>
        <w:t>ar ioncam eile</w:t>
      </w:r>
    </w:p>
    <w:p>
      <w:pPr>
        <w:rPr>
          <w:noProof/>
        </w:rPr>
      </w:pPr>
      <w:r>
        <w:rPr>
          <w:noProof/>
        </w:rPr>
        <w:t>má tá an t</w:t>
      </w:r>
      <w:r>
        <w:rPr>
          <w:noProof/>
        </w:rPr>
        <w:noBreakHyphen/>
        <w:t xml:space="preserve">ioncam sannta do línte caiteachais, sonraigh sin </w:t>
      </w:r>
      <w:r>
        <w:rPr>
          <w:noProof/>
        </w:rPr>
        <w:sym w:font="Wingdings" w:char="F0A8"/>
      </w:r>
      <w:r>
        <w:rPr>
          <w:noProof/>
        </w:rPr>
        <w:tab/>
      </w:r>
    </w:p>
    <w:p>
      <w:pPr>
        <w:jc w:val="right"/>
        <w:rPr>
          <w:i/>
          <w:noProof/>
          <w:sz w:val="20"/>
        </w:rPr>
      </w:pPr>
      <w:r>
        <w:rPr>
          <w:noProof/>
        </w:rPr>
        <w:t>EUR milliúin (go dtí an tríú deachúil)</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Líne buiséid ioncaim:</w:t>
            </w:r>
          </w:p>
        </w:tc>
        <w:tc>
          <w:tcPr>
            <w:tcW w:w="7200" w:type="dxa"/>
            <w:gridSpan w:val="7"/>
            <w:vAlign w:val="center"/>
          </w:tcPr>
          <w:p>
            <w:pPr>
              <w:jc w:val="center"/>
              <w:rPr>
                <w:noProof/>
                <w:sz w:val="18"/>
              </w:rPr>
            </w:pPr>
            <w:r>
              <w:rPr>
                <w:noProof/>
                <w:sz w:val="18"/>
              </w:rPr>
              <w:t>Tionchar an togra/tionscnaimh</w:t>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Mír 6013</w:t>
            </w:r>
          </w:p>
        </w:tc>
        <w:tc>
          <w:tcPr>
            <w:tcW w:w="1080" w:type="dxa"/>
          </w:tcPr>
          <w:p>
            <w:pPr>
              <w:spacing w:beforeLines="40" w:before="96" w:afterLines="40" w:after="96"/>
              <w:jc w:val="center"/>
              <w:rPr>
                <w:noProof/>
                <w:sz w:val="18"/>
              </w:rPr>
            </w:pPr>
            <w:r>
              <w:rPr>
                <w:noProof/>
                <w:sz w:val="18"/>
              </w:rPr>
              <w:t>p.m.</w:t>
            </w:r>
          </w:p>
        </w:tc>
        <w:tc>
          <w:tcPr>
            <w:tcW w:w="900" w:type="dxa"/>
          </w:tcPr>
          <w:p>
            <w:pPr>
              <w:spacing w:beforeLines="40" w:before="96" w:afterLines="40" w:after="96"/>
              <w:jc w:val="center"/>
              <w:rPr>
                <w:noProof/>
                <w:sz w:val="18"/>
              </w:rPr>
            </w:pPr>
            <w:r>
              <w:rPr>
                <w:noProof/>
                <w:sz w:val="18"/>
              </w:rPr>
              <w:t>p.m.</w:t>
            </w:r>
          </w:p>
        </w:tc>
        <w:tc>
          <w:tcPr>
            <w:tcW w:w="900" w:type="dxa"/>
          </w:tcPr>
          <w:p>
            <w:pPr>
              <w:spacing w:beforeLines="40" w:before="96" w:afterLines="40" w:after="96"/>
              <w:jc w:val="center"/>
              <w:rPr>
                <w:noProof/>
                <w:sz w:val="18"/>
              </w:rPr>
            </w:pPr>
            <w:r>
              <w:rPr>
                <w:noProof/>
                <w:sz w:val="18"/>
              </w:rPr>
              <w:t>p.m.</w:t>
            </w:r>
          </w:p>
        </w:tc>
        <w:tc>
          <w:tcPr>
            <w:tcW w:w="1080" w:type="dxa"/>
          </w:tcPr>
          <w:p>
            <w:pPr>
              <w:spacing w:beforeLines="40" w:before="96" w:afterLines="40" w:after="96"/>
              <w:jc w:val="center"/>
              <w:rPr>
                <w:noProof/>
                <w:sz w:val="18"/>
              </w:rPr>
            </w:pPr>
            <w:r>
              <w:rPr>
                <w:noProof/>
                <w:sz w:val="18"/>
              </w:rPr>
              <w:t>p.m.</w:t>
            </w:r>
          </w:p>
        </w:tc>
        <w:tc>
          <w:tcPr>
            <w:tcW w:w="1080" w:type="dxa"/>
          </w:tcPr>
          <w:p>
            <w:pPr>
              <w:spacing w:beforeLines="40" w:before="96" w:afterLines="40" w:after="96"/>
              <w:jc w:val="center"/>
              <w:rPr>
                <w:noProof/>
                <w:sz w:val="18"/>
              </w:rPr>
            </w:pPr>
            <w:r>
              <w:rPr>
                <w:noProof/>
                <w:sz w:val="18"/>
              </w:rPr>
              <w:t>p.m.</w:t>
            </w:r>
          </w:p>
        </w:tc>
        <w:tc>
          <w:tcPr>
            <w:tcW w:w="1080" w:type="dxa"/>
          </w:tcPr>
          <w:p>
            <w:pPr>
              <w:spacing w:beforeLines="40" w:before="96" w:afterLines="40" w:after="96"/>
              <w:jc w:val="center"/>
              <w:rPr>
                <w:noProof/>
                <w:sz w:val="18"/>
              </w:rPr>
            </w:pPr>
            <w:r>
              <w:rPr>
                <w:noProof/>
                <w:sz w:val="18"/>
              </w:rPr>
              <w:t>p.m.</w:t>
            </w:r>
          </w:p>
        </w:tc>
        <w:tc>
          <w:tcPr>
            <w:tcW w:w="1080" w:type="dxa"/>
          </w:tcPr>
          <w:p>
            <w:pPr>
              <w:spacing w:beforeLines="40" w:before="96" w:afterLines="40" w:after="96"/>
              <w:jc w:val="center"/>
              <w:rPr>
                <w:noProof/>
                <w:sz w:val="18"/>
              </w:rPr>
            </w:pPr>
            <w:r>
              <w:rPr>
                <w:noProof/>
                <w:sz w:val="18"/>
              </w:rPr>
              <w:t>p.m.</w:t>
            </w:r>
          </w:p>
        </w:tc>
      </w:tr>
    </w:tbl>
    <w:p>
      <w:pPr>
        <w:ind w:left="850"/>
        <w:rPr>
          <w:noProof/>
          <w:sz w:val="20"/>
        </w:rPr>
      </w:pPr>
      <w:r>
        <w:rPr>
          <w:noProof/>
          <w:sz w:val="20"/>
        </w:rPr>
        <w:t>I gcás ioncam ilghnéitheach atá 'sannta', sonraigh na línte buiséid a n</w:t>
      </w:r>
      <w:r>
        <w:rPr>
          <w:noProof/>
          <w:sz w:val="20"/>
        </w:rPr>
        <w:noBreakHyphen/>
        <w:t>imrítear tionchar orthu.</w:t>
      </w:r>
    </w:p>
    <w:p>
      <w:pPr>
        <w:pStyle w:val="Text1"/>
        <w:pBdr>
          <w:top w:val="single" w:sz="4" w:space="1" w:color="auto"/>
          <w:left w:val="single" w:sz="4" w:space="4" w:color="auto"/>
          <w:bottom w:val="single" w:sz="4" w:space="1" w:color="auto"/>
          <w:right w:val="single" w:sz="4" w:space="4" w:color="auto"/>
        </w:pBdr>
        <w:tabs>
          <w:tab w:val="left" w:pos="2016"/>
        </w:tabs>
        <w:rPr>
          <w:noProof/>
          <w:sz w:val="22"/>
        </w:rPr>
      </w:pPr>
      <w:r>
        <w:rPr>
          <w:noProof/>
          <w:sz w:val="22"/>
        </w:rPr>
        <w:t>01.02XX Leithreasuithe arna bhfabhrú ó ranníocaíochtaí ó thríú páirtithe</w:t>
      </w:r>
    </w:p>
    <w:p>
      <w:pPr>
        <w:ind w:left="850"/>
        <w:rPr>
          <w:noProof/>
          <w:sz w:val="20"/>
        </w:rPr>
      </w:pPr>
    </w:p>
    <w:p>
      <w:pPr>
        <w:ind w:left="850"/>
        <w:rPr>
          <w:noProof/>
          <w:sz w:val="20"/>
        </w:rPr>
      </w:pPr>
      <w:r>
        <w:rPr>
          <w:noProof/>
          <w:sz w:val="20"/>
        </w:rPr>
        <w:t>Aon rud eile (e.g. an modh nó an fhoirmle a úsáideadh chun an tionchar ar ioncam a ríomh nó aon fhaisnéis eile).</w:t>
      </w:r>
    </w:p>
    <w:p>
      <w:pPr>
        <w:pBdr>
          <w:top w:val="single" w:sz="4" w:space="1" w:color="auto"/>
          <w:left w:val="single" w:sz="4" w:space="4" w:color="auto"/>
          <w:bottom w:val="single" w:sz="4" w:space="1" w:color="auto"/>
          <w:right w:val="single" w:sz="4" w:space="4" w:color="auto"/>
        </w:pBdr>
        <w:ind w:left="850"/>
        <w:rPr>
          <w:noProof/>
          <w:sz w:val="22"/>
        </w:rPr>
      </w:pPr>
      <w:r>
        <w:rPr>
          <w:noProof/>
          <w:sz w:val="22"/>
        </w:rPr>
        <w:t>Féadfaidh tríú tíortha rannchuidiú leis an gClár trí chomhaontuithe comhlachais. Leagfar amach na coinníollacha lena gcinnfear leibhéal na ranníocaíochta airgeadais i gcomhaontuithe comhlachais le gach tír agus áiritheofar go ndéanfar ceartú uathoibríoch ar aon mhíchothromaíocht shuntasach i gcomparáid leis an méid a fhaigheann eintitis a bhunaítear sa tír chomhlachaithe trína bheith rannpháirteach sa chlár, agus costais maidir le bainistiú an chláir á gcur san áireamh.</w:t>
      </w:r>
    </w:p>
    <w:p>
      <w:pPr>
        <w:rPr>
          <w:rFonts w:eastAsia="Calibri"/>
          <w:noProof/>
          <w:sz w:val="16"/>
          <w:szCs w:val="16"/>
        </w:rPr>
      </w:pPr>
    </w:p>
    <w:sectPr>
      <w:pgSz w:w="12240" w:h="15840"/>
      <w:pgMar w:top="1440" w:right="1440" w:bottom="1440" w:left="1440"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GA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GA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Rialachán (CE) Uimh 294/2008 ó Pharlaimint na hEorpa agus ón gComhairle an 11 Márta 2008 lena mbunaítear an Institiúid Eorpach um Nuálaíocht agus Teicneolaíocht (IO L 97, 9.4.2008, lch. 1). Arna leasú le Rialachán (AE) Uimh. 1292/2013 ó Pharlaimint na hEorpa agus ón gComhairle an 11 Nollaig 2013 (IO L 347, 11.12.2013, lch. 174).</w:t>
      </w:r>
    </w:p>
  </w:footnote>
  <w:footnote w:id="2">
    <w:p>
      <w:pPr>
        <w:pStyle w:val="FootnoteText"/>
      </w:pPr>
      <w:r>
        <w:rPr>
          <w:rStyle w:val="FootnoteReference"/>
        </w:rPr>
        <w:footnoteRef/>
      </w:r>
      <w:r>
        <w:tab/>
        <w:t>Togra le haghaidh Rialachán ó Pharlaimint na hEorpa agus ón gComhairle lena mbunaítear Fís Eorpach – an Clár Réime um Thaighde agus um Nuálaíocht, lena leagtar síos na rialacha maidir le rannpháirtíocht agus leathadh. COM(2018) 435 final.</w:t>
      </w:r>
    </w:p>
  </w:footnote>
  <w:footnote w:id="3">
    <w:p>
      <w:pPr>
        <w:pStyle w:val="FootnoteText"/>
      </w:pPr>
      <w:r>
        <w:rPr>
          <w:rStyle w:val="FootnoteReference"/>
        </w:rPr>
        <w:footnoteRef/>
      </w:r>
      <w:r>
        <w:tab/>
        <w:t>Cumhdaíonn an COSN atá ann faoi láthair an tréimhse 2014-2020.</w:t>
      </w:r>
    </w:p>
  </w:footnote>
  <w:footnote w:id="4">
    <w:p>
      <w:pPr>
        <w:pStyle w:val="FootnoteText"/>
        <w:rPr>
          <w:sz w:val="16"/>
          <w:szCs w:val="16"/>
        </w:rPr>
      </w:pPr>
      <w:r>
        <w:rPr>
          <w:rStyle w:val="FootnoteReference"/>
        </w:rPr>
        <w:footnoteRef/>
      </w:r>
      <w:r>
        <w:tab/>
      </w:r>
      <w:r>
        <w:rPr>
          <w:sz w:val="16"/>
        </w:rPr>
        <w:t xml:space="preserve">ICF (2017), Meastóireacht, lch. 36. </w:t>
      </w:r>
    </w:p>
  </w:footnote>
  <w:footnote w:id="5">
    <w:p>
      <w:pPr>
        <w:pStyle w:val="FootnoteText"/>
      </w:pPr>
      <w:r>
        <w:rPr>
          <w:rStyle w:val="FootnoteReference"/>
        </w:rPr>
        <w:footnoteRef/>
      </w:r>
      <w:r>
        <w:tab/>
        <w:t>IO L 97, 9.4.2008, lch. 1.</w:t>
      </w:r>
    </w:p>
  </w:footnote>
  <w:footnote w:id="6">
    <w:p>
      <w:pPr>
        <w:pStyle w:val="FootnoteText"/>
      </w:pPr>
      <w:r>
        <w:rPr>
          <w:rStyle w:val="FootnoteReference"/>
        </w:rPr>
        <w:footnoteRef/>
      </w:r>
      <w:r>
        <w:tab/>
        <w:t>Tagairt don Rialachán athmhúnlaithe maidir le EIT arna ghlacadh. </w:t>
      </w:r>
    </w:p>
  </w:footnote>
  <w:footnote w:id="7">
    <w:p>
      <w:pPr>
        <w:pStyle w:val="FootnoteText"/>
        <w:rPr>
          <w:szCs w:val="24"/>
        </w:rPr>
      </w:pPr>
      <w:r>
        <w:rPr>
          <w:rStyle w:val="FootnoteReference"/>
        </w:rPr>
        <w:footnoteRef/>
      </w:r>
      <w:r>
        <w:tab/>
        <w:t>Mar a thagraítear dó in Airteagal 58(2)(a) nó (b) den Rialachán Airgeadais.</w:t>
      </w:r>
    </w:p>
  </w:footnote>
  <w:footnote w:id="8">
    <w:p>
      <w:pPr>
        <w:pStyle w:val="FootnoteText"/>
      </w:pPr>
      <w:r>
        <w:rPr>
          <w:rStyle w:val="FootnoteReference"/>
        </w:rPr>
        <w:footnoteRef/>
      </w:r>
      <w:r>
        <w:tab/>
        <w:t xml:space="preserve">COM(2018) 435 críochnaitheach. </w:t>
      </w:r>
    </w:p>
  </w:footnote>
  <w:footnote w:id="9">
    <w:p>
      <w:pPr>
        <w:pStyle w:val="FootnoteText"/>
      </w:pPr>
      <w:r>
        <w:rPr>
          <w:rStyle w:val="FootnoteReference"/>
        </w:rPr>
        <w:footnoteRef/>
      </w:r>
      <w:r>
        <w:tab/>
        <w:t>Airteagal 9(2)(c)(2).</w:t>
      </w:r>
    </w:p>
  </w:footnote>
  <w:footnote w:id="10">
    <w:p>
      <w:pPr>
        <w:pStyle w:val="FootnoteText"/>
        <w:jc w:val="left"/>
        <w:rPr>
          <w:szCs w:val="24"/>
        </w:rPr>
      </w:pPr>
      <w:r>
        <w:rPr>
          <w:rStyle w:val="FootnoteReference"/>
        </w:rPr>
        <w:footnoteRef/>
      </w:r>
      <w:r>
        <w:tab/>
        <w:t xml:space="preserve">Is féidir mionsonraí ar na modhanna bainistíochta agus tagairtí don Rialachán Airgeadais a fheiceáil ar shuíomh gréasáin Ard-Stiúrthóireacht an Bhuiséid: </w:t>
      </w:r>
      <w:hyperlink r:id="rId1">
        <w:r>
          <w:rPr>
            <w:rStyle w:val="Hyperlink"/>
          </w:rPr>
          <w:t>https://myintracomm.ec.europa.eu/budgweb/EN/man/budgmanag/Pages/budgmanag.aspx</w:t>
        </w:r>
      </w:hyperlink>
      <w:r>
        <w:t xml:space="preserve"> </w:t>
      </w:r>
    </w:p>
  </w:footnote>
  <w:footnote w:id="11">
    <w:p>
      <w:pPr>
        <w:pStyle w:val="FootnoteText"/>
      </w:pPr>
      <w:r>
        <w:rPr>
          <w:rStyle w:val="FootnoteReference"/>
        </w:rPr>
        <w:footnoteRef/>
      </w:r>
      <w:r>
        <w:tab/>
        <w:t>COM (2018) 323 críochnaitheach, 2.5.2018</w:t>
      </w:r>
    </w:p>
  </w:footnote>
  <w:footnote w:id="12">
    <w:p>
      <w:pPr>
        <w:pStyle w:val="FootnoteText"/>
        <w:rPr>
          <w:szCs w:val="24"/>
        </w:rPr>
      </w:pPr>
      <w:r>
        <w:rPr>
          <w:rStyle w:val="FootnoteReference"/>
        </w:rPr>
        <w:footnoteRef/>
      </w:r>
      <w:r>
        <w:tab/>
        <w:t>LD = Leithreasuithe difreáilte / LN = Leithreasuithe neamhdhifreáilte.</w:t>
      </w:r>
    </w:p>
  </w:footnote>
  <w:footnote w:id="13">
    <w:p>
      <w:pPr>
        <w:pStyle w:val="FootnoteText"/>
        <w:rPr>
          <w:szCs w:val="24"/>
          <w:lang w:val="pt-PT"/>
        </w:rPr>
      </w:pPr>
      <w:r>
        <w:rPr>
          <w:rStyle w:val="FootnoteReference"/>
        </w:rPr>
        <w:footnoteRef/>
      </w:r>
      <w:r>
        <w:rPr>
          <w:lang w:val="pt-PT"/>
        </w:rPr>
        <w:tab/>
        <w:t xml:space="preserve">CSTE: Comhlachas Saorthrádála na hEorpa. </w:t>
      </w:r>
    </w:p>
  </w:footnote>
  <w:footnote w:id="14">
    <w:p>
      <w:pPr>
        <w:pStyle w:val="FootnoteText"/>
        <w:rPr>
          <w:lang w:val="pt-PT"/>
        </w:rPr>
      </w:pPr>
      <w:r>
        <w:rPr>
          <w:rStyle w:val="FootnoteReference"/>
        </w:rPr>
        <w:footnoteRef/>
      </w:r>
      <w:r>
        <w:rPr>
          <w:lang w:val="pt-PT"/>
        </w:rPr>
        <w:tab/>
        <w:t>Tíortha is iarrthóirí agus, nuair is iomchuí, tíortha ó na Balcáin Thiar a d'fhéadfadh a bheith ina n</w:t>
      </w:r>
      <w:r>
        <w:rPr>
          <w:lang w:val="pt-PT"/>
        </w:rPr>
        <w:noBreakHyphen/>
        <w:t>iarrthóirí.</w:t>
      </w:r>
    </w:p>
  </w:footnote>
  <w:footnote w:id="15">
    <w:p>
      <w:pPr>
        <w:pStyle w:val="CommentText"/>
        <w:rPr>
          <w:color w:val="1F497D"/>
          <w:lang w:val="pt-PT"/>
        </w:rPr>
      </w:pPr>
      <w:r>
        <w:rPr>
          <w:rStyle w:val="FootnoteReference"/>
        </w:rPr>
        <w:footnoteRef/>
      </w:r>
      <w:r>
        <w:rPr>
          <w:lang w:val="pt-PT"/>
        </w:rPr>
        <w:tab/>
        <w:t xml:space="preserve">Ríomhadh costas fhoireann EIT agus Theideal II tríd an gcomhéifeacht cheartúcháin le haghaidh na hUngáire (71.9) a úsáid, mar a shonraítear ar leathanach 16, tábla 5 de </w:t>
      </w:r>
      <w:hyperlink r:id="rId2">
        <w:r>
          <w:rPr>
            <w:rStyle w:val="Hyperlink"/>
            <w:lang w:val="pt-PT"/>
          </w:rPr>
          <w:t>https://ec.europa.eu/eurostat/documents/6939681/7070380/Annualreport2018.pdf/97053a94-29eb-4e93-8883-e826426e3d55</w:t>
        </w:r>
      </w:hyperlink>
      <w:r>
        <w:rPr>
          <w:color w:val="1F497D"/>
          <w:lang w:val="pt-PT"/>
        </w:rPr>
        <w:t> </w:t>
      </w:r>
    </w:p>
    <w:p>
      <w:pPr>
        <w:pStyle w:val="FootnoteText"/>
        <w:rPr>
          <w:lang w:val="pt-PT"/>
        </w:rPr>
      </w:pPr>
    </w:p>
  </w:footnote>
  <w:footnote w:id="16">
    <w:p>
      <w:pPr>
        <w:pStyle w:val="FootnoteText"/>
        <w:rPr>
          <w:lang w:val="pt-PT"/>
        </w:rPr>
      </w:pPr>
      <w:r>
        <w:rPr>
          <w:rStyle w:val="FootnoteReference"/>
        </w:rPr>
        <w:footnoteRef/>
      </w:r>
      <w:r>
        <w:rPr>
          <w:lang w:val="pt-PT"/>
        </w:rPr>
        <w:tab/>
        <w:t>Cúnamh agus caiteachas teicniúil agus/nó riaracháin ar mhaithe le cláir agus/nó bearta de chuid AE (seanlínte "BA") a chur chun feidhme, taighde indíreach, taighde díreach. Is ionann sin agus an t</w:t>
      </w:r>
      <w:r>
        <w:rPr>
          <w:lang w:val="pt-PT"/>
        </w:rPr>
        <w:noBreakHyphen/>
        <w:t>uasmhéid ón méid a leithdháiltear ar EIT ón gClár, atá le caitheamh ar chaiteachas riaracháin an Choimisiúin.</w:t>
      </w:r>
    </w:p>
  </w:footnote>
  <w:footnote w:id="17">
    <w:p>
      <w:pPr>
        <w:pStyle w:val="FootnoteText"/>
        <w:rPr>
          <w:lang w:val="pt-PT"/>
        </w:rPr>
      </w:pPr>
      <w:r>
        <w:rPr>
          <w:rStyle w:val="FootnoteReference"/>
        </w:rPr>
        <w:footnoteRef/>
      </w:r>
      <w:r>
        <w:rPr>
          <w:lang w:val="pt-PT"/>
        </w:rPr>
        <w:tab/>
        <w:t>Tá na figiúirí seo ailínithe le ráiteas airgeadais Reachtach foriomlán an chláir Fís Eorpach nach n</w:t>
      </w:r>
      <w:r>
        <w:rPr>
          <w:lang w:val="pt-PT"/>
        </w:rPr>
        <w:noBreakHyphen/>
        <w:t>áirítear ann ach an fhoireann údaraithe atá i mbun oibre in 2020 in Ard-Stiúrthóireachtaí, ach nach ndéanann aon réamhbhreith ar na riachtanais shonracha a d’fhéadfadh a bheith ann i leith na foirne a bheidh ag obair ar EIT don tréimhse 2021-2027.</w:t>
      </w:r>
    </w:p>
  </w:footnote>
  <w:footnote w:id="18">
    <w:p>
      <w:pPr>
        <w:pStyle w:val="FootnoteText"/>
        <w:rPr>
          <w:szCs w:val="24"/>
          <w:lang w:val="pt-PT"/>
        </w:rPr>
      </w:pPr>
      <w:r>
        <w:rPr>
          <w:rStyle w:val="FootnoteReference"/>
        </w:rPr>
        <w:footnoteRef/>
      </w:r>
      <w:r>
        <w:rPr>
          <w:lang w:val="pt-PT"/>
        </w:rPr>
        <w:tab/>
        <w:t xml:space="preserve">AC = Ball foirne ar conradh; AL = Ball foirne áitiúil; SNE= Saineolaí náisiúnta ar iasacht; INT= Ball foirne gníomhaireachta; JPD = Saineolaithe sóisearacha i dtoscaireachtaí. </w:t>
      </w:r>
    </w:p>
  </w:footnote>
  <w:footnote w:id="19">
    <w:p>
      <w:pPr>
        <w:pStyle w:val="FootnoteText"/>
        <w:rPr>
          <w:szCs w:val="24"/>
          <w:lang w:val="pt-PT"/>
        </w:rPr>
      </w:pPr>
      <w:r>
        <w:rPr>
          <w:rStyle w:val="FootnoteReference"/>
        </w:rPr>
        <w:footnoteRef/>
      </w:r>
      <w:r>
        <w:rPr>
          <w:lang w:val="pt-PT"/>
        </w:rPr>
        <w:tab/>
        <w:t>Fo-uasteorainn d'fhoireann sheachtrach arna cumhdach ag leithreasuithe faoi chomhair oibríochtaí (na seanlínte "BA").</w:t>
      </w:r>
    </w:p>
  </w:footnote>
  <w:footnote w:id="20">
    <w:p>
      <w:pPr>
        <w:pStyle w:val="FootnoteText"/>
        <w:rPr>
          <w:lang w:val="pt-PT"/>
        </w:rPr>
      </w:pPr>
      <w:r>
        <w:rPr>
          <w:rStyle w:val="FootnoteReference"/>
        </w:rPr>
        <w:footnoteRef/>
      </w:r>
      <w:r>
        <w:rPr>
          <w:lang w:val="pt-PT"/>
        </w:rPr>
        <w:tab/>
        <w:t>Níl Comhaontuithe maidir le Comhlachas Déthaobhach socraithe go fóill. Cuirfear ranníocaíochtaí ó thíortha comhlachaithe isteach de bhreis ar na suimeanna a thíolactar sa Ráiteas Airgeadais Reachtach seo.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97227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3E43334"/>
    <w:lvl w:ilvl="0">
      <w:start w:val="1"/>
      <w:numFmt w:val="decimal"/>
      <w:pStyle w:val="ListNumber3"/>
      <w:lvlText w:val="%1."/>
      <w:lvlJc w:val="left"/>
      <w:pPr>
        <w:tabs>
          <w:tab w:val="num" w:pos="926"/>
        </w:tabs>
        <w:ind w:left="926" w:hanging="360"/>
      </w:pPr>
    </w:lvl>
  </w:abstractNum>
  <w:abstractNum w:abstractNumId="2">
    <w:nsid w:val="FFFFFF7F"/>
    <w:multiLevelType w:val="singleLevel"/>
    <w:tmpl w:val="C99AC1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6DC6A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60E9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82EFF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4A016A6"/>
    <w:lvl w:ilvl="0">
      <w:start w:val="1"/>
      <w:numFmt w:val="decimal"/>
      <w:pStyle w:val="ListNumber"/>
      <w:lvlText w:val="%1."/>
      <w:lvlJc w:val="left"/>
      <w:pPr>
        <w:tabs>
          <w:tab w:val="num" w:pos="360"/>
        </w:tabs>
        <w:ind w:left="360" w:hanging="360"/>
      </w:pPr>
    </w:lvl>
  </w:abstractNum>
  <w:abstractNum w:abstractNumId="7">
    <w:nsid w:val="FFFFFF89"/>
    <w:multiLevelType w:val="singleLevel"/>
    <w:tmpl w:val="3FC027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6"/>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2"/>
  </w:num>
  <w:num w:numId="15">
    <w:abstractNumId w:val="22"/>
  </w:num>
  <w:num w:numId="16">
    <w:abstractNumId w:val="11"/>
  </w:num>
  <w:num w:numId="17">
    <w:abstractNumId w:val="13"/>
  </w:num>
  <w:num w:numId="18">
    <w:abstractNumId w:val="9"/>
  </w:num>
  <w:num w:numId="19">
    <w:abstractNumId w:val="21"/>
  </w:num>
  <w:num w:numId="20">
    <w:abstractNumId w:val="8"/>
  </w:num>
  <w:num w:numId="21">
    <w:abstractNumId w:val="14"/>
  </w:num>
  <w:num w:numId="22">
    <w:abstractNumId w:val="18"/>
  </w:num>
  <w:num w:numId="23">
    <w:abstractNumId w:val="19"/>
  </w:num>
  <w:num w:numId="24">
    <w:abstractNumId w:val="10"/>
  </w:num>
  <w:num w:numId="25">
    <w:abstractNumId w:val="17"/>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7-10 13:12:4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62"/>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B005EBEB-2676-4C3A-B733-8E0F64047336"/>
    <w:docVar w:name="LW_COVERPAGE_TYPE" w:val="1"/>
    <w:docVar w:name="LW_CROSSREFERENCE" w:val="{SEC(2019) 275 final} - {SWD(2019) 330 final} - {SWD(2019) 331 final}"/>
    <w:docVar w:name="LW_DocType" w:val="COM"/>
    <w:docVar w:name="LW_EMISSION" w:val="11.7.2019"/>
    <w:docVar w:name="LW_EMISSION_ISODATE" w:val="2019-07-11"/>
    <w:docVar w:name="LW_EMISSION_LOCATION" w:val="BRX"/>
    <w:docVar w:name="LW_EMISSION_PREFIX" w:val="An Bhruiséil,"/>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Téacs atá ábhartha maidir le LEE)"/>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152"/>
    <w:docVar w:name="LW_REF.II.NEW.CP_YEAR" w:val="2019"/>
    <w:docVar w:name="LW_REF.INST.NEW" w:val="COM"/>
    <w:docVar w:name="LW_REF.INST.NEW_ADOPTED" w:val="final"/>
    <w:docVar w:name="LW_REF.INST.NEW_TEXT" w:val="(2019) 3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Togra le haghaidh"/>
    <w:docVar w:name="LW_SUPERTITRE" w:val="&lt;UNUSED&gt;"/>
    <w:docVar w:name="LW_TITRE.OBJ.CP" w:val="maidir le Clár Oibre Straiteiseach um Nualaíocht na hInstitiúide Eorpaí _x000b_um Nuálaíocht agus Teicneolaíocht (EIT) 2021-2027: _x000b_Borradh a chur faoi Thallann Nuálaíochta agus faoi Chumas Nuálaíochta na hEorpa"/>
    <w:docVar w:name="LW_TYPE.DOC.CP" w:val="CINNEADH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character" w:customStyle="1" w:styleId="Heading5Char">
    <w:name w:val="Heading 5 Char"/>
    <w:basedOn w:val="DefaultParagraphFont"/>
    <w:link w:val="Heading5"/>
    <w:uiPriority w:val="99"/>
    <w:rPr>
      <w:rFonts w:ascii="Arial" w:hAnsi="Arial" w:cs="Arial"/>
      <w:lang w:val="ga-IE" w:eastAsia="ga-IE"/>
    </w:rPr>
  </w:style>
  <w:style w:type="character" w:customStyle="1" w:styleId="Heading6Char">
    <w:name w:val="Heading 6 Char"/>
    <w:basedOn w:val="DefaultParagraphFont"/>
    <w:link w:val="Heading6"/>
    <w:uiPriority w:val="99"/>
    <w:rPr>
      <w:rFonts w:ascii="Arial" w:hAnsi="Arial" w:cs="Arial"/>
      <w:i/>
      <w:iCs/>
      <w:lang w:val="ga-IE" w:eastAsia="ga-IE"/>
    </w:rPr>
  </w:style>
  <w:style w:type="character" w:customStyle="1" w:styleId="Heading7Char">
    <w:name w:val="Heading 7 Char"/>
    <w:basedOn w:val="DefaultParagraphFont"/>
    <w:link w:val="Heading7"/>
    <w:uiPriority w:val="99"/>
    <w:rPr>
      <w:rFonts w:ascii="Arial" w:hAnsi="Arial" w:cs="Arial"/>
      <w:sz w:val="20"/>
      <w:szCs w:val="20"/>
      <w:lang w:val="ga-IE" w:eastAsia="ga-IE"/>
    </w:rPr>
  </w:style>
  <w:style w:type="character" w:customStyle="1" w:styleId="Heading8Char">
    <w:name w:val="Heading 8 Char"/>
    <w:basedOn w:val="DefaultParagraphFont"/>
    <w:link w:val="Heading8"/>
    <w:uiPriority w:val="9"/>
    <w:rPr>
      <w:rFonts w:ascii="Arial" w:hAnsi="Arial" w:cs="Arial"/>
      <w:i/>
      <w:iCs/>
      <w:sz w:val="20"/>
      <w:szCs w:val="20"/>
      <w:lang w:val="ga-IE" w:eastAsia="ga-IE"/>
    </w:rPr>
  </w:style>
  <w:style w:type="character" w:customStyle="1" w:styleId="Heading9Char">
    <w:name w:val="Heading 9 Char"/>
    <w:basedOn w:val="DefaultParagraphFont"/>
    <w:link w:val="Heading9"/>
    <w:uiPriority w:val="99"/>
    <w:rPr>
      <w:rFonts w:ascii="Arial" w:hAnsi="Arial" w:cs="Arial"/>
      <w:i/>
      <w:iCs/>
      <w:sz w:val="18"/>
      <w:szCs w:val="18"/>
      <w:lang w:val="ga-IE" w:eastAsia="ga-IE"/>
    </w:rPr>
  </w:style>
  <w:style w:type="paragraph" w:customStyle="1" w:styleId="Sous-titreobjet">
    <w:name w:val="Sous-titre objet"/>
    <w:basedOn w:val="Titreobjet"/>
    <w:uiPriority w:val="99"/>
    <w:pPr>
      <w:autoSpaceDE w:val="0"/>
      <w:autoSpaceDN w:val="0"/>
      <w:spacing w:before="0" w:after="0"/>
    </w:pPr>
    <w:rPr>
      <w:bCs/>
      <w:szCs w:val="24"/>
    </w:rPr>
  </w:style>
  <w:style w:type="paragraph" w:customStyle="1" w:styleId="FichedimpactPMEtitre">
    <w:name w:val="Fiche d'impact PME titre"/>
    <w:basedOn w:val="Normal"/>
    <w:next w:val="Normal"/>
    <w:uiPriority w:val="99"/>
    <w:pPr>
      <w:autoSpaceDE w:val="0"/>
      <w:autoSpaceDN w:val="0"/>
      <w:jc w:val="center"/>
    </w:pPr>
    <w:rPr>
      <w:b/>
      <w:bCs/>
      <w:szCs w:val="24"/>
    </w:rPr>
  </w:style>
  <w:style w:type="paragraph" w:customStyle="1" w:styleId="Fichefinanciretextetable">
    <w:name w:val="Fiche financière texte (table)"/>
    <w:basedOn w:val="Normal"/>
    <w:uiPriority w:val="99"/>
    <w:pPr>
      <w:autoSpaceDE w:val="0"/>
      <w:autoSpaceDN w:val="0"/>
      <w:spacing w:before="0" w:after="0"/>
      <w:jc w:val="left"/>
    </w:pPr>
    <w:rPr>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b/>
      <w:bCs/>
      <w:sz w:val="40"/>
      <w:szCs w:val="40"/>
    </w:rPr>
  </w:style>
  <w:style w:type="paragraph" w:customStyle="1" w:styleId="Fichefinanciretitretable">
    <w:name w:val="Fiche financière titre (table)"/>
    <w:basedOn w:val="Normal"/>
    <w:uiPriority w:val="99"/>
    <w:pPr>
      <w:autoSpaceDE w:val="0"/>
      <w:autoSpaceDN w:val="0"/>
      <w:jc w:val="center"/>
    </w:pPr>
    <w:rPr>
      <w:b/>
      <w:bCs/>
      <w:sz w:val="40"/>
      <w:szCs w:val="40"/>
    </w:rPr>
  </w:style>
  <w:style w:type="character" w:styleId="PageNumber">
    <w:name w:val="page number"/>
    <w:uiPriority w:val="99"/>
  </w:style>
  <w:style w:type="paragraph" w:styleId="TOAHeading">
    <w:name w:val="toa heading"/>
    <w:basedOn w:val="Normal"/>
    <w:next w:val="Normal"/>
    <w:uiPriority w:val="99"/>
    <w:pPr>
      <w:autoSpaceDE w:val="0"/>
      <w:autoSpaceDN w:val="0"/>
    </w:pPr>
    <w:rPr>
      <w:rFonts w:ascii="Arial" w:hAnsi="Arial" w:cs="Arial"/>
      <w:b/>
      <w:bCs/>
      <w:szCs w:val="24"/>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szCs w:val="24"/>
    </w:rPr>
  </w:style>
  <w:style w:type="character" w:customStyle="1" w:styleId="CRRefNum">
    <w:name w:val="CR RefNum"/>
    <w:uiPriority w:val="99"/>
    <w:rPr>
      <w:vertAlign w:val="subscript"/>
    </w:rPr>
  </w:style>
  <w:style w:type="paragraph" w:customStyle="1" w:styleId="CRParaDeleted">
    <w:name w:val="CR ParaDeleted"/>
    <w:basedOn w:val="Normal"/>
    <w:next w:val="Normal"/>
    <w:uiPriority w:val="99"/>
    <w:pPr>
      <w:autoSpaceDE w:val="0"/>
      <w:autoSpaceDN w:val="0"/>
    </w:pPr>
    <w:rPr>
      <w:szCs w:val="24"/>
    </w:rPr>
  </w:style>
  <w:style w:type="character" w:customStyle="1" w:styleId="CRTextDeleted">
    <w:name w:val="CR TextDeleted"/>
    <w:uiPriority w:val="99"/>
  </w:style>
  <w:style w:type="paragraph" w:customStyle="1" w:styleId="Titredumodificateur">
    <w:name w:val="Titre du modificateur"/>
    <w:basedOn w:val="Normal"/>
    <w:next w:val="Normal"/>
    <w:uiPriority w:val="99"/>
    <w:pPr>
      <w:autoSpaceDE w:val="0"/>
      <w:autoSpaceDN w:val="0"/>
      <w:spacing w:before="240" w:after="60"/>
      <w:jc w:val="left"/>
    </w:pPr>
    <w:rPr>
      <w:b/>
      <w:bCs/>
      <w:szCs w:val="24"/>
    </w:rPr>
  </w:style>
  <w:style w:type="paragraph" w:customStyle="1" w:styleId="Referencedumodificateur">
    <w:name w:val="Reference du modificateur"/>
    <w:basedOn w:val="Normal"/>
    <w:next w:val="Normal"/>
    <w:uiPriority w:val="99"/>
    <w:pPr>
      <w:autoSpaceDE w:val="0"/>
      <w:autoSpaceDN w:val="0"/>
      <w:spacing w:before="0"/>
      <w:jc w:val="left"/>
    </w:pPr>
    <w:rPr>
      <w:szCs w:val="24"/>
    </w:rPr>
  </w:style>
  <w:style w:type="character" w:customStyle="1" w:styleId="CRDeleted">
    <w:name w:val="CR Deleted"/>
    <w:rPr>
      <w:dstrike/>
      <w:lang w:val="ga-IE" w:eastAsia="ga-IE"/>
    </w:rPr>
  </w:style>
  <w:style w:type="character" w:customStyle="1" w:styleId="CRRefonteDeleted">
    <w:name w:val="CR Refonte Deleted"/>
    <w:rPr>
      <w:dstrike/>
      <w:lang w:val="ga-IE" w:eastAsia="ga-IE"/>
    </w:rPr>
  </w:style>
  <w:style w:type="character" w:customStyle="1" w:styleId="CRMinorChangeDeleted">
    <w:name w:val="CR Minor Change Deleted"/>
    <w:rPr>
      <w:dstrike/>
      <w:u w:val="double"/>
      <w:lang w:val="ga-IE" w:eastAsia="ga-IE"/>
    </w:rPr>
  </w:style>
  <w:style w:type="character" w:customStyle="1" w:styleId="CRMinorChangeAdded">
    <w:name w:val="CR Minor Change Added"/>
    <w:rPr>
      <w:u w:val="double"/>
      <w:lang w:val="ga-IE" w:eastAsia="ga-IE"/>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styleId="Revision">
    <w:name w:val="Revision"/>
    <w:hidden/>
    <w:uiPriority w:val="99"/>
    <w:semiHidden/>
    <w:rPr>
      <w:rFonts w:ascii="Times New Roman" w:hAnsi="Times New Roman"/>
      <w:sz w:val="24"/>
      <w:szCs w:val="24"/>
    </w:rPr>
  </w:style>
  <w:style w:type="numbering" w:customStyle="1" w:styleId="NoList1">
    <w:name w:val="No List1"/>
    <w:next w:val="NoList"/>
    <w:uiPriority w:val="99"/>
    <w:semiHidden/>
    <w:unhideWhenUsed/>
  </w:style>
  <w:style w:type="paragraph" w:customStyle="1" w:styleId="ListDash1">
    <w:name w:val="List Dash 1"/>
    <w:basedOn w:val="Normal"/>
    <w:pPr>
      <w:numPr>
        <w:numId w:val="10"/>
      </w:numPr>
      <w:tabs>
        <w:tab w:val="clear" w:pos="1134"/>
        <w:tab w:val="num" w:pos="1417"/>
      </w:tabs>
      <w:ind w:left="1417" w:hanging="567"/>
    </w:pPr>
  </w:style>
  <w:style w:type="paragraph" w:customStyle="1" w:styleId="ListDash2">
    <w:name w:val="List Dash 2"/>
    <w:basedOn w:val="Normal"/>
    <w:pPr>
      <w:numPr>
        <w:numId w:val="11"/>
      </w:numPr>
      <w:tabs>
        <w:tab w:val="clear" w:pos="1134"/>
        <w:tab w:val="num" w:pos="1984"/>
      </w:tabs>
      <w:ind w:left="1984" w:hanging="567"/>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hAnsi="Times New Roman" w:cs="Times New Roman"/>
      <w:sz w:val="24"/>
      <w:lang w:val="ga-IE"/>
    </w:rPr>
  </w:style>
  <w:style w:type="character" w:customStyle="1" w:styleId="FooterSensitivityChar">
    <w:name w:val="Footer Sensitivity Char"/>
    <w:rPr>
      <w:rFonts w:ascii="Times New Roman" w:eastAsia="Calibri" w:hAnsi="Times New Roman"/>
      <w:b/>
      <w:sz w:val="32"/>
      <w:szCs w:val="22"/>
      <w:lang w:eastAsia="ga-I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rFonts w:ascii="Times New Roman" w:hAnsi="Times New Roman" w:cs="Times New Roman"/>
      <w:sz w:val="24"/>
      <w:lang w:val="ga-IE"/>
    </w:rPr>
  </w:style>
  <w:style w:type="character" w:customStyle="1" w:styleId="HeaderSensitivityChar">
    <w:name w:val="Header Sensitivity Char"/>
    <w:rPr>
      <w:rFonts w:ascii="Times New Roman" w:eastAsia="Calibri" w:hAnsi="Times New Roman"/>
      <w:b/>
      <w:sz w:val="32"/>
      <w:szCs w:val="22"/>
      <w:lang w:eastAsia="ga-I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ga-IE"/>
    </w:rPr>
  </w:style>
  <w:style w:type="character" w:styleId="EndnoteReference">
    <w:name w:val="endnote reference"/>
    <w:uiPriority w:val="99"/>
    <w:semiHidden/>
    <w:unhideWhenUsed/>
    <w:rPr>
      <w:vertAlign w:val="superscript"/>
    </w:rPr>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character" w:customStyle="1" w:styleId="Heading5Char">
    <w:name w:val="Heading 5 Char"/>
    <w:basedOn w:val="DefaultParagraphFont"/>
    <w:link w:val="Heading5"/>
    <w:uiPriority w:val="99"/>
    <w:rPr>
      <w:rFonts w:ascii="Arial" w:hAnsi="Arial" w:cs="Arial"/>
      <w:lang w:val="ga-IE" w:eastAsia="ga-IE"/>
    </w:rPr>
  </w:style>
  <w:style w:type="character" w:customStyle="1" w:styleId="Heading6Char">
    <w:name w:val="Heading 6 Char"/>
    <w:basedOn w:val="DefaultParagraphFont"/>
    <w:link w:val="Heading6"/>
    <w:uiPriority w:val="99"/>
    <w:rPr>
      <w:rFonts w:ascii="Arial" w:hAnsi="Arial" w:cs="Arial"/>
      <w:i/>
      <w:iCs/>
      <w:lang w:val="ga-IE" w:eastAsia="ga-IE"/>
    </w:rPr>
  </w:style>
  <w:style w:type="character" w:customStyle="1" w:styleId="Heading7Char">
    <w:name w:val="Heading 7 Char"/>
    <w:basedOn w:val="DefaultParagraphFont"/>
    <w:link w:val="Heading7"/>
    <w:uiPriority w:val="99"/>
    <w:rPr>
      <w:rFonts w:ascii="Arial" w:hAnsi="Arial" w:cs="Arial"/>
      <w:sz w:val="20"/>
      <w:szCs w:val="20"/>
      <w:lang w:val="ga-IE" w:eastAsia="ga-IE"/>
    </w:rPr>
  </w:style>
  <w:style w:type="character" w:customStyle="1" w:styleId="Heading8Char">
    <w:name w:val="Heading 8 Char"/>
    <w:basedOn w:val="DefaultParagraphFont"/>
    <w:link w:val="Heading8"/>
    <w:uiPriority w:val="9"/>
    <w:rPr>
      <w:rFonts w:ascii="Arial" w:hAnsi="Arial" w:cs="Arial"/>
      <w:i/>
      <w:iCs/>
      <w:sz w:val="20"/>
      <w:szCs w:val="20"/>
      <w:lang w:val="ga-IE" w:eastAsia="ga-IE"/>
    </w:rPr>
  </w:style>
  <w:style w:type="character" w:customStyle="1" w:styleId="Heading9Char">
    <w:name w:val="Heading 9 Char"/>
    <w:basedOn w:val="DefaultParagraphFont"/>
    <w:link w:val="Heading9"/>
    <w:uiPriority w:val="99"/>
    <w:rPr>
      <w:rFonts w:ascii="Arial" w:hAnsi="Arial" w:cs="Arial"/>
      <w:i/>
      <w:iCs/>
      <w:sz w:val="18"/>
      <w:szCs w:val="18"/>
      <w:lang w:val="ga-IE" w:eastAsia="ga-IE"/>
    </w:rPr>
  </w:style>
  <w:style w:type="paragraph" w:customStyle="1" w:styleId="Sous-titreobjet">
    <w:name w:val="Sous-titre objet"/>
    <w:basedOn w:val="Titreobjet"/>
    <w:uiPriority w:val="99"/>
    <w:pPr>
      <w:autoSpaceDE w:val="0"/>
      <w:autoSpaceDN w:val="0"/>
      <w:spacing w:before="0" w:after="0"/>
    </w:pPr>
    <w:rPr>
      <w:bCs/>
      <w:szCs w:val="24"/>
    </w:rPr>
  </w:style>
  <w:style w:type="paragraph" w:customStyle="1" w:styleId="FichedimpactPMEtitre">
    <w:name w:val="Fiche d'impact PME titre"/>
    <w:basedOn w:val="Normal"/>
    <w:next w:val="Normal"/>
    <w:uiPriority w:val="99"/>
    <w:pPr>
      <w:autoSpaceDE w:val="0"/>
      <w:autoSpaceDN w:val="0"/>
      <w:jc w:val="center"/>
    </w:pPr>
    <w:rPr>
      <w:b/>
      <w:bCs/>
      <w:szCs w:val="24"/>
    </w:rPr>
  </w:style>
  <w:style w:type="paragraph" w:customStyle="1" w:styleId="Fichefinanciretextetable">
    <w:name w:val="Fiche financière texte (table)"/>
    <w:basedOn w:val="Normal"/>
    <w:uiPriority w:val="99"/>
    <w:pPr>
      <w:autoSpaceDE w:val="0"/>
      <w:autoSpaceDN w:val="0"/>
      <w:spacing w:before="0" w:after="0"/>
      <w:jc w:val="left"/>
    </w:pPr>
    <w:rPr>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b/>
      <w:bCs/>
      <w:sz w:val="40"/>
      <w:szCs w:val="40"/>
    </w:rPr>
  </w:style>
  <w:style w:type="paragraph" w:customStyle="1" w:styleId="Fichefinanciretitretable">
    <w:name w:val="Fiche financière titre (table)"/>
    <w:basedOn w:val="Normal"/>
    <w:uiPriority w:val="99"/>
    <w:pPr>
      <w:autoSpaceDE w:val="0"/>
      <w:autoSpaceDN w:val="0"/>
      <w:jc w:val="center"/>
    </w:pPr>
    <w:rPr>
      <w:b/>
      <w:bCs/>
      <w:sz w:val="40"/>
      <w:szCs w:val="40"/>
    </w:rPr>
  </w:style>
  <w:style w:type="character" w:styleId="PageNumber">
    <w:name w:val="page number"/>
    <w:uiPriority w:val="99"/>
  </w:style>
  <w:style w:type="paragraph" w:styleId="TOAHeading">
    <w:name w:val="toa heading"/>
    <w:basedOn w:val="Normal"/>
    <w:next w:val="Normal"/>
    <w:uiPriority w:val="99"/>
    <w:pPr>
      <w:autoSpaceDE w:val="0"/>
      <w:autoSpaceDN w:val="0"/>
    </w:pPr>
    <w:rPr>
      <w:rFonts w:ascii="Arial" w:hAnsi="Arial" w:cs="Arial"/>
      <w:b/>
      <w:bCs/>
      <w:szCs w:val="24"/>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szCs w:val="24"/>
    </w:rPr>
  </w:style>
  <w:style w:type="character" w:customStyle="1" w:styleId="CRRefNum">
    <w:name w:val="CR RefNum"/>
    <w:uiPriority w:val="99"/>
    <w:rPr>
      <w:vertAlign w:val="subscript"/>
    </w:rPr>
  </w:style>
  <w:style w:type="paragraph" w:customStyle="1" w:styleId="CRParaDeleted">
    <w:name w:val="CR ParaDeleted"/>
    <w:basedOn w:val="Normal"/>
    <w:next w:val="Normal"/>
    <w:uiPriority w:val="99"/>
    <w:pPr>
      <w:autoSpaceDE w:val="0"/>
      <w:autoSpaceDN w:val="0"/>
    </w:pPr>
    <w:rPr>
      <w:szCs w:val="24"/>
    </w:rPr>
  </w:style>
  <w:style w:type="character" w:customStyle="1" w:styleId="CRTextDeleted">
    <w:name w:val="CR TextDeleted"/>
    <w:uiPriority w:val="99"/>
  </w:style>
  <w:style w:type="paragraph" w:customStyle="1" w:styleId="Titredumodificateur">
    <w:name w:val="Titre du modificateur"/>
    <w:basedOn w:val="Normal"/>
    <w:next w:val="Normal"/>
    <w:uiPriority w:val="99"/>
    <w:pPr>
      <w:autoSpaceDE w:val="0"/>
      <w:autoSpaceDN w:val="0"/>
      <w:spacing w:before="240" w:after="60"/>
      <w:jc w:val="left"/>
    </w:pPr>
    <w:rPr>
      <w:b/>
      <w:bCs/>
      <w:szCs w:val="24"/>
    </w:rPr>
  </w:style>
  <w:style w:type="paragraph" w:customStyle="1" w:styleId="Referencedumodificateur">
    <w:name w:val="Reference du modificateur"/>
    <w:basedOn w:val="Normal"/>
    <w:next w:val="Normal"/>
    <w:uiPriority w:val="99"/>
    <w:pPr>
      <w:autoSpaceDE w:val="0"/>
      <w:autoSpaceDN w:val="0"/>
      <w:spacing w:before="0"/>
      <w:jc w:val="left"/>
    </w:pPr>
    <w:rPr>
      <w:szCs w:val="24"/>
    </w:rPr>
  </w:style>
  <w:style w:type="character" w:customStyle="1" w:styleId="CRDeleted">
    <w:name w:val="CR Deleted"/>
    <w:rPr>
      <w:dstrike/>
      <w:lang w:val="ga-IE" w:eastAsia="ga-IE"/>
    </w:rPr>
  </w:style>
  <w:style w:type="character" w:customStyle="1" w:styleId="CRRefonteDeleted">
    <w:name w:val="CR Refonte Deleted"/>
    <w:rPr>
      <w:dstrike/>
      <w:lang w:val="ga-IE" w:eastAsia="ga-IE"/>
    </w:rPr>
  </w:style>
  <w:style w:type="character" w:customStyle="1" w:styleId="CRMinorChangeDeleted">
    <w:name w:val="CR Minor Change Deleted"/>
    <w:rPr>
      <w:dstrike/>
      <w:u w:val="double"/>
      <w:lang w:val="ga-IE" w:eastAsia="ga-IE"/>
    </w:rPr>
  </w:style>
  <w:style w:type="character" w:customStyle="1" w:styleId="CRMinorChangeAdded">
    <w:name w:val="CR Minor Change Added"/>
    <w:rPr>
      <w:u w:val="double"/>
      <w:lang w:val="ga-IE" w:eastAsia="ga-IE"/>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styleId="Revision">
    <w:name w:val="Revision"/>
    <w:hidden/>
    <w:uiPriority w:val="99"/>
    <w:semiHidden/>
    <w:rPr>
      <w:rFonts w:ascii="Times New Roman" w:hAnsi="Times New Roman"/>
      <w:sz w:val="24"/>
      <w:szCs w:val="24"/>
    </w:rPr>
  </w:style>
  <w:style w:type="numbering" w:customStyle="1" w:styleId="NoList1">
    <w:name w:val="No List1"/>
    <w:next w:val="NoList"/>
    <w:uiPriority w:val="99"/>
    <w:semiHidden/>
    <w:unhideWhenUsed/>
  </w:style>
  <w:style w:type="paragraph" w:customStyle="1" w:styleId="ListDash1">
    <w:name w:val="List Dash 1"/>
    <w:basedOn w:val="Normal"/>
    <w:pPr>
      <w:numPr>
        <w:numId w:val="10"/>
      </w:numPr>
      <w:tabs>
        <w:tab w:val="clear" w:pos="1134"/>
        <w:tab w:val="num" w:pos="1417"/>
      </w:tabs>
      <w:ind w:left="1417" w:hanging="567"/>
    </w:pPr>
  </w:style>
  <w:style w:type="paragraph" w:customStyle="1" w:styleId="ListDash2">
    <w:name w:val="List Dash 2"/>
    <w:basedOn w:val="Normal"/>
    <w:pPr>
      <w:numPr>
        <w:numId w:val="11"/>
      </w:numPr>
      <w:tabs>
        <w:tab w:val="clear" w:pos="1134"/>
        <w:tab w:val="num" w:pos="1984"/>
      </w:tabs>
      <w:ind w:left="1984" w:hanging="567"/>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hAnsi="Times New Roman" w:cs="Times New Roman"/>
      <w:sz w:val="24"/>
      <w:lang w:val="ga-IE"/>
    </w:rPr>
  </w:style>
  <w:style w:type="character" w:customStyle="1" w:styleId="FooterSensitivityChar">
    <w:name w:val="Footer Sensitivity Char"/>
    <w:rPr>
      <w:rFonts w:ascii="Times New Roman" w:eastAsia="Calibri" w:hAnsi="Times New Roman"/>
      <w:b/>
      <w:sz w:val="32"/>
      <w:szCs w:val="22"/>
      <w:lang w:eastAsia="ga-I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rFonts w:ascii="Times New Roman" w:hAnsi="Times New Roman" w:cs="Times New Roman"/>
      <w:sz w:val="24"/>
      <w:lang w:val="ga-IE"/>
    </w:rPr>
  </w:style>
  <w:style w:type="character" w:customStyle="1" w:styleId="HeaderSensitivityChar">
    <w:name w:val="Header Sensitivity Char"/>
    <w:rPr>
      <w:rFonts w:ascii="Times New Roman" w:eastAsia="Calibri" w:hAnsi="Times New Roman"/>
      <w:b/>
      <w:sz w:val="32"/>
      <w:szCs w:val="22"/>
      <w:lang w:eastAsia="ga-I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ga-IE"/>
    </w:rPr>
  </w:style>
  <w:style w:type="character" w:styleId="EndnoteReference">
    <w:name w:val="endnote reference"/>
    <w:uiPriority w:val="99"/>
    <w:semiHidden/>
    <w:unhideWhenUsed/>
    <w:rPr>
      <w:vertAlign w:val="superscript"/>
    </w:rPr>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2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myintracomm.ec.europa.eu/budgweb/EN/bud/mff/Pages/mff-post-2020.aspx"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urostat/documents/6939681/7070380/Annualreport2018.pdf/97053a94-29eb-4e93-8883-e826426e3d55" TargetMode="External"/><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6A1ACB337097EF419828F048E067D9D0" ma:contentTypeVersion="8" ma:contentTypeDescription="Create a new document in this library." ma:contentTypeScope="" ma:versionID="913699de4daf75befea73083541c3fb8">
  <xsd:schema xmlns:xsd="http://www.w3.org/2001/XMLSchema" xmlns:xs="http://www.w3.org/2001/XMLSchema" xmlns:p="http://schemas.microsoft.com/office/2006/metadata/properties" xmlns:ns3="19a48bd3-01e5-4b0a-ab1b-5f44f21a8f26" targetNamespace="http://schemas.microsoft.com/office/2006/metadata/properties" ma:root="true" ma:fieldsID="86ea05015fc907d0770a3dd85998b828" ns3:_="">
    <xsd:import namespace="19a48bd3-01e5-4b0a-ab1b-5f44f21a8f2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48bd3-01e5-4b0a-ab1b-5f44f21a8f2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19a48bd3-01e5-4b0a-ab1b-5f44f21a8f26">EN</EC_Collab_DocumentLanguage>
    <EC_Collab_Reference xmlns="19a48bd3-01e5-4b0a-ab1b-5f44f21a8f26" xsi:nil="true"/>
    <EC_Collab_Status xmlns="19a48bd3-01e5-4b0a-ab1b-5f44f21a8f26">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D979A64-4AE3-4076-B211-52DBDA0DFAAF}">
  <ds:schemaRefs>
    <ds:schemaRef ds:uri="http://schemas.microsoft.com/sharepoint/v3/contenttype/forms"/>
  </ds:schemaRefs>
</ds:datastoreItem>
</file>

<file path=customXml/itemProps2.xml><?xml version="1.0" encoding="utf-8"?>
<ds:datastoreItem xmlns:ds="http://schemas.openxmlformats.org/officeDocument/2006/customXml" ds:itemID="{0E6956C5-40C6-45F2-A8CA-4AEAA3BDD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48bd3-01e5-4b0a-ab1b-5f44f21a8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929F1-3722-4A03-A4D9-AC202D0DA9C7}">
  <ds:schemaRefs>
    <ds:schemaRef ds:uri="http://schemas.microsoft.com/office/2006/metadata/properties"/>
    <ds:schemaRef ds:uri="http://schemas.microsoft.com/office/infopath/2007/PartnerControls"/>
    <ds:schemaRef ds:uri="19a48bd3-01e5-4b0a-ab1b-5f44f21a8f26"/>
  </ds:schemaRefs>
</ds:datastoreItem>
</file>

<file path=customXml/itemProps4.xml><?xml version="1.0" encoding="utf-8"?>
<ds:datastoreItem xmlns:ds="http://schemas.openxmlformats.org/officeDocument/2006/customXml" ds:itemID="{E7E7B339-8F27-4D08-AFF4-81738AE9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16</Pages>
  <Words>10215</Words>
  <Characters>57412</Characters>
  <Application>Microsoft Office Word</Application>
  <DocSecurity>0</DocSecurity>
  <Lines>1640</Lines>
  <Paragraphs>845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dcterms:created xsi:type="dcterms:W3CDTF">2019-07-09T12:19:00Z</dcterms:created>
  <dcterms:modified xsi:type="dcterms:W3CDTF">2019-07-10T11:12:00Z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ContentTypeId">
    <vt:lpwstr>0x010100258AA79CEB83498886A3A08681123250006A1ACB337097EF419828F048E067D9D0</vt:lpwstr>
  </property>
  <property fmtid="{D5CDD505-2E9C-101B-9397-08002B2CF9AE}" pid="11" name="DQCStatus">
    <vt:lpwstr>Green (DQC version 03)</vt:lpwstr>
  </property>
</Properties>
</file>