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DF08365A-570C-4221-B2F8-61319C3996F0" style="width:450.15pt;height:334.3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1" w:name="_GoBack"/>
      <w:bookmarkEnd w:id="1"/>
      <w:r>
        <w:rPr>
          <w:noProof/>
        </w:rPr>
        <w:lastRenderedPageBreak/>
        <w:t>KOMUNIKAZZJONI TAL-KUMMISSJONI KOMUNIKAZZJONI MILL-KUMMISSJONI LILL-PARLAMENT EWROPEW, LILL-KUNSILL EWROPEW, LILL-KUNSILL U LILL-BANK ĊENTRALI EWROPEW</w:t>
      </w:r>
    </w:p>
    <w:p>
      <w:pPr>
        <w:pStyle w:val="Titreobjet"/>
        <w:rPr>
          <w:noProof/>
        </w:rPr>
      </w:pPr>
      <w:r>
        <w:rPr>
          <w:noProof/>
        </w:rPr>
        <w:t>Ir-Raba’ Rapport tal-Progress dwar it-tnaqqis tas-self improduttiv u iktar tnaqqis tar-riskju fl-Unjoni Bankarja</w:t>
      </w:r>
    </w:p>
    <w:p>
      <w:pPr>
        <w:jc w:val="center"/>
        <w:rPr>
          <w:noProof/>
          <w:lang w:eastAsia="en-US"/>
        </w:rPr>
      </w:pPr>
    </w:p>
    <w:p>
      <w:pPr>
        <w:pStyle w:val="Heading1"/>
        <w:numPr>
          <w:ilvl w:val="0"/>
          <w:numId w:val="0"/>
        </w:numPr>
        <w:spacing w:before="360"/>
        <w:rPr>
          <w:rFonts w:ascii="Times New Roman" w:hAnsi="Times New Roman"/>
          <w:noProof/>
          <w:szCs w:val="24"/>
        </w:rPr>
      </w:pPr>
      <w:r>
        <w:rPr>
          <w:noProof/>
        </w:rPr>
        <w:t>Introduzzjoni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Unjoni Bankarja kompluta hija essenzjali biex jiġi żgurat li l-Unjoni Ekonomika u Monetarja ssir iktar reżiljenti għal skossi ekonomiċi negattivi fil-ġejjieni billi jkun possibbli li r-riskji jinqasmu iktar b’mod transfruntier. Kif ġie spjegat fil-Komunikazzjoni “L-Approfondiment tal-Unjoni Ekonomika u Monetarja tal-Ewropa: is-sitwazzjoni erba’ snin wara r-Rapport tal-Ħames Presidenti”, it-tlestija tal-Unjoni Bankarja tkun ta’ spinta sinifikanti għall-kunfidenza fis-settur bankarju u b’mod iktar wiesa’ fl-Unjoni Ekonomika u Monetarja. 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Sabiex ikun possibbli li jsir tali progress, l-Unjoni u l-Istati Membri tagħha għamlu sforzi sinifikanti biex jitnaqqsu r-riskji. Kif ġie elaborat f’dan ir-rapport tal-progress, dan ħalla l-frott. Dan ir-rapport tal-progress juri l-miżuri determinati meħuda fl-aħħar snin biex tiġi indirizzata l-isfida ta’ self improduttiv (NPLs, non-performing loans), wieħed mill-oqsma ewlenin għat-tnaqqis tar-riskju fis-settur bankarju Ewropew. Minħabba diversi raġunijiet, inkluż il-kriżi finanzjarja u r-reċessjonijiet sussegwenti, iżda wkoll minħabba t-tislif imprudenti u valutazzjoni inadegwata tal-affidabbiltà kreditizja, ħafna mutwatarji (persuni kif ukoll kumpaniji), partikolarment fl-Istati Membri li ffaċċjaw reċessjonijiet twal jew profondi, ma kinux kapaċi jħallsu lura s-self tagħhom u wħud minnhom saħansitra fallew. B’konsegwenza ta’ dan, ħafna banek kellhom akkumulazzjoni ta’ NPLs fuq il-karti tal-bilanċ tagħhom.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L-isforzi li saru matul dawn l-aħħar snin u l-frott li ħallew (u li se jkomplu jħallu) għandhom l-għeruq tagħhom fil-ġabra komprensiva ta’ miżuri deskritti fil-“Pjan ta’ Azzjoni biex jiġu indirizzati l-NPLs fl-Ewropa” tal-Kunsill ECOFIN</w:t>
      </w:r>
      <w:r>
        <w:rPr>
          <w:rFonts w:ascii="Times New Roman" w:eastAsia="Times New Roman" w:hAnsi="Times New Roman"/>
          <w:noProof/>
          <w:sz w:val="24"/>
          <w:szCs w:val="24"/>
          <w:vertAlign w:val="superscript"/>
          <w:lang w:eastAsia="en-US"/>
        </w:rPr>
        <w:footnoteReference w:id="2"/>
      </w:r>
      <w:r>
        <w:rPr>
          <w:rFonts w:ascii="Times New Roman" w:hAnsi="Times New Roman"/>
          <w:noProof/>
          <w:sz w:val="24"/>
          <w:szCs w:val="24"/>
        </w:rPr>
        <w:t>. L-implimentazzjoni ta’ dan il-Pjan ta’ Azzjoni kważi waslet fi tmiemha. Bi tweġiba għal dan il-Pjan ta’ Azzjoni u lil hinn mill-Pjan Direzzjonali tal-Kunsill tal-2016, il-Kummissjoni ppreżentat pakkett komprensiv u ddedikat ta’ miżuri f’Marzu 2018 biex tkompli tnaqqas l-NPLs. Il-Kunsill qabel ukoll li jerġa’ lura għall-kwistjoni tal-NPLs fuq bażi regolari u li jivvaluta l-progress li jkun sar fuq il-bażi ta’ rendikont mill-Kummissjoni. Din il-Komunikazzjoni hija r-raba’ rapport tal-progress tal-Kummissjoni f’dan il-kuntest. Għaldaqstant isservi ta’ kontribuzzjoni għall-Kunsill Ewropew f’Ġunju, li se jiddiskuti l-Aġenda Strateġika tal-UE għall-perjodu 2019–2024, inkluż l-Unjoni Ekonomika u Monetarja.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Saru passi importanti biex jitnaqqas l-istokk eżistenti ta’ NPLs u għall-prevenzjoni ta’ akkumulazzjoni ġdida fil-futur. Filwaqt li l-istokks ta’ NPLs għadhom għoljin f’xi Stati Membri, jenħtieġ li jiġi enfasizzat li qed isir progress biex jiġu indirizzati. Huwa kruċjali li l-partijiet ikkonċernati rilevanti kollha jibqgħu jagħmlu dan l-isforz biex il-kwistjoni tiġi kompletament solvuta maż-żmien.</w:t>
      </w:r>
    </w:p>
    <w:p>
      <w:pPr>
        <w:pStyle w:val="Heading1"/>
        <w:spacing w:before="360" w:after="240"/>
        <w:ind w:left="714" w:hanging="357"/>
        <w:rPr>
          <w:noProof/>
        </w:rPr>
      </w:pPr>
      <w:r>
        <w:rPr>
          <w:noProof/>
        </w:rPr>
        <w:t>Il-kuntest usa’: tnaqqis tar-riskju fl-Unjoni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Matul l-aħħar għaxar snin, l-Unjoni u l-Istati Membri tagħha għamlu sforzi sostanzjali biex jitnaqqas ir-riskju fis-settur bankarju</w:t>
      </w:r>
      <w:r>
        <w:rPr>
          <w:rFonts w:ascii="Times New Roman" w:eastAsia="Times New Roman" w:hAnsi="Times New Roman"/>
          <w:noProof/>
          <w:sz w:val="24"/>
          <w:szCs w:val="24"/>
          <w:vertAlign w:val="superscript"/>
          <w:lang w:eastAsia="en-US"/>
        </w:rPr>
        <w:footnoteReference w:id="3"/>
      </w:r>
      <w:r>
        <w:rPr>
          <w:rFonts w:ascii="Times New Roman" w:hAnsi="Times New Roman"/>
          <w:noProof/>
          <w:sz w:val="24"/>
          <w:szCs w:val="24"/>
        </w:rPr>
        <w:t>. Wara l-kriżi finanzjarja ġew introdotti firxa wiesgħa ta’ miżuri li: (1) saħħew is-solvenza, l-ingranaġġ u l-pożizzjonijiet tal-likwidità tal-banek b’modi sinifikanti u prattiċi; (2) tejbu b’mod sostanzjali l-governanza fis-settur bankarju u s-superviżjoni tas-settur; u (3) tejbu b’mod sinifikanti r-riżolvibbiltà tal-banek. Il-medja tal-proporzjonijiet tal-kapital ta’ Grad 1</w:t>
      </w:r>
      <w:r>
        <w:rPr>
          <w:rStyle w:val="FootnoteReference"/>
          <w:rFonts w:ascii="Times New Roman" w:eastAsia="Times New Roman" w:hAnsi="Times New Roman"/>
          <w:noProof/>
          <w:sz w:val="24"/>
          <w:szCs w:val="24"/>
          <w:lang w:eastAsia="en-US"/>
        </w:rPr>
        <w:footnoteReference w:id="4"/>
      </w:r>
      <w:r>
        <w:rPr>
          <w:rFonts w:ascii="Times New Roman" w:hAnsi="Times New Roman"/>
          <w:noProof/>
          <w:sz w:val="24"/>
          <w:szCs w:val="24"/>
        </w:rPr>
        <w:t xml:space="preserve"> tal-banek taż-żona tal-euro sorveljati direttament mill-Mekkaniżmu Superviżorju Uniku baqgħu stabbli, u kienu jammontaw għal 15,54 % fi Q4-2018 meta mqabbla ma’ 15,63 % fi Q4-2017</w:t>
      </w:r>
      <w:r>
        <w:rPr>
          <w:rStyle w:val="FootnoteReference"/>
          <w:rFonts w:ascii="Times New Roman" w:eastAsia="Times New Roman" w:hAnsi="Times New Roman"/>
          <w:noProof/>
          <w:sz w:val="24"/>
          <w:szCs w:val="24"/>
          <w:lang w:eastAsia="en-US"/>
        </w:rPr>
        <w:footnoteReference w:id="5"/>
      </w:r>
      <w:r>
        <w:rPr>
          <w:rFonts w:ascii="Times New Roman" w:hAnsi="Times New Roman"/>
          <w:noProof/>
          <w:sz w:val="24"/>
          <w:szCs w:val="24"/>
        </w:rPr>
        <w:t>. Dan it-tisħiħ tal-pożizzjonijiet kapitali huwa rifless ukoll fil-proporzjonijiet ta’ ingranaġġ ogħla. Il-proporzjon ta’ ingranaġġ medju</w:t>
      </w:r>
      <w:r>
        <w:rPr>
          <w:rFonts w:ascii="Times New Roman" w:eastAsia="Times New Roman" w:hAnsi="Times New Roman"/>
          <w:noProof/>
          <w:sz w:val="24"/>
          <w:szCs w:val="24"/>
          <w:vertAlign w:val="superscript"/>
          <w:lang w:eastAsia="en-US"/>
        </w:rPr>
        <w:footnoteReference w:id="6"/>
      </w:r>
      <w:r>
        <w:rPr>
          <w:rFonts w:ascii="Times New Roman" w:hAnsi="Times New Roman"/>
          <w:noProof/>
          <w:sz w:val="24"/>
          <w:szCs w:val="24"/>
        </w:rPr>
        <w:t xml:space="preserve"> għadu ogħla sew mir-rekwiżit ta’ 3 %, b’5,28 % fi Q4-2018 meta mqabbel ma’ 5,41 % fi Q4-2017. Il-banek taż-żona tal-euro żammew ukoll ir-reżiljenza tagħhom għax-xokkijiet tal-likwidità, hekk kif il-proporzjon tal-kopertura tal-likwidità għadu għoli b’145,61 % fi Q4-2018, meta mqabbel ma’ 143,56 % fi Q4-2017. Dan kollu jagħti xhieda tal-azzjoni determinata meħuda biex jitnaqqas ir-riskju fiż-żona tal-euro.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Kif deskritt fil-Komunikazzjoni tagħha dwar l-Unjoni Bankarja tal-2017</w:t>
      </w:r>
      <w:r>
        <w:rPr>
          <w:rStyle w:val="FootnoteReference"/>
          <w:rFonts w:ascii="Times New Roman" w:eastAsia="Times New Roman" w:hAnsi="Times New Roman"/>
          <w:noProof/>
          <w:sz w:val="24"/>
          <w:szCs w:val="24"/>
          <w:lang w:eastAsia="en-US"/>
        </w:rPr>
        <w:footnoteReference w:id="7"/>
      </w:r>
      <w:r>
        <w:rPr>
          <w:rFonts w:ascii="Times New Roman" w:hAnsi="Times New Roman"/>
          <w:noProof/>
          <w:sz w:val="24"/>
          <w:szCs w:val="24"/>
        </w:rPr>
        <w:t xml:space="preserve"> u kkonfermat mit-Tieni u mit-Tielet Rapport tal-Progress dwar it-Tnaqqis tal-NPLs</w:t>
      </w:r>
      <w:r>
        <w:rPr>
          <w:rStyle w:val="FootnoteReference"/>
          <w:rFonts w:ascii="Times New Roman" w:eastAsia="Times New Roman" w:hAnsi="Times New Roman"/>
          <w:noProof/>
          <w:sz w:val="24"/>
          <w:szCs w:val="24"/>
          <w:lang w:eastAsia="en-US"/>
        </w:rPr>
        <w:footnoteReference w:id="8"/>
      </w:r>
      <w:r>
        <w:rPr>
          <w:rFonts w:ascii="Times New Roman" w:hAnsi="Times New Roman"/>
          <w:noProof/>
          <w:sz w:val="24"/>
          <w:szCs w:val="24"/>
        </w:rPr>
        <w:t>, il-Kummissjoni ressqet iktar miżuri sostanzjali u kumplimentari biex jitnaqqsu r-riskji u tissaħħaħ ir-reżiljenza tas-settur bankarju Ewropew. B’mod partikolari, minbarra l-miżuri speċifiċi dwar l-NPLs, imsemmija iktar fid-dettall hawn taħt, bħala parti mill-isforzi tal-Kummissjoni f’dawn l-aħħar xhur ġew stabbiliti xi stadji ewlenin:</w:t>
      </w:r>
    </w:p>
    <w:p>
      <w:pPr>
        <w:pStyle w:val="ListParagraph"/>
        <w:numPr>
          <w:ilvl w:val="0"/>
          <w:numId w:val="42"/>
        </w:numPr>
        <w:spacing w:after="240"/>
        <w:jc w:val="both"/>
        <w:rPr>
          <w:rFonts w:eastAsia="Times New Roman"/>
          <w:noProof/>
        </w:rPr>
      </w:pPr>
      <w:r>
        <w:rPr>
          <w:noProof/>
        </w:rPr>
        <w:t>L-ewwel nett, il-Parlament Ewropew u l-Kunsill qablu fuq il-“pakkett bankarju”, li bih effettivament jinħoloq qafas iktar robust għar-regolazzjoni u għas-superviżjoni tal-banek</w:t>
      </w:r>
      <w:r>
        <w:rPr>
          <w:noProof/>
          <w:vertAlign w:val="superscript"/>
          <w:lang w:eastAsia="en-US"/>
        </w:rPr>
        <w:footnoteReference w:id="9"/>
      </w:r>
      <w:r>
        <w:rPr>
          <w:noProof/>
        </w:rPr>
        <w:t>. Dan huwa pass importanti fl-implimentazzjoni tal-istandards internazzjonali, u fit-tlestija tal-aġenda regolatorja ta’ wara l-kriżi. Dan iżid ir-reżiljenza tal-banek tal-UE u jtejjeb il-kapaċità ta’ self tagħhom għas-sostenn tal-ekonomija reali tal-UE; u</w:t>
      </w:r>
    </w:p>
    <w:p>
      <w:pPr>
        <w:pStyle w:val="ListParagraph"/>
        <w:numPr>
          <w:ilvl w:val="0"/>
          <w:numId w:val="42"/>
        </w:numPr>
        <w:spacing w:after="240"/>
        <w:jc w:val="both"/>
        <w:rPr>
          <w:rFonts w:eastAsia="Times New Roman"/>
          <w:noProof/>
        </w:rPr>
      </w:pPr>
      <w:r>
        <w:rPr>
          <w:noProof/>
        </w:rPr>
        <w:t>It-tieni nett, il-koleġiżlaturi qablu fuq id-Direttiva dwar oqfsa ta’ ristrutturar preventiv u tat-tieni opportunità, kif ukoll miżuri sabiex tiżdied l-effiċjenza tal-proċeduri tar-ristrutturar, tal-insolvenza u tal-ħelsien mid-dejn, li hija bbażata fuq sistemi li diġà jaħdmu tajjeb fl-Istati Membri</w:t>
      </w:r>
      <w:r>
        <w:rPr>
          <w:noProof/>
          <w:vertAlign w:val="superscript"/>
          <w:lang w:eastAsia="en-US"/>
        </w:rPr>
        <w:footnoteReference w:id="10"/>
      </w:r>
      <w:r>
        <w:rPr>
          <w:noProof/>
        </w:rPr>
        <w:t>. Din se tinkoraġġixxi negozji vijabbli biex jirristrutturaw kmieni fl-interess tal-preservazzjoni tal-valur u biex jiġu salvati kemm jista’ jkun postijiet tax-xogħol. Din se tagħti wkoll ċans ieħor lill-intraprendituri onesti biex jibdew negozju ġdid minflok ma jiġu penalizzati għal falliment tan-negozju. Dan ifisser li ttieħed pass kruċjali, peress li regoli effettivi dwar ir-ristrutturar u l-insolvenza huma essenzjali għall-prevenzjoni u għat-tnaqqis tal-NPLs.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Il-Kummissjoni tilqa’ l-adozzjoni ta’ dawn iż-żewġ proposti u titlob l-implimentazzjoni f’waqtha tagħhom.</w:t>
      </w:r>
    </w:p>
    <w:p>
      <w:pPr>
        <w:pStyle w:val="Heading1"/>
        <w:spacing w:before="360" w:after="240"/>
        <w:ind w:left="714" w:hanging="357"/>
        <w:rPr>
          <w:noProof/>
        </w:rPr>
      </w:pPr>
      <w:r>
        <w:rPr>
          <w:noProof/>
        </w:rPr>
        <w:t>Żviluppi reċenti tas-self improduttiv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Il-proporzjonijiet tas-self improduttiv komplew jonqsu fit-tielet trimestru tal-2018. L-aħħar ċifri juru li l-proporzjon tas-self improduttiv gross għall-banek kollha tal-UE kompla jonqos għal 3,3 % (Q3-2018), bi tnaqqis ta’ madwar 1,1 punt perċentwali minn sena għal sena (ara l-Figura 1). Dan segwa u kkonferma x-xejra ġenerali negattiva sa minn Q4</w:t>
      </w:r>
      <w:r>
        <w:rPr>
          <w:rFonts w:ascii="Times New Roman" w:hAnsi="Times New Roman"/>
          <w:noProof/>
          <w:sz w:val="24"/>
          <w:szCs w:val="24"/>
        </w:rPr>
        <w:noBreakHyphen/>
        <w:t>2014. Għaldaqstant, bħala medja fl-UE l-proporzjon tas-self improduttiv qed jilħaq il-livell ta’ qabel il-kriżi (ara l-Figura 2). Il-proporzjon tal-proviżjonament</w:t>
      </w:r>
      <w:r>
        <w:rPr>
          <w:rStyle w:val="FootnoteReference"/>
          <w:rFonts w:ascii="Times New Roman" w:eastAsia="Times New Roman" w:hAnsi="Times New Roman"/>
          <w:noProof/>
          <w:sz w:val="24"/>
          <w:szCs w:val="24"/>
          <w:lang w:eastAsia="en-US"/>
        </w:rPr>
        <w:footnoteReference w:id="11"/>
      </w:r>
      <w:r>
        <w:rPr>
          <w:rFonts w:ascii="Times New Roman" w:hAnsi="Times New Roman"/>
          <w:noProof/>
          <w:sz w:val="24"/>
          <w:szCs w:val="24"/>
        </w:rPr>
        <w:t xml:space="preserve"> ukoll kompla jiżdied u kien 59,4 % (Q3</w:t>
      </w:r>
      <w:r>
        <w:rPr>
          <w:rFonts w:ascii="Times New Roman" w:hAnsi="Times New Roman"/>
          <w:noProof/>
          <w:sz w:val="24"/>
          <w:szCs w:val="24"/>
        </w:rPr>
        <w:noBreakHyphen/>
        <w:t>2018).</w:t>
      </w:r>
    </w:p>
    <w:p>
      <w:pPr>
        <w:keepNext/>
        <w:jc w:val="both"/>
        <w:rPr>
          <w:rFonts w:ascii="Times New Roman" w:hAnsi="Times New Roman"/>
          <w:b/>
          <w:noProof/>
          <w:sz w:val="20"/>
        </w:rPr>
      </w:pPr>
      <w:r>
        <w:rPr>
          <w:rFonts w:ascii="Times New Roman" w:hAnsi="Times New Roman"/>
          <w:b/>
          <w:noProof/>
          <w:sz w:val="20"/>
        </w:rPr>
        <w:t>Figuri 1 u 2: il-proporzjon tas-self improduttiv fl-Unjoni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noProof/>
          <w:lang w:val="en-GB"/>
        </w:rPr>
        <w:drawing>
          <wp:inline distT="0" distB="0" distL="0" distR="0">
            <wp:extent cx="5652770" cy="2592005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52770" cy="259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Iċ-ċifri trimestrali l-iktar reċenti wrew li l-proporzjonijiet tas-self improduttiv komplew neżlin fi kważi l-Istati Membri kollha. Madankollu, is-sitwazzjoni għadha tvarja b’mod sinifikanti bejn l-Istati Membri (ara t-Tabella 2). Fi tmiem Q3-2018, il-banek f’14-il Stat Membru kellhom proporzjonijiet tas-self improduttiv pjuttost baxxi ta’ inqas minn 3 %, filwaqt li wħud minnhom kellhom proporzjonijiet ogħla b’mod konsiderevoli – tliet Stati Membri kellhom proporzjon ta’ iktar minn 10 %</w:t>
      </w:r>
      <w:r>
        <w:rPr>
          <w:rStyle w:val="FootnoteReference"/>
          <w:rFonts w:ascii="Times New Roman" w:eastAsia="Times New Roman" w:hAnsi="Times New Roman"/>
          <w:noProof/>
          <w:sz w:val="24"/>
          <w:szCs w:val="24"/>
          <w:lang w:eastAsia="en-US"/>
        </w:rPr>
        <w:footnoteReference w:id="12"/>
      </w:r>
      <w:r>
        <w:rPr>
          <w:rFonts w:ascii="Times New Roman" w:hAnsi="Times New Roman"/>
          <w:noProof/>
          <w:sz w:val="24"/>
          <w:szCs w:val="24"/>
        </w:rPr>
        <w:t>. Anki fl-Istati Membri li għandhom proporzjonijiet tas-self improduttiv relattivament għoljin, fil-biċċa l-kbira tal-każijiet qed isir progress inkoraġġanti u sostnut minħabba taħlita ta’ azzjonijiet ta’ politika u tkabbir ekonomiku.</w:t>
      </w:r>
    </w:p>
    <w:p>
      <w:pPr>
        <w:pStyle w:val="Heading1"/>
        <w:numPr>
          <w:ilvl w:val="0"/>
          <w:numId w:val="0"/>
        </w:numPr>
        <w:spacing w:before="120" w:after="60"/>
        <w:ind w:hanging="1021"/>
        <w:rPr>
          <w:noProof/>
          <w:sz w:val="20"/>
          <w:szCs w:val="20"/>
        </w:rPr>
      </w:pPr>
      <w:r>
        <w:rPr>
          <w:rFonts w:ascii="Times New Roman" w:hAnsi="Times New Roman"/>
          <w:bCs w:val="0"/>
          <w:smallCaps w:val="0"/>
          <w:noProof/>
          <w:sz w:val="20"/>
          <w:szCs w:val="20"/>
        </w:rPr>
        <w:t xml:space="preserve">                     Tabella 2: self improduttiv u provvedimenti skont l-Istati Membri</w:t>
      </w:r>
      <w:r>
        <w:rPr>
          <w:rFonts w:ascii="Times New Roman" w:hAnsi="Times New Roman"/>
          <w:bCs w:val="0"/>
          <w:smallCaps w:val="0"/>
          <w:noProof/>
          <w:sz w:val="20"/>
          <w:szCs w:val="20"/>
          <w:vertAlign w:val="superscript"/>
          <w:lang w:eastAsia="en-US"/>
        </w:rPr>
        <w:footnoteReference w:id="13"/>
      </w:r>
      <w:r>
        <w:rPr>
          <w:noProof/>
          <w:lang w:val="en-GB"/>
        </w:rPr>
        <w:drawing>
          <wp:inline distT="0" distB="0" distL="0" distR="0">
            <wp:extent cx="5245908" cy="6346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45908" cy="63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rPr>
          <w:rFonts w:ascii="Times New Roman" w:eastAsia="Times New Roman" w:hAnsi="Times New Roman"/>
          <w:i/>
          <w:noProof/>
          <w:sz w:val="18"/>
          <w:szCs w:val="24"/>
        </w:rPr>
      </w:pPr>
      <w:r>
        <w:rPr>
          <w:rFonts w:ascii="Times New Roman" w:hAnsi="Times New Roman"/>
          <w:i/>
          <w:noProof/>
          <w:sz w:val="18"/>
          <w:szCs w:val="24"/>
        </w:rPr>
        <w:t xml:space="preserve"> </w:t>
      </w:r>
    </w:p>
    <w:p>
      <w:pPr>
        <w:spacing w:before="60" w:after="300"/>
        <w:rPr>
          <w:rFonts w:ascii="Times New Roman" w:eastAsia="Times New Roman" w:hAnsi="Times New Roman"/>
          <w:noProof/>
          <w:sz w:val="18"/>
          <w:szCs w:val="24"/>
        </w:rPr>
      </w:pPr>
      <w:r>
        <w:rPr>
          <w:rFonts w:ascii="Times New Roman" w:hAnsi="Times New Roman"/>
          <w:noProof/>
          <w:sz w:val="18"/>
          <w:szCs w:val="24"/>
        </w:rPr>
        <w:t>Sors:</w:t>
      </w:r>
      <w:r>
        <w:rPr>
          <w:rFonts w:ascii="Times New Roman" w:hAnsi="Times New Roman"/>
          <w:i/>
          <w:noProof/>
          <w:sz w:val="18"/>
          <w:szCs w:val="24"/>
        </w:rPr>
        <w:t xml:space="preserve"> </w:t>
      </w:r>
      <w:r>
        <w:rPr>
          <w:rFonts w:ascii="Times New Roman" w:hAnsi="Times New Roman"/>
          <w:noProof/>
          <w:sz w:val="18"/>
          <w:szCs w:val="24"/>
        </w:rPr>
        <w:t xml:space="preserve">il-Bank Ċentrali Ewropew, </w:t>
      </w:r>
      <w:r>
        <w:rPr>
          <w:rFonts w:ascii="Times New Roman" w:hAnsi="Times New Roman"/>
          <w:i/>
          <w:noProof/>
          <w:sz w:val="18"/>
          <w:szCs w:val="24"/>
        </w:rPr>
        <w:t>Data</w:t>
      </w:r>
      <w:r>
        <w:rPr>
          <w:rFonts w:ascii="Times New Roman" w:hAnsi="Times New Roman"/>
          <w:noProof/>
          <w:sz w:val="18"/>
          <w:szCs w:val="24"/>
        </w:rPr>
        <w:t xml:space="preserve"> Bankarja Konsolidata. Kalkoli mis-servizzi tal-Kummissjoni (DĠ FISMA).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Azzjoni determinata mill-banek u minn dawk li jfasslu l-politika, partikolarment fl-Istati Membri b’livelli ta’ NPLs relattivament għoljin, iffaċilitat dan it-tnaqqis fl-NPLs u fil-proporzjonijiet tal-NPLs. Barra minn hekk, il-Kummissjoni kompliet taħdem b’mod kostruttiv mal-Istati Membri, biex fil-qafas tar-regoli tal-UE dwar l-għajnuna mill-Istat u l-banek ikunu possibbli soluzzjonijiet adattati għall-banek individwali, bl-objettiv ċar li jiġu limitati l-ispejjeż għall-kontribwenti filwaqt li jiġi żgurat li d-depożituri jibqgħu kompletament protetti f’kull ħin. B’dan il-mod saru possibbli tranżazzjonijiet li neħħew madwar EUR 112-il biljun ta’ NPLs grossi mill-karti tal-bilanċ tal-banek matul l-aħħar tliet snin (inklużi madwar EUR 82 miljun fl-Italja; madwar EUR 24 biljun fil-Portugall; madwar EUR 6 biljun f’Ċipru).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Madankollu, jenħtieġ li l-Unjoni u l-Istati Membri tagħha jibqgħu kostanti fl-isforzi tagħhom. Jenħtieġ li nkunu konxji tal-effetti potenzjali ta’ tnaqqis fir-ritmu ekonomiku. L-indirizzar tal-NPLs f’dawn l-aħħar snin irċieva spinta siewja minn ċirkostanzi ekonomiċi b’saħħithom. Jekk nibqgħu nagħmlu sforzi kollettivi, ikun possibbli li l-NPLs jiġu indirizzati bil-manjiera l-iktar deċiżiva possibbli, u b’hekk tiżdied ir-reżiljenza tagħna għal xokkijiet negattivi potenzjali fil-futur.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Il-varjazzjoni fil-proporzjonijiet tal-NPLs fost l-Istati Membri tirrifletti impatt asimetriku persistenti tal-kriżi finanzjarja. Minkejja l-progress inkoraġġanti ġenerali, l-NPLs għadhom jippreżentaw riskju (għalkemm qed jonqos) għall-vijabbiltà tal-banek l-iktar milquta kif ukoll għat-tkabbir ekonomiku u għall-istabbiltà finanzjarja f’xi Stati Membri. Billi jkomplu jitnaqqsu l-NPLs tkun tista’ tinkiseb iktar konverġenza fost l-Istati Membri. Il-volum totali ta’ NPLs fl-Unjoni issa jammonta għal EUR 786 biljun</w:t>
      </w:r>
      <w:r>
        <w:rPr>
          <w:rFonts w:ascii="Times New Roman" w:eastAsia="Times New Roman" w:hAnsi="Times New Roman"/>
          <w:noProof/>
          <w:sz w:val="24"/>
          <w:szCs w:val="24"/>
          <w:vertAlign w:val="superscript"/>
          <w:lang w:eastAsia="en-US"/>
        </w:rPr>
        <w:footnoteReference w:id="14"/>
      </w:r>
      <w:r>
        <w:rPr>
          <w:rFonts w:ascii="Times New Roman" w:hAnsi="Times New Roman"/>
          <w:noProof/>
          <w:sz w:val="24"/>
          <w:szCs w:val="24"/>
        </w:rPr>
        <w:t>. Jenħtieġ li tingħata attenzjoni kontinwa lill-proċessi tar-ristrutturar tad-dejn, tal-insolvenza u tal-irkupru tad-dejn, li f’ħafna każijiet jistgħu jibbenefikaw b’mod sinifikanti minn riformi addizzjonali. Oqfsa tal-eżekuzzjoni u tal-insolvenza effiċjenti u prevedibbli huma kruċjali biex il-banek jingħataw appoġġ fl-indirizzar tal-istokks tagħhom ta’ NPLs u biex tiġi evitata l-akkumulazzjoni tagħhom fil-futur. Jekk din il-kwistjoni importanti tiġi indirizzata b’mod effettiv, dan ikun iservi ta’ impuls b’saħħtu għal iktar tnaqqis fl-NPLs. L-armonizzazzjoni tal-leġiżlazzjoni f’dan il-qasam hija sfida minħabba r-rabtiet mill-qrib ma’ diversi oqsma tal-liġi li jaqgħu taħt il-ġuriżdizzjoni nazzjonali, kif ukoll ma’ għażliet tal-politika pubblika li jmorru lil hinn mill-kwistjoni tal-NPLs.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It-tkabbir sostenibbli tas-swieq sekondarji għall-NPLs huwa fattur essenzjali bl-istess mod. Jenħtieġ li l-isforzi kollettivi mill-Istati Membri u mill-awtoritajiet tal-UE ma jinsewx il-potenzjal li għadu mhux sfruttat ta’ suq sekondarju li jiffunzjona tajjeb, mhux biss biex jiġu indirizzati l-istokks attwali ta’ NPLs imma wkoll biex ikun ipprovdut żbokk għall-flussi futuri, peress li tali suq jista’ jikkontribwixxi b’mod deċiżiv biex jipprevjeni akkumulazzjoni ġdida ta’ NPLs fuq il-karti tal-bilanċ tal-banek. Jenħtieġ li l-miżuri politiċi rilevanti (ara wkoll hawn isfel) ikunu mmirati b’mod kontinwu lejn l-iżvilupp ulterjuri tas-suq sekondarju biex jiġi stimulat u miżmum il-momentum irreġistrat bħalissa f’diversi Stati Membri.</w:t>
      </w:r>
    </w:p>
    <w:p>
      <w:pPr>
        <w:pStyle w:val="Heading1"/>
        <w:spacing w:before="360" w:after="240"/>
        <w:ind w:left="714" w:hanging="357"/>
        <w:rPr>
          <w:noProof/>
        </w:rPr>
      </w:pPr>
      <w:r>
        <w:rPr>
          <w:noProof/>
        </w:rPr>
        <w:t xml:space="preserve">Progress fl-implimentazzjoni tal-Pjan ta’ Azzjoni tal-Kunsill 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Fil-Pjan ta’ Azzjoni tiegħu, il-Kunsill qabel li jerġa’ lura għall-kwistjoni tal-NPLs fuq bażi regolari, sabiex jieħu kont tal-evoluzzjoni tagħhom fl-Unjoni u biex jivvaluta l-progress li sar fl-implimentazzjoni tal-Pjan ta’ Azzjoni, abbażi ta’ rendikont tas-sitwazzjoni mill-Kummissjoni. It-Tabella 3 turi li saru passi importanti lejn l-implimentazzjoni sħiħa tal-Pjan ta’ Azzjoni.</w:t>
      </w:r>
    </w:p>
    <w:p>
      <w:pPr>
        <w:pStyle w:val="Heading1"/>
        <w:numPr>
          <w:ilvl w:val="0"/>
          <w:numId w:val="0"/>
        </w:numPr>
        <w:spacing w:before="120" w:after="60"/>
        <w:ind w:left="1021" w:hanging="1021"/>
        <w:rPr>
          <w:rFonts w:ascii="Times New Roman" w:hAnsi="Times New Roman"/>
          <w:bCs w:val="0"/>
          <w:smallCaps w:val="0"/>
          <w:noProof/>
          <w:sz w:val="20"/>
          <w:szCs w:val="20"/>
        </w:rPr>
      </w:pPr>
      <w:r>
        <w:rPr>
          <w:rFonts w:ascii="Times New Roman" w:hAnsi="Times New Roman"/>
          <w:bCs w:val="0"/>
          <w:smallCaps w:val="0"/>
          <w:noProof/>
          <w:sz w:val="20"/>
          <w:szCs w:val="20"/>
        </w:rPr>
        <w:t>Tabella 3: progress fl-implimentazzjoni tal-Pjan ta’ Azzjoni</w:t>
      </w:r>
    </w:p>
    <w:p>
      <w:pPr>
        <w:keepNext/>
        <w:rPr>
          <w:noProof/>
        </w:rPr>
      </w:pPr>
      <w:r>
        <w:rPr>
          <w:noProof/>
          <w:lang w:val="en-GB"/>
        </w:rPr>
        <w:drawing>
          <wp:inline distT="0" distB="0" distL="0" distR="0">
            <wp:extent cx="5652770" cy="3330603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52770" cy="333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0" w:after="240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noProof/>
          <w:lang w:val="en-GB"/>
        </w:rPr>
        <w:drawing>
          <wp:inline distT="0" distB="0" distL="0" distR="0">
            <wp:extent cx="1685925" cy="752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keepLines/>
        <w:numPr>
          <w:ilvl w:val="1"/>
          <w:numId w:val="3"/>
        </w:numPr>
        <w:spacing w:before="300" w:after="160"/>
        <w:ind w:left="993" w:hanging="567"/>
        <w:outlineLvl w:val="1"/>
        <w:rPr>
          <w:rFonts w:ascii="Times New Roman Bold" w:eastAsiaTheme="majorEastAsia" w:hAnsi="Times New Roman Bold" w:cstheme="majorBidi" w:hint="eastAsia"/>
          <w:b/>
          <w:bCs/>
          <w:smallCaps/>
          <w:noProof/>
          <w:sz w:val="26"/>
          <w:szCs w:val="26"/>
        </w:rPr>
      </w:pPr>
      <w:r>
        <w:rPr>
          <w:rFonts w:ascii="Times New Roman Bold" w:hAnsi="Times New Roman Bold"/>
          <w:b/>
          <w:bCs/>
          <w:smallCaps/>
          <w:noProof/>
          <w:sz w:val="26"/>
          <w:szCs w:val="26"/>
        </w:rPr>
        <w:t>Kopertura suffiċjenti mill-banek għat-telf mis-self, għal NPLs futuri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Bħala parti mill-pakkett tal-proposti tagħha dwar l-NPLs, ippreżentat f’Marzu 2018, il-Kummissjoni pproponiet Regolament li jemenda r-Regolament dwar ir-Rekwiżiti ta’ Kapital (“CRR”)</w:t>
      </w:r>
      <w:r>
        <w:rPr>
          <w:rFonts w:ascii="Times New Roman" w:eastAsia="Times New Roman" w:hAnsi="Times New Roman"/>
          <w:noProof/>
          <w:sz w:val="24"/>
          <w:szCs w:val="24"/>
          <w:vertAlign w:val="superscript"/>
          <w:lang w:eastAsia="en-US"/>
        </w:rPr>
        <w:footnoteReference w:id="15"/>
      </w:r>
      <w:r>
        <w:rPr>
          <w:rFonts w:ascii="Times New Roman" w:hAnsi="Times New Roman"/>
          <w:noProof/>
          <w:sz w:val="24"/>
          <w:szCs w:val="24"/>
        </w:rPr>
        <w:t>, li jintroduċi “kontinġenza prudenzjali statutorja” għall-prevenzjoni tar-riskju li ma jinħoloqx proviżjonament suffiċjenti għall-NPLs futuri. Ir-Regolament ġie adottat f’April 2019</w:t>
      </w:r>
      <w:r>
        <w:rPr>
          <w:rStyle w:val="FootnoteReference"/>
          <w:rFonts w:ascii="Times New Roman" w:eastAsia="Times New Roman" w:hAnsi="Times New Roman"/>
          <w:noProof/>
          <w:sz w:val="24"/>
          <w:szCs w:val="24"/>
          <w:lang w:eastAsia="en-US"/>
        </w:rPr>
        <w:footnoteReference w:id="16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Ir-Regolament jesiġi li l-banek ikollhom kopertura suffiċjenti għat-telf mis-self (jiġifieri livelli ta’ kopertura minimi komuni) għal selfiet maħruġa ġodda, f’każ li dawn isiru skoperturi improduttivi (NPEs, non-performing exposures).</w:t>
      </w:r>
      <w:r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Jekk bank ma jkunx jilħaq il-livell ta’ kopertura minimu applikabbli, dan ikollu jnaqqas id-defiċit mill-fondi tiegħu stess.</w:t>
      </w:r>
    </w:p>
    <w:p>
      <w:pPr>
        <w:spacing w:after="6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Skont is-soluzzjoni ta’ kontinġenza prudenzjali, ir-rekwiżit ta’ kopertura minima applikabbli jiddependi fuq żewġ varjabbli tal-input ewlenin:</w:t>
      </w:r>
    </w:p>
    <w:p>
      <w:pPr>
        <w:numPr>
          <w:ilvl w:val="0"/>
          <w:numId w:val="33"/>
        </w:numPr>
        <w:spacing w:after="6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jekk l-NPE hijiex kompletament jew parzjalment iggarantita permezz ta’ protezzjoni tal-kreditu eleġibbli (fis-sens tas-CRR); u</w:t>
      </w:r>
    </w:p>
    <w:p>
      <w:pPr>
        <w:numPr>
          <w:ilvl w:val="0"/>
          <w:numId w:val="33"/>
        </w:numPr>
        <w:spacing w:after="240"/>
        <w:ind w:left="714" w:hanging="35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l-perjodu ta’ żmien li skopertura tkun ġiet ikklassifikata bħala improduttiva għalih.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Ir-rekwiżiti ta’ kopertura għall-banek jiżdiedu b’mod progressiv sa 100 %, wara tliet snin għall-NPEs mhux iggarantiti, u wara disa’ u seba’ snin għall-NPEs iggarantiti bi proprjetà immobbli u għall-NPEs iggarantiti bi protezzjoni tal-kreditu eleġibbli oħra, rispettivament. Dan l-approċċ jirrifletti r-riskju ikbar li jirriżulta minn NPEs “qodma”, anke jekk ikunu ggarantiti: iktar ma l-NPEs idumu fuq il-karti tal-bilanċ tal-banek, dawn inqas jirnexxilhom jirkupraw flushom. L-objettiv tal-miżura huwa li tinċentiva mmaniġġjar tal-NPEs proattiv u f’waqtu min-naħa tal-banek. Dan huwa importanti billi rkupri li jirnexxu u miżuri ta’ tolleranza vijabbli normalment iseħħu matul l-ewwel snin wara li skopertura tiġi klassifikata bħala improduttiva.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Sabiex tiġi żgurata ċ-ċertezza tad-dritt u l-konsistenza fil-qafas prudenzjali, ir-Regolament qed jintroduċi wkoll definizzjoni komuni għall-“iskoperturi improduttivi” (NPE), f’konformità ma’ dik diġà użata għall-finijiet tar-rappurtar superviżorju.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Kollox ma’ kollox, is-soluzzjoni ta’ kontinġenza prudenzjali se tnaqqas ir-riskji għall-istabbiltà finanzjarja li jinħolqu minn livelli għoljin ta’ NPEs li ma jkunux koperti biżżejjed, billi tipprevjeni l-akkumulazzjoni jew iż-żieda ta’ dawn l-NPEs b’effetti spillover potenzjali, partikolarment f’kundizzjonijiet tas-suq taħt stress. Fl-istess waqt, dan jiżgura wkoll li l-istituzzjonijiet ikollhom biżżejjed kopertura għat-telf minn NPEs, u b’hekk jiġu protetti l-profittabbiltà, il-kapital u l-ispejjeż għall-finanzjament tagħhom fi żminijiet ta’ stress. Min-naħa l-oħra, dan ikun jikkontribwixxi għal possibbiltajiet tal-finanzjament stabbli u inqas proċikliċi għall-unitajiet domestiċi u għan-negozji.</w:t>
      </w:r>
    </w:p>
    <w:p>
      <w:pPr>
        <w:keepNext/>
        <w:keepLines/>
        <w:numPr>
          <w:ilvl w:val="1"/>
          <w:numId w:val="3"/>
        </w:numPr>
        <w:spacing w:before="300" w:after="160"/>
        <w:ind w:left="993" w:hanging="567"/>
        <w:outlineLvl w:val="1"/>
        <w:rPr>
          <w:rFonts w:ascii="Times New Roman Bold" w:eastAsiaTheme="majorEastAsia" w:hAnsi="Times New Roman Bold" w:cstheme="majorBidi" w:hint="eastAsia"/>
          <w:b/>
          <w:bCs/>
          <w:smallCaps/>
          <w:noProof/>
          <w:sz w:val="26"/>
          <w:szCs w:val="26"/>
        </w:rPr>
      </w:pPr>
      <w:r>
        <w:rPr>
          <w:rFonts w:ascii="Times New Roman Bold" w:hAnsi="Times New Roman Bold"/>
          <w:b/>
          <w:bCs/>
          <w:smallCaps/>
          <w:noProof/>
          <w:sz w:val="26"/>
          <w:szCs w:val="26"/>
        </w:rPr>
        <w:t>Direttiva dwar is-servizzjanti tal-kreditu, ix-xerrejja tal-kreditu u l-irkupru tal-kollateral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Bid-Direttiva proposta</w:t>
      </w:r>
      <w:r>
        <w:rPr>
          <w:rStyle w:val="FootnoteReference"/>
          <w:rFonts w:ascii="Times New Roman" w:eastAsia="Times New Roman" w:hAnsi="Times New Roman"/>
          <w:noProof/>
          <w:sz w:val="24"/>
          <w:szCs w:val="24"/>
          <w:lang w:eastAsia="en-US"/>
        </w:rPr>
        <w:footnoteReference w:id="17"/>
      </w:r>
      <w:r>
        <w:rPr>
          <w:rFonts w:ascii="Times New Roman" w:hAnsi="Times New Roman"/>
          <w:noProof/>
          <w:sz w:val="24"/>
          <w:szCs w:val="24"/>
        </w:rPr>
        <w:t xml:space="preserve">, il-banek ikunu jistgħu jittrattaw is-self li jsir improduttiv b’mod iktar effiċjenti, billi jtejbu l-kundizzjonijiet sabiex: (1) ibigħu l-kreditu lil partijiet terzi f’suq sekondarju; jew inkella (2) jużaw il-kollateral użat biex jiġi ggarantit il-kreditu. 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Wieħed mill-objettivi ċentrali tal-proposta huwa li jitrawwem l-iżvilupp tas-swieq sekondarji fejn il-banek ikunu jistgħu jbigħu l-NPLs, kemm fil-livell nazzjonali kif ukoll fl-Istati Membri, filwaqt li jinżamm livell għoli ta’ protezzjoni tal-mutwatarji. Sabiex jintlaħaq dan l-objettiv, id-Direttiva tintroduċi reġim armonizzat u inqas restrittiv għax-xerrejja u għas-servizzjanti tal-kreditu u telimina ostakli bla bżonn għal attività transfruntiera. Din tkun ta’ stimulu għall-iżvilupp ulterjuri ta’ suq sekondarju li jiffunzjona tajjeb u b’hekk tkun ta’ kontribuzzjoni importanti għat-tnaqqis tal-istokks attwali ta’ NPLs.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Sabiex jintlaħaq it-tieni objettiv ċentrali, il-Kummissjoni pproponiet mekkaniżmu supplimentari għall-irkupru extraġudizzjarju aċċellerat ta’ kollateral. B’dan il-mekkaniżmu, il-banek u l-mutwatarji kummerċjali (mhux konsumaturi) ikunu jistgħu jiftiehmu minn qabel permezz ta’ kuntratt fuq metodu ta’ rkupru rapidu tal-kollateral mill-kreditur f’każ ta’ inadempjenza tal-mutwatarju kummerċjali. Permezz ta’ dan il-mekkaniżmu jiżdiedu ċ-ċansijiet li l-kredituri ggarantiti jirkupraw il-valur, u dan għandu jevita l-akkumulazzjoni ta’ NPLs futuri. 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Iż-żewġ possibbiltajiet</w:t>
      </w:r>
      <w:r>
        <w:rPr>
          <w:rStyle w:val="FootnoteReference"/>
          <w:rFonts w:ascii="Times New Roman" w:eastAsia="Times New Roman" w:hAnsi="Times New Roman"/>
          <w:noProof/>
          <w:sz w:val="24"/>
          <w:szCs w:val="24"/>
          <w:lang w:eastAsia="en-US"/>
        </w:rPr>
        <w:footnoteReference w:id="18"/>
      </w:r>
      <w:r>
        <w:rPr>
          <w:rFonts w:ascii="Times New Roman" w:hAnsi="Times New Roman"/>
          <w:noProof/>
          <w:sz w:val="24"/>
          <w:szCs w:val="24"/>
        </w:rPr>
        <w:t>, li din id-Direttiva toffri lill-banek biex jittrattaw l-NPLs, isaħħu lil xulxin. Tul ta’ żmien iqsar ta’ ristrutturar u valuri tal-irkupru iktar għoljin iżidu l-valur tal-NPLs kif ukoll il-prezzijiet tal-offerti fi tranżazzjonijiet possibbli tal-NPLs. Ikun ukoll iktar faċli biex jingħata prezz għal NPL kollateralizzat milli għal wieħed mhux iggarantit fi swieq sekondarji minħabba li l-valur tal-kollateral jistipula l-valur minimu ta’ NPL. Għaldaqstant, din jaf tkun ukoll raġuni għalfejn ix-xerrejja tal-kreditu jippreferu NPLs li fil-każ tagħhom tkun prevista eżekuzzjoni extraġudizzjarja aċċellerata tal-kollateral. Dan imbagħad jagħti inċentivi addizzjonali lill-istituzzjonijiet ta’ kreditu biex jużaw din il-karatteristika fil-ħruġ ta’ self ġdid. Barra minn hekk, l-armonizzazzjoni miksuba bl-eżekuzzjoni extraġudizzjarja aċċellerata tal-kollateral trawwem l-iżvilupp ta’ investituri pan-Ewropej tal-NPLs, u dan ikompli jtejjeb il-likwidità fis-suq.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Filwaqt li l-Kunsill ħa approċċ ġenerali parzjali rigward is-swieq sekondarji, in-negozjati rigward l-irkupru tal-kollateral għadhom għaddejjin. Ladarba jkun ġie kkostitwit il-Parlament Ewropew il-ġdid, jenħtieġ li d-deliberazzjonijiet dwar iż-żewġ aspetti jimxu bi prijorità. Il-konklużjoni rapida ta’ dan id-dossier, li huwa parti mill-Pjan ta’ Azzjoni tal-Kunsill, hija ta’ importanza elementari sabiex l-UE jirnexxilha tindirizza b’suċċess il-kwistjoni tal-NPLs fl-Ewropa. Għaldaqstant, il-Kummissjoni tistieden lill-koleġiżlaturi biex jilħqu ftehim malajr dwar din il-proposta importanti.</w:t>
      </w:r>
    </w:p>
    <w:p>
      <w:pPr>
        <w:keepNext/>
        <w:keepLines/>
        <w:numPr>
          <w:ilvl w:val="1"/>
          <w:numId w:val="3"/>
        </w:numPr>
        <w:spacing w:before="300" w:after="160"/>
        <w:ind w:left="993" w:hanging="567"/>
        <w:outlineLvl w:val="1"/>
        <w:rPr>
          <w:rFonts w:ascii="Times New Roman Bold" w:eastAsiaTheme="majorEastAsia" w:hAnsi="Times New Roman Bold" w:cstheme="majorBidi" w:hint="eastAsia"/>
          <w:b/>
          <w:bCs/>
          <w:smallCaps/>
          <w:noProof/>
          <w:sz w:val="26"/>
          <w:szCs w:val="26"/>
        </w:rPr>
      </w:pPr>
      <w:r>
        <w:rPr>
          <w:rFonts w:ascii="Times New Roman Bold" w:hAnsi="Times New Roman Bold"/>
          <w:b/>
          <w:bCs/>
          <w:smallCaps/>
          <w:noProof/>
          <w:sz w:val="26"/>
          <w:szCs w:val="26"/>
        </w:rPr>
        <w:t>Valutazzjoni komparattiva tar-reġimi nazzjonali tal-insolvenza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L-immaniġġjar tal-NPLs jibbenefika minn oqfsa tal-infurzar tas-self u tal-insolvenza iktar effiċjenti u prevedibbli. Is-servizzi tal-Kummissjoni qegħdin għalhekk iwettqu valutazzjoni komparattiva tar-reġimi ta’ infurzar tas-self nazzjonali, li tinkludi kemm l-infurzar individwali kif ukoll proċeduri kollettivi tal-infurzar jew tal-insolvenza. L-għan huwa li tinkiseb stampa affidabbli tad-dewmien u tar-rati tal-irkupru tal-valur li jiffaċċjaw il-banek f’każ ta’ inadempjenzi tal-mutwatarji. Dawn ir-riżultati jiddependu ħafna fuq il-kapaċità ġudizzjarja fl-Istati Membri rispettivi. Il-progress dwar l-eżerċizzju ta’ valutazzjoni komparattiva ġie ppreżentat u diskuss mal-Istati Membri f’diversi laqgħat, b’tal-aħħar ikunu fit-13 ta’ Frar u fl-10 ta’ April 2019, inkluża l-kwistjoni tan-nuqqas ta’ aċċess għal </w:t>
      </w:r>
      <w:r>
        <w:rPr>
          <w:rFonts w:ascii="Times New Roman" w:hAnsi="Times New Roman"/>
          <w:i/>
          <w:noProof/>
          <w:sz w:val="24"/>
          <w:szCs w:val="24"/>
        </w:rPr>
        <w:t>data</w:t>
      </w:r>
      <w:r>
        <w:rPr>
          <w:rFonts w:ascii="Times New Roman" w:hAnsi="Times New Roman"/>
          <w:noProof/>
          <w:sz w:val="24"/>
          <w:szCs w:val="24"/>
        </w:rPr>
        <w:t xml:space="preserve"> sinifikanti. F’Jannar 2019, is-servizzi tal-Kummissjoni bagħtu Talba għal Parir lill-Awtorità Bankarja Ewropea biex tiġbor u tanalizza </w:t>
      </w:r>
      <w:r>
        <w:rPr>
          <w:rFonts w:ascii="Times New Roman" w:hAnsi="Times New Roman"/>
          <w:i/>
          <w:noProof/>
          <w:sz w:val="24"/>
          <w:szCs w:val="24"/>
        </w:rPr>
        <w:t>data</w:t>
      </w:r>
      <w:r>
        <w:rPr>
          <w:rFonts w:ascii="Times New Roman" w:hAnsi="Times New Roman"/>
          <w:noProof/>
          <w:sz w:val="24"/>
          <w:szCs w:val="24"/>
        </w:rPr>
        <w:t xml:space="preserve"> mill-banek dwar ir-rati u d-dewmien tal-irkupru fil-ġuriżdizzjonijiet differenti. Dan irid ikun ibbażat fuq </w:t>
      </w:r>
      <w:r>
        <w:rPr>
          <w:rFonts w:ascii="Times New Roman" w:hAnsi="Times New Roman"/>
          <w:i/>
          <w:noProof/>
          <w:sz w:val="24"/>
          <w:szCs w:val="24"/>
        </w:rPr>
        <w:t>data</w:t>
      </w:r>
      <w:r>
        <w:rPr>
          <w:rFonts w:ascii="Times New Roman" w:hAnsi="Times New Roman"/>
          <w:noProof/>
          <w:sz w:val="24"/>
          <w:szCs w:val="24"/>
        </w:rPr>
        <w:t xml:space="preserve"> kwalitattiva dwar il-karatteristiċi fundamentali tar-reġimi nazzjonali tal-infurzar u tal-insolvenza. Is-servizzi tal-Kummissjoni talbu lill-Istati Membri biex jipprovdu </w:t>
      </w:r>
      <w:r>
        <w:rPr>
          <w:rFonts w:ascii="Times New Roman" w:hAnsi="Times New Roman"/>
          <w:i/>
          <w:noProof/>
          <w:sz w:val="24"/>
          <w:szCs w:val="24"/>
        </w:rPr>
        <w:t>data</w:t>
      </w:r>
      <w:r>
        <w:rPr>
          <w:rFonts w:ascii="Times New Roman" w:hAnsi="Times New Roman"/>
          <w:noProof/>
          <w:sz w:val="24"/>
          <w:szCs w:val="24"/>
        </w:rPr>
        <w:t xml:space="preserve"> kwalitattiva.</w:t>
      </w:r>
    </w:p>
    <w:p>
      <w:pPr>
        <w:keepNext/>
        <w:keepLines/>
        <w:numPr>
          <w:ilvl w:val="1"/>
          <w:numId w:val="3"/>
        </w:numPr>
        <w:spacing w:before="300" w:after="160"/>
        <w:ind w:left="993" w:hanging="567"/>
        <w:outlineLvl w:val="1"/>
        <w:rPr>
          <w:rFonts w:ascii="Times New Roman Bold" w:eastAsiaTheme="majorEastAsia" w:hAnsi="Times New Roman Bold" w:cstheme="majorBidi" w:hint="eastAsia"/>
          <w:b/>
          <w:bCs/>
          <w:smallCaps/>
          <w:noProof/>
          <w:sz w:val="26"/>
          <w:szCs w:val="26"/>
        </w:rPr>
      </w:pPr>
      <w:r>
        <w:rPr>
          <w:rFonts w:ascii="Times New Roman Bold" w:hAnsi="Times New Roman Bold"/>
          <w:b/>
          <w:bCs/>
          <w:smallCaps/>
          <w:noProof/>
          <w:sz w:val="26"/>
          <w:szCs w:val="26"/>
        </w:rPr>
        <w:t>Pjan tekniku ddettaljat għal kumpaniji nazzjonali maniġerjali tal-assi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 xml:space="preserve">Bħala parti mill-pakkett tagħha tal-NPLs, il-Kummissjoni pprovdiet lill-Istati Membri Pjan Iddettaljat għall-Kumpaniji Maniġerjali tal-Assi (KMA). Dan id-dokument jagħti gwida mhux vinkolanti u prattika dwar kif jistgħu jistabbilixxu, jekk ikunu jixtiequ hekk, KMA nazzjonali, f’konformità sħiħa mal-leġiżlazzjoni tal-UE. Huwa bbażat fuq l-aħjar prattiki mill-esperjenzi tal-passat fl-Istati Membri, sa fejn applikabbli. Il-Pjan Iddettaljat elabora xi prinċipji fundamentali, bħalma huma l-perimetru tal-assi rilevanti, il-perimetru tal-parteċipazzjoni, il-kunsiderazzjonijiet dwar il-limitu tad-daqs tal-assi, ir-regoli dwar il-valwazzjoni tal-assi, l-istruttura tal-kapital xierqa, u l-governanza u l-operazzjonijiet tal-KMA. </w:t>
      </w:r>
      <w:r>
        <w:rPr>
          <w:rFonts w:ascii="Times New Roman" w:hAnsi="Times New Roman"/>
          <w:noProof/>
          <w:sz w:val="24"/>
          <w:szCs w:val="24"/>
        </w:rPr>
        <w:t>Evidentement, jaf hemm bżonn li wħud mis-suġġerimenti tal-Pjan Iddettaljat jiġu aġġustati kif xieraq skont iċ-ċirkostanzi speċifiċi għal kull pajjiż.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Il-Kummissjoni tinnota li, wara r-rilaxx ta’ dan il-Pjan Iddettaljat, sa issa l-ebda Stat Membru għadu ma nieda l-istabbiliment ta’ KMA fil-livell nazzjonali, skont kif deskritt fil-Pjan Iddettaljat. Madankollu, id-diskussjonijiet informali ma’ xi Stati Membri indikaw li dawn qed jiġu kkunsidrati bir-reqqa. Ta’ min ifakkar li KMA jista’ jkollha suċċess biss jekk tiġi sostnuta minn (1) qafas legali u amministrattiv xieraq, li pereżempju jiffaċilita l-infurzar tad-dejn u l-aċċess għall-kollateral; u (2) politiki makrofinanzjarji sodi li jappoġġjaw l-irkupru ekonomiku.</w:t>
      </w:r>
      <w:r>
        <w:rPr>
          <w:rFonts w:ascii="Times New Roman" w:hAnsi="Times New Roman"/>
          <w:iCs/>
          <w:noProof/>
          <w:sz w:val="24"/>
          <w:szCs w:val="24"/>
        </w:rPr>
        <w:t xml:space="preserve"> Barra minn hekk, huwa importanti li wieħed itenni li l-Pjan Iddettaljat jiċċara d-disinn permissibbli għall-KMA b’element ta’ għajnuna mill-Istat (li jridu jkunu soluzzjoni eċċezzjonali</w:t>
      </w:r>
      <w:r>
        <w:rPr>
          <w:rStyle w:val="FootnoteReference"/>
          <w:rFonts w:ascii="Times New Roman" w:eastAsia="Times New Roman" w:hAnsi="Times New Roman"/>
          <w:iCs/>
          <w:noProof/>
          <w:sz w:val="24"/>
          <w:szCs w:val="24"/>
          <w:lang w:eastAsia="en-US"/>
        </w:rPr>
        <w:footnoteReference w:id="19"/>
      </w:r>
      <w:r>
        <w:rPr>
          <w:rFonts w:ascii="Times New Roman" w:hAnsi="Times New Roman"/>
          <w:iCs/>
          <w:noProof/>
          <w:sz w:val="24"/>
          <w:szCs w:val="24"/>
        </w:rPr>
        <w:t>), f’konformità sħiħa mal-qafas legali tal-UE, partikolarment id-Direttiva dwar l-Irkupru u r-Riżoluzzjoni tal-Banek, ir-Regolament dwar il-Mekkaniżmu ta’ Riżoluzzjoni u r-regoli dwar l-għajnuna mill-Istat.</w:t>
      </w:r>
    </w:p>
    <w:p>
      <w:pPr>
        <w:keepNext/>
        <w:keepLines/>
        <w:numPr>
          <w:ilvl w:val="1"/>
          <w:numId w:val="3"/>
        </w:numPr>
        <w:spacing w:before="300" w:after="160"/>
        <w:ind w:left="993" w:hanging="567"/>
        <w:outlineLvl w:val="1"/>
        <w:rPr>
          <w:rFonts w:ascii="Times New Roman Bold" w:eastAsiaTheme="majorEastAsia" w:hAnsi="Times New Roman Bold" w:cstheme="majorBidi" w:hint="eastAsia"/>
          <w:b/>
          <w:bCs/>
          <w:smallCaps/>
          <w:noProof/>
          <w:sz w:val="26"/>
          <w:szCs w:val="26"/>
        </w:rPr>
      </w:pPr>
      <w:r>
        <w:rPr>
          <w:rFonts w:ascii="Times New Roman Bold" w:hAnsi="Times New Roman Bold"/>
          <w:b/>
          <w:bCs/>
          <w:smallCaps/>
          <w:noProof/>
          <w:sz w:val="26"/>
          <w:szCs w:val="26"/>
        </w:rPr>
        <w:t>Pjattaformi Ewropej għat-tranżazzjonijiet tal-NPLs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Il-Pjan ta’ Azzjoni tal-Kunsill stieden ukoll lill-Bank Ċentrali Ewropew (BĊE), lill-Awtorità Bankarja Ewropea (ABE) u lill-Kummissjoni biex jikkunsidraw it-twaqqif ta’ pjattaformi għat-tranżazzjonijiet tal-NPLs sabiex jiġi stimulat l-iżvilupp ta’ swieq sekondarji.</w:t>
      </w:r>
      <w:r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Fl-aħħar ta’ Novembru 2018 ġie ppubblikat dokument ta’ ħidma tal-persunal dwar it-twaqqif potenzjali ta’ dawn il-pjattaformi, abbozzat b’mod konġunt mill-persunal tal-BĊE u tal-ABE. Dan jiddeskrivi kif tali pjattaformi jistgħu jaħdmu fil-prattika.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Pjattaformi għat-tranżazzjonijiet tal-NPLs fl-Unjoni jkunu postijiet tas-suq elettroniku fejn id-detenturi ta’ NPLs — il-banek u kredituri mhux bankarji — u l-investituri interessati jistgħu jaqsmu informazzjoni dwar il-portafolli tal-NPLs u jwettqu tranżazzjonijiet bihom</w:t>
      </w:r>
      <w:r>
        <w:rPr>
          <w:rStyle w:val="FootnoteReference"/>
          <w:rFonts w:ascii="Times New Roman" w:eastAsia="Times New Roman" w:hAnsi="Times New Roman"/>
          <w:noProof/>
          <w:sz w:val="24"/>
          <w:szCs w:val="24"/>
          <w:lang w:eastAsia="en-US"/>
        </w:rPr>
        <w:footnoteReference w:id="20"/>
      </w:r>
      <w:r>
        <w:rPr>
          <w:rFonts w:ascii="Times New Roman" w:hAnsi="Times New Roman"/>
          <w:noProof/>
          <w:sz w:val="24"/>
          <w:szCs w:val="24"/>
        </w:rPr>
        <w:t>. Tali pjattaformi għandhom il-potenzjal li jindirizzaw diversi sorsi attwali ta’ falliment tas-suq fis-suq sekondarju għall-NPLs, inkluż l-asimetrija ta’ informazzjoni bejn il-bejjiegħa u x-xerrejja u kostijiet għoljin tat-tranżazzjonijiet. Bħala riżultat, dawn ikunu jistgħu jiffaċilitaw l-aċċess tal-investituri għas-swieq tal-NPLs u jgħinu lill-banek iżidu l-bejgħ tal-NPLs u b’hekk jippermettulhom jeħilsu mill-NPLs u jnaddfu l-karti tal-bilanċ tagħhom iktar malajr, u jiksbu prezzijiet tal-bejgħ ogħla milli attwalment possibbli. Dawn il-pjattaformi jistgħu jgħinu jindirizzaw l-istokks attwali ta’ NPLs u jipprovdu mezz għat-tneħħija effiċjenti ta’ NPLs li jinġemgħu fil-futur. F’dan is-sens, dawn jistgħu jkunu investiment importanti, iżda kosteffikaċi, fl-infrastruttura, li jipprevjeni li fil-karti tal-bilanċ tal-istituzzjonijiet ta’ kreditu fil-futur jerġa’ jkun hemm akkumulazzjoni ta’ ħażniet kbar ta’ NPLs.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B’segwitu għad-dokument ta’ ħidma tal-persunal, fil-15 ta’ Jannar il-Kummissjoni organizzat diskussjoni mal-partijiet ikkonċernati tal-industrija, tal-ABE u tal-BĊE biex tagħti bidu għax-xogħol fuq il-kisba ta’ pjattaformi fl-Unjoni kollha għat-tranżazzjonijiet tal-NPLs. Din il-laqgħa ppermettiet skambju utli ta’ informazzjoni u fehmiet mal-partijiet ikkonċernati u bejniethom. Sabiex isir progress lejn dawn il-pjattaformi, jenħtieġ li l-partijiet ikkonċernati privati jaqblu dwar il-forom konkreti għall-iżvilupp u għall-ħruġ ta’ standards tal-industrija għall-pjattaformi Ewropej tal-NPLs.</w:t>
      </w:r>
      <w:r>
        <w:rPr>
          <w:rFonts w:ascii="Times New Roman" w:hAnsi="Times New Roman"/>
          <w:noProof/>
          <w:sz w:val="24"/>
          <w:szCs w:val="24"/>
        </w:rPr>
        <w:t xml:space="preserve"> Sabiex jintlaħaq dan l-objettiv, il-Kummissjoni, flimkien mal-BĊE u mal-ABE, qed tkompli taqdi rwol ewlieni fil-faċilitazzjoni ta’ progress konkret fl-iżvilupp ta’ pjattaformi tal-NPLs fl-Unjoni kollha. Fil-pass li jmiss il-Kummissjoni se torganizza t-tieni diskussjoni mal-partijiet ikkonċernati.</w:t>
      </w:r>
    </w:p>
    <w:p>
      <w:pPr>
        <w:pStyle w:val="Heading1"/>
        <w:spacing w:before="360" w:after="240"/>
        <w:ind w:left="714" w:hanging="357"/>
        <w:rPr>
          <w:noProof/>
        </w:rPr>
      </w:pPr>
      <w:r>
        <w:rPr>
          <w:noProof/>
        </w:rPr>
        <w:t>Konklużjonijiet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Kif jidher biċ-ċar f’dan ir-Rapport tal-Progress, it-tnaqqis tar-riskju fis-settur bankarju tal-UE żamm il-momentum qawwi li bena fl-aħħar snin. Ir-riskji għadhom qed jiġu indirizzati b’mod sostanzjali u b’mod iktar uniformi madwar l-Unjoni, fuq il-bażi ta’ tkabbir ekonomiku u miżuri politiċi rilevanti. Dan ir-Rapport tal-Progress għalhekk jikkostitwixxi kontribuzzjoni importanti għal-laqgħa tal-Kunsill Ewropew f’Ġunju. 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Kif ġie elaborat f’dan ir-Rapport tal-Progress, it-tendenza fl-Unjoni hija li l-NPLs qed ikomplu jonqsu. Jenħtieġ li r-robustezza ta’ dan iċ-ċaqliq ’l isfel tinkoraġġixxi lill-Unjoni u lill-Istati Membri tagħha biex iżommu l-isforzi kollettivi tagħhom sabiex jindirizzaw b’mod konvinċenti l-ħażniet ta’ NPLs li fadal u jipprevjenu l-akkumulazzjonijiet futuri tagħhom. B’mod partikolari f’xi Stati Membri, il-proporzjonijiet ta’ NPLs għadhom sfida u jistħoqqilhom attenzjoni kontinwa.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L-elementi kollha tal-Pjan ta’ Azzjoni miftiehem mill-Kunsill f’Lulju 2017 twettqu jew għadhom għaddejjin. Il-Kummissjoni tistieden lill-partijiet ikkonċernati kollha, kemm fil-livell nazzjonali kif ukoll f’dak Ewropew, biex jiffinalizzaw il-miżuri pendenti li għad fadal mingħajr dewmien.</w:t>
      </w:r>
    </w:p>
    <w:p>
      <w:pPr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B’mod partikolari, il-Kummissjoni tistieden lill-Parlament Ewropew u lill-Kunsill biex jaqblu malajr dwar l-elementi kollha tal-pakkett komprensiv ta’ miżuri leġiżlattivi proposti f’Marzu 2018 biex jiġu indirizzati l-NPLs. Dan il-pakkett, flimkien mal-avvanzi sinifikanti fit-tnaqqis ta’ NPLs, f’kooperazzjoni mal-ABE, mal-BĊE u mal-Bord Ewropew dwar ir-Riskju Sistemiku, huwa imperattiv biex jiġi appoġġjat ix-xogħol kollettiv li għaddej biex jitnaqqas ir-riskji li jifdal fis-settur bankarju Ewropew u jiffaċilita, b’mod partikolari, it-tlestija tal-Unjoni Bankarja.</w:t>
      </w:r>
    </w:p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588" w:right="1416" w:bottom="1588" w:left="1588" w:header="709" w:footer="70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137873" w16cid:durableId="1F8F2AE6"/>
  <w16cid:commentId w16cid:paraId="7600927D" w16cid:durableId="1F8F2AE7"/>
  <w16cid:commentId w16cid:paraId="0F00C6E4" w16cid:durableId="1F8F2AE8"/>
  <w16cid:commentId w16cid:paraId="2BDAC783" w16cid:durableId="1F8F2A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15909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>
        <w:pPr>
          <w:pStyle w:val="Foot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40"/>
      </w:pPr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FootnoteText"/>
        <w:spacing w:before="40"/>
        <w:ind w:left="284" w:hanging="284"/>
        <w:jc w:val="both"/>
        <w:rPr>
          <w:szCs w:val="19"/>
        </w:rPr>
      </w:pPr>
      <w:r>
        <w:rPr>
          <w:rStyle w:val="FootnoteReference"/>
          <w:szCs w:val="19"/>
        </w:rPr>
        <w:footnoteRef/>
      </w:r>
      <w:r>
        <w:t xml:space="preserve"> </w:t>
      </w:r>
      <w:r>
        <w:tab/>
      </w:r>
      <w:hyperlink r:id="rId1" w:history="1">
        <w:r>
          <w:rPr>
            <w:rStyle w:val="Hyperlink"/>
          </w:rPr>
          <w:t>https://www.consilium.europa.eu/mt/press/press-releases/2017/07/11/conclusions-non-performing-loans/</w:t>
        </w:r>
      </w:hyperlink>
      <w:r>
        <w:t>.</w:t>
      </w:r>
    </w:p>
  </w:footnote>
  <w:footnote w:id="3">
    <w:p>
      <w:pPr>
        <w:pStyle w:val="FootnoteText"/>
        <w:spacing w:before="40"/>
        <w:ind w:left="284" w:hanging="284"/>
        <w:jc w:val="both"/>
        <w:rPr>
          <w:sz w:val="20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</w:rPr>
        <w:tab/>
        <w:t xml:space="preserve">Ara wkoll: “Rapport ta’ monitoraġġ dwar l-indikaturi tat-tnaqqis tar-riskju”: </w:t>
      </w:r>
      <w:hyperlink r:id="rId2" w:history="1">
        <w:r>
          <w:rPr>
            <w:rStyle w:val="Hyperlink"/>
            <w:sz w:val="20"/>
          </w:rPr>
          <w:t>https://www.consilium.europa.eu/media/37029/joint-risk-reduction-monitoring-report-to-eg_november-2018.pdf</w:t>
        </w:r>
      </w:hyperlink>
      <w:r>
        <w:rPr>
          <w:sz w:val="20"/>
        </w:rPr>
        <w:t xml:space="preserve">. </w:t>
      </w:r>
    </w:p>
  </w:footnote>
  <w:footnote w:id="4">
    <w:p>
      <w:pPr>
        <w:pStyle w:val="FootnoteText"/>
        <w:spacing w:before="40"/>
        <w:ind w:left="284" w:hanging="284"/>
        <w:jc w:val="both"/>
        <w:rPr>
          <w:szCs w:val="19"/>
        </w:rPr>
      </w:pPr>
      <w:r>
        <w:rPr>
          <w:rStyle w:val="FootnoteReference"/>
          <w:szCs w:val="19"/>
        </w:rPr>
        <w:footnoteRef/>
      </w:r>
      <w:r>
        <w:t xml:space="preserve"> </w:t>
      </w:r>
      <w:r>
        <w:tab/>
        <w:t>Il-proporzjon tal-kapital ta’ Grad 1 huwa l-proporzjon ta’ kapital ewlieni ta’ Grad 1 tal-bank — jiġifieri l-kapital ta’ ekwità u r-riżervi żvelati tiegħu — mal-assi totali tiegħu ppeżati għar-riskju.</w:t>
      </w:r>
    </w:p>
  </w:footnote>
  <w:footnote w:id="5">
    <w:p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ab/>
        <w:t>Id-</w:t>
      </w:r>
      <w:r>
        <w:rPr>
          <w:i/>
        </w:rPr>
        <w:t>data</w:t>
      </w:r>
      <w:r>
        <w:t xml:space="preserve"> f’din it-taqsima tiġi mill-istatistika dwar il-banek, miżmuma mill-BĊE fil-funzjoni tiegħu ta’ awtorità superviżorja.</w:t>
      </w:r>
    </w:p>
  </w:footnote>
  <w:footnote w:id="6">
    <w:p>
      <w:pPr>
        <w:pStyle w:val="FootnoteText"/>
        <w:spacing w:before="40"/>
        <w:ind w:left="284" w:hanging="284"/>
        <w:jc w:val="both"/>
        <w:rPr>
          <w:szCs w:val="19"/>
        </w:rPr>
      </w:pPr>
      <w:r>
        <w:rPr>
          <w:rStyle w:val="FootnoteReference"/>
          <w:szCs w:val="19"/>
        </w:rPr>
        <w:footnoteRef/>
      </w:r>
      <w:r>
        <w:t xml:space="preserve"> </w:t>
      </w:r>
      <w:r>
        <w:tab/>
        <w:t>Jiġifieri l-proporzjon ta’ ingranaġġ massimu (id-diviżjoni tal-kapital tal-Grad 1 bl-assi totali tal-bank) li huwa kkalkulat b’mod iktar strett u ppreżentat qabel l-2019, meta jispiċċa l-perjodu ta’ tranżizzjoni. L-effett ta’ taffija tal-perjodu tranżitorju tal-implimentazzjoni huwa injorat.</w:t>
      </w:r>
    </w:p>
  </w:footnote>
  <w:footnote w:id="7">
    <w:p>
      <w:pPr>
        <w:pStyle w:val="FootnoteText"/>
        <w:spacing w:before="40"/>
        <w:ind w:left="284" w:hanging="284"/>
        <w:jc w:val="both"/>
        <w:rPr>
          <w:szCs w:val="19"/>
        </w:rPr>
      </w:pPr>
      <w:r>
        <w:rPr>
          <w:rStyle w:val="FootnoteReference"/>
          <w:szCs w:val="19"/>
        </w:rPr>
        <w:footnoteRef/>
      </w:r>
      <w:r>
        <w:t xml:space="preserve"> </w:t>
      </w:r>
      <w:r>
        <w:tab/>
        <w:t>COM(2017) 592 tal-11 ta’ Ottubru 2017.</w:t>
      </w:r>
    </w:p>
  </w:footnote>
  <w:footnote w:id="8">
    <w:p>
      <w:pPr>
        <w:pStyle w:val="FootnoteText"/>
        <w:spacing w:before="40"/>
        <w:ind w:left="284" w:hanging="284"/>
        <w:jc w:val="both"/>
        <w:rPr>
          <w:szCs w:val="19"/>
        </w:rPr>
      </w:pPr>
      <w:r>
        <w:rPr>
          <w:rStyle w:val="FootnoteReference"/>
          <w:szCs w:val="19"/>
        </w:rPr>
        <w:footnoteRef/>
      </w:r>
      <w:r>
        <w:t xml:space="preserve"> </w:t>
      </w:r>
      <w:r>
        <w:tab/>
        <w:t>COM(2018) 133 tal-14 ta’ Marzu 2018.</w:t>
      </w:r>
    </w:p>
  </w:footnote>
  <w:footnote w:id="9">
    <w:p>
      <w:pPr>
        <w:pStyle w:val="FootnoteText"/>
        <w:spacing w:before="40"/>
        <w:ind w:left="284" w:hanging="284"/>
        <w:jc w:val="both"/>
        <w:rPr>
          <w:szCs w:val="19"/>
        </w:rPr>
      </w:pPr>
      <w:r>
        <w:rPr>
          <w:rStyle w:val="FootnoteReference"/>
          <w:szCs w:val="19"/>
        </w:rPr>
        <w:footnoteRef/>
      </w:r>
      <w:r>
        <w:t xml:space="preserve"> </w:t>
      </w:r>
      <w:r>
        <w:tab/>
        <w:t xml:space="preserve">F’Novembru 2016, il-Kummissjoni pproponiet pakkett leġiżlattiv importanti biex tirrieżamina d-Direttiva dwar l-Irkupru u r-Riżoluzzjoni tal-Banek (BRRD, Bank Recovery and Resolution Directive), ir-Regolament dwar il-Mekkaniżmu Uniku ta’ Riżoluzzjoni (SRMR, Single Resolution Mechanism Regulation), ir-Raba’ Direttiva dwar ir-Rekwiżiti ta’ Kapital (CRDIV, Capital Requirements Directive IV) u r-Regolament dwar ir-Rekwiżiti ta’ Kapital (CRR, Capital Requirements Regulation) bil-għan li jitnaqqsu iktar ir-riskji li għad fadal fis-settur bankarju. Ara </w:t>
      </w:r>
      <w:hyperlink r:id="rId3" w:history="1">
        <w:r>
          <w:rPr>
            <w:rStyle w:val="Hyperlink"/>
          </w:rPr>
          <w:t>http://europa.eu/rapid/press-release_IP-16-3731_mt.htm</w:t>
        </w:r>
      </w:hyperlink>
      <w:r>
        <w:t>.</w:t>
      </w:r>
    </w:p>
  </w:footnote>
  <w:footnote w:id="10">
    <w:p>
      <w:pPr>
        <w:pStyle w:val="FootnoteText"/>
        <w:spacing w:before="40"/>
        <w:ind w:left="284" w:hanging="284"/>
        <w:jc w:val="both"/>
        <w:rPr>
          <w:szCs w:val="19"/>
        </w:rPr>
      </w:pPr>
      <w:r>
        <w:rPr>
          <w:rStyle w:val="FootnoteReference"/>
          <w:szCs w:val="19"/>
        </w:rPr>
        <w:footnoteRef/>
      </w:r>
      <w:r>
        <w:t xml:space="preserve"> </w:t>
      </w:r>
      <w:r>
        <w:tab/>
        <w:t>COM/2016/0723 - 2016/0359 (COD).</w:t>
      </w:r>
    </w:p>
  </w:footnote>
  <w:footnote w:id="11">
    <w:p>
      <w:pPr>
        <w:pStyle w:val="FootnoteText"/>
        <w:spacing w:before="40"/>
        <w:ind w:left="284" w:hanging="284"/>
        <w:jc w:val="both"/>
        <w:rPr>
          <w:szCs w:val="19"/>
        </w:rPr>
      </w:pPr>
      <w:r>
        <w:rPr>
          <w:rStyle w:val="FootnoteReference"/>
          <w:szCs w:val="19"/>
        </w:rPr>
        <w:footnoteRef/>
      </w:r>
      <w:r>
        <w:t xml:space="preserve"> </w:t>
      </w:r>
      <w:r>
        <w:tab/>
        <w:t xml:space="preserve">Dan il-proporzjon jindika </w:t>
      </w:r>
      <w:r>
        <w:rPr>
          <w:rStyle w:val="ilfuvd"/>
          <w:szCs w:val="19"/>
        </w:rPr>
        <w:t xml:space="preserve">l-livell ta’ fondi li bank ikollu mwarrba biex ikopri t-telf mis-self. </w:t>
      </w:r>
      <w:r>
        <w:t xml:space="preserve">Sors: il-Bank Ċentrali Ewropew. Minħabba n-nuqqas ta’ disponibbiltà ta’ </w:t>
      </w:r>
      <w:r>
        <w:rPr>
          <w:i/>
        </w:rPr>
        <w:t>data</w:t>
      </w:r>
      <w:r>
        <w:t xml:space="preserve"> ta’ proviżjonament għal self, il-proporzjon tal-proviżjonament għall-UE ġie kkalkulat billi tqiesu t-tfixkil u l-NPLs għall-istrumenti ta’ dejn kollha (self u titoli ta’ dejn).</w:t>
      </w:r>
    </w:p>
  </w:footnote>
  <w:footnote w:id="12">
    <w:p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Fil-frattemp, il-proporzjon tas-self improduttiv fil-Portugall mistenni li jkun niżel taħt l-10 % sal-aħħar ta’ Q4-2018. Madankollu, il-BĊE bħalissa għadu fil-proċess li jivvalida d-</w:t>
      </w:r>
      <w:r>
        <w:rPr>
          <w:i/>
        </w:rPr>
        <w:t>data</w:t>
      </w:r>
      <w:r>
        <w:t xml:space="preserve"> ta’ tmiem it-trimestru għall-Istati Membri kollha.</w:t>
      </w:r>
    </w:p>
  </w:footnote>
  <w:footnote w:id="13">
    <w:p>
      <w:pPr>
        <w:pStyle w:val="FootnoteText"/>
        <w:spacing w:before="40"/>
        <w:ind w:left="227" w:hanging="284"/>
        <w:jc w:val="both"/>
        <w:rPr>
          <w:rFonts w:cs="Arial"/>
          <w:szCs w:val="19"/>
        </w:rPr>
      </w:pPr>
      <w:r>
        <w:rPr>
          <w:rStyle w:val="FootnoteReference"/>
          <w:szCs w:val="19"/>
        </w:rPr>
        <w:footnoteRef/>
      </w:r>
      <w:r>
        <w:t xml:space="preserve"> </w:t>
      </w:r>
      <w:r>
        <w:tab/>
        <w:t xml:space="preserve"> </w:t>
      </w:r>
      <w:r>
        <w:rPr>
          <w:i/>
          <w:szCs w:val="19"/>
        </w:rPr>
        <w:t xml:space="preserve">Noti: </w:t>
      </w:r>
      <w:r>
        <w:t xml:space="preserve">iċ-ċifri jikkorrispondu għall-istituzzjonijiet ta’ kreditu domestiċi u għas-sussidjarji u l-fergħat b’kontroll barrani. </w:t>
      </w:r>
    </w:p>
    <w:p>
      <w:pPr>
        <w:pStyle w:val="FootnoteText"/>
        <w:spacing w:before="40"/>
        <w:ind w:left="227" w:firstLine="0"/>
        <w:jc w:val="both"/>
        <w:rPr>
          <w:rFonts w:cs="Arial"/>
          <w:szCs w:val="19"/>
          <w:highlight w:val="yellow"/>
        </w:rPr>
      </w:pPr>
      <w:r>
        <w:t xml:space="preserve">* </w:t>
      </w:r>
      <w:r>
        <w:tab/>
        <w:t xml:space="preserve">L-ebda </w:t>
      </w:r>
      <w:r>
        <w:rPr>
          <w:i/>
        </w:rPr>
        <w:t>data</w:t>
      </w:r>
      <w:r>
        <w:t xml:space="preserve"> settorjali ma hija disponibbli għall-UE, għal Malta (jiġifieri Q3-2018) u għal Spanja (jiġifieri Q3-2017). Id-</w:t>
      </w:r>
      <w:r>
        <w:rPr>
          <w:i/>
        </w:rPr>
        <w:t>data</w:t>
      </w:r>
      <w:r>
        <w:t xml:space="preserve"> settorjali (jiġifieri l-iskopertura totali għall-unitajiet domestiċi u għall-korporazzjonijiet mhux finanzjarji) għall-Bulgarija, għall-Ġermanja u għall-Ungerija hija disponibbli biss f’ammont riportat.</w:t>
      </w:r>
    </w:p>
    <w:p>
      <w:pPr>
        <w:pStyle w:val="FootnoteText"/>
        <w:spacing w:before="40"/>
        <w:ind w:left="227" w:firstLine="0"/>
        <w:jc w:val="both"/>
        <w:rPr>
          <w:rFonts w:cs="Arial"/>
          <w:szCs w:val="19"/>
        </w:rPr>
      </w:pPr>
      <w:r>
        <w:t>** Id-</w:t>
      </w:r>
      <w:r>
        <w:rPr>
          <w:i/>
        </w:rPr>
        <w:t>data</w:t>
      </w:r>
      <w:r>
        <w:t xml:space="preserve"> dwar il-proviżjonament tas-self mhijiex disponibbli għall-Bulgarija, għall-Ġermanja, għal Spanja (bl-eċċezzjoni ta’ Q3</w:t>
      </w:r>
      <w:r>
        <w:noBreakHyphen/>
        <w:t>2018), għall-Ungerija u għall-UE. F’dawn il-każijiet, iċ-ċifri huma bbażati fuq l-indebolimenti fl-istrumenti kollha ta’ dejn (jiġifieri self u titoli ta’ dejn).</w:t>
      </w:r>
    </w:p>
  </w:footnote>
  <w:footnote w:id="14">
    <w:p>
      <w:pPr>
        <w:pStyle w:val="FootnoteText"/>
        <w:spacing w:before="40"/>
        <w:ind w:left="284" w:hanging="284"/>
        <w:jc w:val="both"/>
        <w:rPr>
          <w:szCs w:val="19"/>
        </w:rPr>
      </w:pPr>
      <w:r>
        <w:rPr>
          <w:rStyle w:val="FootnoteReference"/>
          <w:szCs w:val="19"/>
        </w:rPr>
        <w:footnoteRef/>
      </w:r>
      <w:r>
        <w:t xml:space="preserve"> </w:t>
      </w:r>
      <w:r>
        <w:tab/>
        <w:t>Sors: il-Bank Ċentrali Ewropew.</w:t>
      </w:r>
    </w:p>
  </w:footnote>
  <w:footnote w:id="15">
    <w:p>
      <w:pPr>
        <w:pStyle w:val="FootnoteText"/>
        <w:spacing w:before="40"/>
        <w:ind w:left="284" w:hanging="284"/>
        <w:jc w:val="both"/>
        <w:rPr>
          <w:szCs w:val="19"/>
        </w:rPr>
      </w:pPr>
      <w:r>
        <w:rPr>
          <w:rStyle w:val="FootnoteReference"/>
          <w:szCs w:val="19"/>
        </w:rPr>
        <w:footnoteRef/>
      </w:r>
      <w:r>
        <w:t xml:space="preserve"> </w:t>
      </w:r>
      <w:r>
        <w:tab/>
        <w:t>Ir-Regolament (UE) Nru 575/2013 tal-Parlament Ewropew u tal-Kunsill tas-26 ta’ Ġunju 2013 dwar ir-rekwiżiti prudenzjali għall-istituzzjonijiet ta’ kreditu u d-ditti tal-investiment u li jemenda r-Regolament (UE) Nru 648/2012.</w:t>
      </w:r>
    </w:p>
  </w:footnote>
  <w:footnote w:id="16">
    <w:p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Ir-Regolament (UE) 2019/630 tal-Parlament Ewropew u tal-Kunsill tas-17 ta’ April 2019 li jemenda r-Regolament (UE) Nru 575/2013 fir-rigward tal-kopertura minima għat-telf għal skoperturi improduttivi.</w:t>
      </w:r>
    </w:p>
  </w:footnote>
  <w:footnote w:id="17">
    <w:p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COM/2018/0135 final - 2018/063 (COD).</w:t>
      </w:r>
    </w:p>
  </w:footnote>
  <w:footnote w:id="18">
    <w:p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Minbarra l-banek, l-aspetti tal-proposta li huma applikabbli għax-xerrejja u għas-servizzjanti tal-kreditu wkoll isaħħu lil xulxin.</w:t>
      </w:r>
    </w:p>
  </w:footnote>
  <w:footnote w:id="19">
    <w:p>
      <w:pPr>
        <w:pStyle w:val="FootnoteText"/>
        <w:spacing w:before="40"/>
        <w:ind w:left="284" w:hanging="284"/>
        <w:jc w:val="both"/>
      </w:pPr>
      <w:r>
        <w:rPr>
          <w:rStyle w:val="FootnoteReference"/>
          <w:szCs w:val="19"/>
        </w:rPr>
        <w:footnoteRef/>
      </w:r>
      <w:r>
        <w:t xml:space="preserve"> </w:t>
      </w:r>
      <w:r>
        <w:tab/>
        <w:t>Il-KMA jistgħu jkunu privati jew (parzjalment) sostnuti pubblikament mingħajr ħtieġa ta’ għajnuna mill-Istat, jekk l-Istat ikun jista’ jitqies li qed jaġixxi bħal kwalunkwe aġent ekonomiku ieħor. Għaldaqstant, jenħtieġ li l-għażla ta’ KMA li tinvolvi għajnuna mill-Istat ma titqiesx bħala s-soluzzjoni awtomatika. F’dan ir-rigward, il-Pjan Iddettaljat jiddeskrivi wkoll ċerti miżuri ta’ għajnuna alternattivi għall-assi indeboliti li mhumiex għajnuna mill-Istat, bħal garanziji mill-Istat li jkunu konformi mas-suq li jippermettu t-titolizzazzjoni tal-NPLs.</w:t>
      </w:r>
    </w:p>
  </w:footnote>
  <w:footnote w:id="20">
    <w:p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Sa fejn il-pjattaformi jipproċessaw </w:t>
      </w:r>
      <w:r>
        <w:rPr>
          <w:i/>
        </w:rPr>
        <w:t>data</w:t>
      </w:r>
      <w:r>
        <w:t xml:space="preserve"> personali, dawn iridu jikkonformaw bis-sħiħ mar-Regolament Ġenerali dwar il-Protezzjoni tad-</w:t>
      </w:r>
      <w:r>
        <w:rPr>
          <w:i/>
        </w:rPr>
        <w:t>Data</w:t>
      </w:r>
      <w:r>
        <w:t xml:space="preserve"> (GDPR, General Data Protection Regulation). B’mod partikolari, id-disinn u l-funzjonament tal-pjattaformi jkollhom jiġu speċifikati fid-dettall sabiex tiġi żgurata konformità sħiħa mal-GDPR.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67B"/>
    <w:multiLevelType w:val="hybridMultilevel"/>
    <w:tmpl w:val="066CD0B2"/>
    <w:lvl w:ilvl="0" w:tplc="0809000F">
      <w:start w:val="1"/>
      <w:numFmt w:val="decimal"/>
      <w:lvlText w:val="%1."/>
      <w:lvlJc w:val="left"/>
      <w:pPr>
        <w:ind w:left="744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5CD0"/>
    <w:multiLevelType w:val="hybridMultilevel"/>
    <w:tmpl w:val="4C48C3DC"/>
    <w:lvl w:ilvl="0" w:tplc="D80016DC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101BF9"/>
    <w:multiLevelType w:val="hybridMultilevel"/>
    <w:tmpl w:val="7430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94B73"/>
    <w:multiLevelType w:val="hybridMultilevel"/>
    <w:tmpl w:val="7EA4E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0C25"/>
    <w:multiLevelType w:val="hybridMultilevel"/>
    <w:tmpl w:val="4764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056C8"/>
    <w:multiLevelType w:val="multilevel"/>
    <w:tmpl w:val="17543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994394"/>
    <w:multiLevelType w:val="hybridMultilevel"/>
    <w:tmpl w:val="8E8E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F32FA"/>
    <w:multiLevelType w:val="hybridMultilevel"/>
    <w:tmpl w:val="BC2A4F7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8DA32FE"/>
    <w:multiLevelType w:val="hybridMultilevel"/>
    <w:tmpl w:val="052CD4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45CAB"/>
    <w:multiLevelType w:val="hybridMultilevel"/>
    <w:tmpl w:val="AC2A6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63A4C"/>
    <w:multiLevelType w:val="hybridMultilevel"/>
    <w:tmpl w:val="1890CB2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FCCEAE8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F84CD0"/>
    <w:multiLevelType w:val="hybridMultilevel"/>
    <w:tmpl w:val="5C9E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A08F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7374A"/>
    <w:multiLevelType w:val="hybridMultilevel"/>
    <w:tmpl w:val="A6BE6E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873B3"/>
    <w:multiLevelType w:val="hybridMultilevel"/>
    <w:tmpl w:val="BDDAC3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BB0542E"/>
    <w:multiLevelType w:val="hybridMultilevel"/>
    <w:tmpl w:val="5B043F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22887"/>
    <w:multiLevelType w:val="multilevel"/>
    <w:tmpl w:val="5FF6BB10"/>
    <w:lvl w:ilvl="0">
      <w:start w:val="1"/>
      <w:numFmt w:val="decimal"/>
      <w:pStyle w:val="Heading1"/>
      <w:lvlText w:val="%1."/>
      <w:lvlJc w:val="left"/>
      <w:pPr>
        <w:ind w:left="502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86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3"/>
  </w:num>
  <w:num w:numId="10">
    <w:abstractNumId w:val="15"/>
  </w:num>
  <w:num w:numId="11">
    <w:abstractNumId w:val="15"/>
  </w:num>
  <w:num w:numId="12">
    <w:abstractNumId w:val="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9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4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DF08365A-570C-4221-B2F8-61319C3996F0"/>
    <w:docVar w:name="LW_COVERPAGE_TYPE" w:val="1"/>
    <w:docVar w:name="LW_CROSSREFERENCE" w:val="&lt;UNUSED&gt;"/>
    <w:docVar w:name="LW_DocType" w:val="NORMAL"/>
    <w:docVar w:name="LW_EMISSION" w:val="12.6.2019"/>
    <w:docVar w:name="LW_EMISSION_ISODATE" w:val="2019-06-12"/>
    <w:docVar w:name="LW_EMISSION_LOCATION" w:val="BRX"/>
    <w:docVar w:name="LW_EMISSION_PREFIX" w:val="Brussell, "/>
    <w:docVar w:name="LW_EMISSION_SUFFIX" w:val=" "/>
    <w:docVar w:name="LW_ID_DOCTYPE_NONLW" w:val="CP-00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27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Ir-Raba\u8217? Rapport tal-Progress dwar it-tnaqqis tas-self improduttiv u iktar tnaqqis tar-riskju fl-Unjoni Bankarja"/>
    <w:docVar w:name="LW_TYPE.DOC.CP" w:val="KOMUNIKAZZJONI TAL-KUMMISSJONI"/>
    <w:docVar w:name="LW_TYPE.DOC.CP.USERTEXT" w:val="KOMUNIKAZZJONI MILL-KUMMISSJONI LILL-PARLAMENT EWROPEW, LILL-KUNSILL EWROPEW, LILL-KUNSILL U LILL-BANK \u266?ENTRALI EWROPEW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3"/>
      </w:numPr>
      <w:spacing w:before="480" w:after="180"/>
      <w:outlineLvl w:val="0"/>
    </w:pPr>
    <w:rPr>
      <w:rFonts w:ascii="Times New Roman Bold" w:eastAsia="Times New Roman" w:hAnsi="Times New Roman Bold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3"/>
      </w:numPr>
      <w:spacing w:before="300" w:after="160"/>
      <w:outlineLvl w:val="1"/>
    </w:pPr>
    <w:rPr>
      <w:rFonts w:ascii="Times New Roman Bold" w:eastAsiaTheme="majorEastAsia" w:hAnsi="Times New Roman Bold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160"/>
      <w:outlineLvl w:val="2"/>
    </w:pPr>
    <w:rPr>
      <w:rFonts w:ascii="Times New Roman Bold" w:eastAsiaTheme="majorEastAsia" w:hAnsi="Times New Roman Bold" w:cstheme="majorBidi"/>
      <w:b/>
      <w:bCs/>
      <w:i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 Bold" w:eastAsia="Times New Roman" w:hAnsi="Times New Roman Bold" w:cs="Times New Roman"/>
      <w:b/>
      <w:bCs/>
      <w:small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 Bold" w:eastAsiaTheme="majorEastAsia" w:hAnsi="Times New Roman Bol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 Bold" w:eastAsiaTheme="majorEastAsia" w:hAnsi="Times New Roman Bold" w:cstheme="majorBidi"/>
      <w:b/>
      <w:bCs/>
      <w:i/>
      <w:sz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lang w:eastAsia="en-GB"/>
    </w:rPr>
  </w:style>
  <w:style w:type="paragraph" w:styleId="FootnoteText">
    <w:name w:val="footnote text"/>
    <w:aliases w:val="single space,fn,FOOTNOTES,Footnote Text Char Char Char Char Char Char,Footnote Text Char Char,Fußnote,Testo_note,Testo_note1,Testo_note2,Footnote Text Char3 Char,FSR footnote,1Footnote Text,lábléc,footnote text,Texto nota pie Car,notefranz"/>
    <w:basedOn w:val="Normal"/>
    <w:link w:val="FootnoteTextChar"/>
    <w:uiPriority w:val="99"/>
    <w:unhideWhenUsed/>
    <w:qFormat/>
    <w:pPr>
      <w:spacing w:before="20"/>
      <w:ind w:left="170" w:hanging="170"/>
    </w:pPr>
    <w:rPr>
      <w:rFonts w:ascii="Times New Roman" w:hAnsi="Times New Roman"/>
      <w:sz w:val="19"/>
      <w:szCs w:val="20"/>
    </w:rPr>
  </w:style>
  <w:style w:type="character" w:customStyle="1" w:styleId="FootnoteTextChar">
    <w:name w:val="Footnote Text Char"/>
    <w:aliases w:val="single space Char,fn Char,FOOTNOTES Char,Footnote Text Char Char Char Char Char Char Char,Footnote Text Char Char Char,Fußnote Char,Testo_note Char,Testo_note1 Char,Testo_note2 Char,Footnote Text Char3 Char Char,FSR footnote Char"/>
    <w:basedOn w:val="DefaultParagraphFont"/>
    <w:link w:val="FootnoteText"/>
    <w:uiPriority w:val="99"/>
    <w:rPr>
      <w:rFonts w:ascii="Times New Roman" w:eastAsia="Calibri" w:hAnsi="Times New Roman" w:cs="Times New Roman"/>
      <w:sz w:val="19"/>
      <w:szCs w:val="20"/>
      <w:lang w:eastAsia="en-GB"/>
    </w:rPr>
  </w:style>
  <w:style w:type="character" w:styleId="FootnoteReference">
    <w:name w:val="footnote reference"/>
    <w:aliases w:val="BVI fnr,Footnote Reference Superscript,SUPERS,Footnote symbol,Footnote,(Footnote Reference),Footnote reference number,note TESI,EN Footnote Reference,Voetnootverwijzing,Times 10 Point,Exposant 3 Point,Appel note de bas de,fr,number,Re"/>
    <w:basedOn w:val="DefaultParagraphFont"/>
    <w:link w:val="16Point"/>
    <w:uiPriority w:val="99"/>
    <w:unhideWhenUsed/>
    <w:qFormat/>
    <w:rPr>
      <w:vertAlign w:val="superscript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16Point">
    <w:name w:val="16 Point"/>
    <w:aliases w:val="Superscript 6 Point,Odwołanie przypisu,Ref,de nota al pie,footnote ref,2001+ Fußnotenzeichen, Exposant 3 Point"/>
    <w:basedOn w:val="Normal"/>
    <w:link w:val="FootnoteReference"/>
    <w:uiPriority w:val="99"/>
    <w:pPr>
      <w:keepNext/>
      <w:keepLines/>
      <w:spacing w:before="240" w:after="160" w:line="240" w:lineRule="exact"/>
      <w:jc w:val="both"/>
      <w:outlineLvl w:val="3"/>
    </w:pPr>
    <w:rPr>
      <w:rFonts w:asciiTheme="minorHAnsi" w:eastAsiaTheme="minorHAnsi" w:hAnsiTheme="minorHAnsi" w:cstheme="minorBidi"/>
      <w:vertAlign w:val="superscript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ooterCoverPage">
    <w:name w:val="Footer Cover Page"/>
    <w:basedOn w:val="Normal"/>
    <w:link w:val="FooterCoverPageChar"/>
    <w:pPr>
      <w:pageBreakBefore/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basedOn w:val="Heading1Char"/>
    <w:link w:val="FooterCoverPage"/>
    <w:rPr>
      <w:rFonts w:ascii="Times New Roman" w:eastAsia="Calibri" w:hAnsi="Times New Roman" w:cs="Times New Roman"/>
      <w:b w:val="0"/>
      <w:bCs w:val="0"/>
      <w:smallCaps w:val="0"/>
      <w:sz w:val="24"/>
      <w:szCs w:val="28"/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rFonts w:ascii="Times New Roman" w:hAnsi="Times New Roman"/>
      <w:b/>
      <w:sz w:val="32"/>
    </w:rPr>
  </w:style>
  <w:style w:type="character" w:customStyle="1" w:styleId="FooterSensitivityChar">
    <w:name w:val="Footer Sensitivity Char"/>
    <w:basedOn w:val="Heading1Char"/>
    <w:link w:val="FooterSensitivity"/>
    <w:rPr>
      <w:rFonts w:ascii="Times New Roman" w:eastAsia="Calibri" w:hAnsi="Times New Roman" w:cs="Times New Roman"/>
      <w:b/>
      <w:bCs w:val="0"/>
      <w:smallCaps w:val="0"/>
      <w:sz w:val="32"/>
      <w:szCs w:val="28"/>
      <w:lang w:eastAsia="en-GB"/>
    </w:rPr>
  </w:style>
  <w:style w:type="paragraph" w:customStyle="1" w:styleId="HeaderCoverPage">
    <w:name w:val="Header Cover Page"/>
    <w:basedOn w:val="Normal"/>
    <w:link w:val="HeaderCoverPageChar"/>
    <w:pPr>
      <w:pageBreakBefore/>
      <w:tabs>
        <w:tab w:val="center" w:pos="4535"/>
        <w:tab w:val="right" w:pos="9071"/>
      </w:tabs>
      <w:spacing w:after="120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basedOn w:val="Heading1Char"/>
    <w:link w:val="HeaderCoverPage"/>
    <w:rPr>
      <w:rFonts w:ascii="Times New Roman" w:eastAsia="Calibri" w:hAnsi="Times New Roman" w:cs="Times New Roman"/>
      <w:b w:val="0"/>
      <w:bCs w:val="0"/>
      <w:smallCaps w:val="0"/>
      <w:sz w:val="24"/>
      <w:szCs w:val="28"/>
      <w:lang w:eastAsia="en-GB"/>
    </w:rPr>
  </w:style>
  <w:style w:type="paragraph" w:customStyle="1" w:styleId="HeaderSensitivity">
    <w:name w:val="Header Sensitivity"/>
    <w:basedOn w:val="Normal"/>
    <w:link w:val="HeaderSensitivityChar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rFonts w:ascii="Times New Roman" w:hAnsi="Times New Roman"/>
      <w:b/>
      <w:sz w:val="32"/>
    </w:rPr>
  </w:style>
  <w:style w:type="character" w:customStyle="1" w:styleId="HeaderSensitivityChar">
    <w:name w:val="Header Sensitivity Char"/>
    <w:basedOn w:val="Heading1Char"/>
    <w:link w:val="HeaderSensitivity"/>
    <w:rPr>
      <w:rFonts w:ascii="Times New Roman" w:eastAsia="Calibri" w:hAnsi="Times New Roman" w:cs="Times New Roman"/>
      <w:b/>
      <w:bCs w:val="0"/>
      <w:smallCaps w:val="0"/>
      <w:sz w:val="32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GB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rFonts w:ascii="Times New Roman" w:eastAsiaTheme="minorHAnsi" w:hAnsi="Times New Roman"/>
      <w:b/>
      <w:sz w:val="24"/>
      <w:lang w:eastAsia="en-US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ilfuvd">
    <w:name w:val="ilfuvd"/>
    <w:basedOn w:val="DefaultParagraphFont"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3"/>
      </w:numPr>
      <w:spacing w:before="480" w:after="180"/>
      <w:outlineLvl w:val="0"/>
    </w:pPr>
    <w:rPr>
      <w:rFonts w:ascii="Times New Roman Bold" w:eastAsia="Times New Roman" w:hAnsi="Times New Roman Bold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3"/>
      </w:numPr>
      <w:spacing w:before="300" w:after="160"/>
      <w:outlineLvl w:val="1"/>
    </w:pPr>
    <w:rPr>
      <w:rFonts w:ascii="Times New Roman Bold" w:eastAsiaTheme="majorEastAsia" w:hAnsi="Times New Roman Bold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160"/>
      <w:outlineLvl w:val="2"/>
    </w:pPr>
    <w:rPr>
      <w:rFonts w:ascii="Times New Roman Bold" w:eastAsiaTheme="majorEastAsia" w:hAnsi="Times New Roman Bold" w:cstheme="majorBidi"/>
      <w:b/>
      <w:bCs/>
      <w:i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 Bold" w:eastAsia="Times New Roman" w:hAnsi="Times New Roman Bold" w:cs="Times New Roman"/>
      <w:b/>
      <w:bCs/>
      <w:small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 Bold" w:eastAsiaTheme="majorEastAsia" w:hAnsi="Times New Roman Bol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 Bold" w:eastAsiaTheme="majorEastAsia" w:hAnsi="Times New Roman Bold" w:cstheme="majorBidi"/>
      <w:b/>
      <w:bCs/>
      <w:i/>
      <w:sz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lang w:eastAsia="en-GB"/>
    </w:rPr>
  </w:style>
  <w:style w:type="paragraph" w:styleId="FootnoteText">
    <w:name w:val="footnote text"/>
    <w:aliases w:val="single space,fn,FOOTNOTES,Footnote Text Char Char Char Char Char Char,Footnote Text Char Char,Fußnote,Testo_note,Testo_note1,Testo_note2,Footnote Text Char3 Char,FSR footnote,1Footnote Text,lábléc,footnote text,Texto nota pie Car,notefranz"/>
    <w:basedOn w:val="Normal"/>
    <w:link w:val="FootnoteTextChar"/>
    <w:uiPriority w:val="99"/>
    <w:unhideWhenUsed/>
    <w:qFormat/>
    <w:pPr>
      <w:spacing w:before="20"/>
      <w:ind w:left="170" w:hanging="170"/>
    </w:pPr>
    <w:rPr>
      <w:rFonts w:ascii="Times New Roman" w:hAnsi="Times New Roman"/>
      <w:sz w:val="19"/>
      <w:szCs w:val="20"/>
    </w:rPr>
  </w:style>
  <w:style w:type="character" w:customStyle="1" w:styleId="FootnoteTextChar">
    <w:name w:val="Footnote Text Char"/>
    <w:aliases w:val="single space Char,fn Char,FOOTNOTES Char,Footnote Text Char Char Char Char Char Char Char,Footnote Text Char Char Char,Fußnote Char,Testo_note Char,Testo_note1 Char,Testo_note2 Char,Footnote Text Char3 Char Char,FSR footnote Char"/>
    <w:basedOn w:val="DefaultParagraphFont"/>
    <w:link w:val="FootnoteText"/>
    <w:uiPriority w:val="99"/>
    <w:rPr>
      <w:rFonts w:ascii="Times New Roman" w:eastAsia="Calibri" w:hAnsi="Times New Roman" w:cs="Times New Roman"/>
      <w:sz w:val="19"/>
      <w:szCs w:val="20"/>
      <w:lang w:eastAsia="en-GB"/>
    </w:rPr>
  </w:style>
  <w:style w:type="character" w:styleId="FootnoteReference">
    <w:name w:val="footnote reference"/>
    <w:aliases w:val="BVI fnr,Footnote Reference Superscript,SUPERS,Footnote symbol,Footnote,(Footnote Reference),Footnote reference number,note TESI,EN Footnote Reference,Voetnootverwijzing,Times 10 Point,Exposant 3 Point,Appel note de bas de,fr,number,Re"/>
    <w:basedOn w:val="DefaultParagraphFont"/>
    <w:link w:val="16Point"/>
    <w:uiPriority w:val="99"/>
    <w:unhideWhenUsed/>
    <w:qFormat/>
    <w:rPr>
      <w:vertAlign w:val="superscript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16Point">
    <w:name w:val="16 Point"/>
    <w:aliases w:val="Superscript 6 Point,Odwołanie przypisu,Ref,de nota al pie,footnote ref,2001+ Fußnotenzeichen, Exposant 3 Point"/>
    <w:basedOn w:val="Normal"/>
    <w:link w:val="FootnoteReference"/>
    <w:uiPriority w:val="99"/>
    <w:pPr>
      <w:keepNext/>
      <w:keepLines/>
      <w:spacing w:before="240" w:after="160" w:line="240" w:lineRule="exact"/>
      <w:jc w:val="both"/>
      <w:outlineLvl w:val="3"/>
    </w:pPr>
    <w:rPr>
      <w:rFonts w:asciiTheme="minorHAnsi" w:eastAsiaTheme="minorHAnsi" w:hAnsiTheme="minorHAnsi" w:cstheme="minorBidi"/>
      <w:vertAlign w:val="superscript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ooterCoverPage">
    <w:name w:val="Footer Cover Page"/>
    <w:basedOn w:val="Normal"/>
    <w:link w:val="FooterCoverPageChar"/>
    <w:pPr>
      <w:pageBreakBefore/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basedOn w:val="Heading1Char"/>
    <w:link w:val="FooterCoverPage"/>
    <w:rPr>
      <w:rFonts w:ascii="Times New Roman" w:eastAsia="Calibri" w:hAnsi="Times New Roman" w:cs="Times New Roman"/>
      <w:b w:val="0"/>
      <w:bCs w:val="0"/>
      <w:smallCaps w:val="0"/>
      <w:sz w:val="24"/>
      <w:szCs w:val="28"/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rFonts w:ascii="Times New Roman" w:hAnsi="Times New Roman"/>
      <w:b/>
      <w:sz w:val="32"/>
    </w:rPr>
  </w:style>
  <w:style w:type="character" w:customStyle="1" w:styleId="FooterSensitivityChar">
    <w:name w:val="Footer Sensitivity Char"/>
    <w:basedOn w:val="Heading1Char"/>
    <w:link w:val="FooterSensitivity"/>
    <w:rPr>
      <w:rFonts w:ascii="Times New Roman" w:eastAsia="Calibri" w:hAnsi="Times New Roman" w:cs="Times New Roman"/>
      <w:b/>
      <w:bCs w:val="0"/>
      <w:smallCaps w:val="0"/>
      <w:sz w:val="32"/>
      <w:szCs w:val="28"/>
      <w:lang w:eastAsia="en-GB"/>
    </w:rPr>
  </w:style>
  <w:style w:type="paragraph" w:customStyle="1" w:styleId="HeaderCoverPage">
    <w:name w:val="Header Cover Page"/>
    <w:basedOn w:val="Normal"/>
    <w:link w:val="HeaderCoverPageChar"/>
    <w:pPr>
      <w:pageBreakBefore/>
      <w:tabs>
        <w:tab w:val="center" w:pos="4535"/>
        <w:tab w:val="right" w:pos="9071"/>
      </w:tabs>
      <w:spacing w:after="120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basedOn w:val="Heading1Char"/>
    <w:link w:val="HeaderCoverPage"/>
    <w:rPr>
      <w:rFonts w:ascii="Times New Roman" w:eastAsia="Calibri" w:hAnsi="Times New Roman" w:cs="Times New Roman"/>
      <w:b w:val="0"/>
      <w:bCs w:val="0"/>
      <w:smallCaps w:val="0"/>
      <w:sz w:val="24"/>
      <w:szCs w:val="28"/>
      <w:lang w:eastAsia="en-GB"/>
    </w:rPr>
  </w:style>
  <w:style w:type="paragraph" w:customStyle="1" w:styleId="HeaderSensitivity">
    <w:name w:val="Header Sensitivity"/>
    <w:basedOn w:val="Normal"/>
    <w:link w:val="HeaderSensitivityChar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rFonts w:ascii="Times New Roman" w:hAnsi="Times New Roman"/>
      <w:b/>
      <w:sz w:val="32"/>
    </w:rPr>
  </w:style>
  <w:style w:type="character" w:customStyle="1" w:styleId="HeaderSensitivityChar">
    <w:name w:val="Header Sensitivity Char"/>
    <w:basedOn w:val="Heading1Char"/>
    <w:link w:val="HeaderSensitivity"/>
    <w:rPr>
      <w:rFonts w:ascii="Times New Roman" w:eastAsia="Calibri" w:hAnsi="Times New Roman" w:cs="Times New Roman"/>
      <w:b/>
      <w:bCs w:val="0"/>
      <w:smallCaps w:val="0"/>
      <w:sz w:val="32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GB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rFonts w:ascii="Times New Roman" w:eastAsiaTheme="minorHAnsi" w:hAnsi="Times New Roman"/>
      <w:b/>
      <w:sz w:val="24"/>
      <w:lang w:eastAsia="en-US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ilfuvd">
    <w:name w:val="ilfuvd"/>
    <w:basedOn w:val="DefaultParagraphFont"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.eu/rapid/press-release_IP-16-3731_mt.htm" TargetMode="External"/><Relationship Id="rId2" Type="http://schemas.openxmlformats.org/officeDocument/2006/relationships/hyperlink" Target="https://www.consilium.europa.eu/media/37029/joint-risk-reduction-monitoring-report-to-eg_november-2018.pdf" TargetMode="External"/><Relationship Id="rId1" Type="http://schemas.openxmlformats.org/officeDocument/2006/relationships/hyperlink" Target="https://www.consilium.europa.eu/mt/press/press-releases/2017/07/11/conclusions-non-performing-lo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7BC1-A7DB-420D-B491-3641BD63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3072</Words>
  <Characters>22248</Characters>
  <Application>Microsoft Office Word</Application>
  <DocSecurity>0</DocSecurity>
  <Lines>322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2019-06-12T14:28:00Z</dcterms:created>
  <dcterms:modified xsi:type="dcterms:W3CDTF">2019-06-19T11:21:00Z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DocStatus">
    <vt:lpwstr>Green</vt:lpwstr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reated using">
    <vt:lpwstr>LW 6.0.1, Build 20180503</vt:lpwstr>
  </property>
</Properties>
</file>